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8A46" w14:textId="77777777" w:rsidR="00F10EDB" w:rsidRPr="00A3065B" w:rsidRDefault="00A3065B" w:rsidP="00A3065B">
      <w:pPr>
        <w:spacing w:after="0"/>
        <w:jc w:val="center"/>
        <w:rPr>
          <w:b/>
        </w:rPr>
      </w:pPr>
      <w:r w:rsidRPr="00A3065B">
        <w:rPr>
          <w:b/>
        </w:rPr>
        <w:t>Lab FAQs for documentation of user review</w:t>
      </w:r>
    </w:p>
    <w:p w14:paraId="5F4B7598" w14:textId="7678E437" w:rsidR="00A3065B" w:rsidRPr="00A3065B" w:rsidRDefault="00352795" w:rsidP="00A3065B">
      <w:pPr>
        <w:spacing w:after="0"/>
        <w:jc w:val="center"/>
        <w:rPr>
          <w:b/>
        </w:rPr>
      </w:pPr>
      <w:r>
        <w:rPr>
          <w:b/>
        </w:rPr>
        <w:t>Cerner 2018.01.10</w:t>
      </w:r>
      <w:r w:rsidR="00A3065B" w:rsidRPr="00A3065B">
        <w:rPr>
          <w:b/>
        </w:rPr>
        <w:t xml:space="preserve"> Code Upgrade</w:t>
      </w:r>
      <w:r w:rsidR="00815CED">
        <w:rPr>
          <w:b/>
        </w:rPr>
        <w:t xml:space="preserve"> that goes </w:t>
      </w:r>
      <w:r w:rsidR="00A3065B" w:rsidRPr="00A3065B">
        <w:rPr>
          <w:b/>
        </w:rPr>
        <w:t xml:space="preserve">into production </w:t>
      </w:r>
      <w:r w:rsidR="00815CED">
        <w:rPr>
          <w:b/>
        </w:rPr>
        <w:t xml:space="preserve">on </w:t>
      </w:r>
      <w:r w:rsidRPr="00BB3BF5">
        <w:rPr>
          <w:b/>
          <w:highlight w:val="yellow"/>
        </w:rPr>
        <w:t>12/0</w:t>
      </w:r>
      <w:r w:rsidR="00E41BF4" w:rsidRPr="00BB3BF5">
        <w:rPr>
          <w:b/>
          <w:highlight w:val="yellow"/>
        </w:rPr>
        <w:t>8</w:t>
      </w:r>
      <w:r w:rsidR="003D7042" w:rsidRPr="00BB3BF5">
        <w:rPr>
          <w:b/>
          <w:highlight w:val="yellow"/>
        </w:rPr>
        <w:t>/19</w:t>
      </w:r>
    </w:p>
    <w:p w14:paraId="6CEB4413" w14:textId="77777777" w:rsidR="00A3065B" w:rsidRDefault="00A3065B" w:rsidP="00A3065B">
      <w:pPr>
        <w:spacing w:after="0"/>
      </w:pPr>
    </w:p>
    <w:p w14:paraId="189F7069" w14:textId="77777777" w:rsidR="00815CED" w:rsidRDefault="00815CED" w:rsidP="00A3065B">
      <w:pPr>
        <w:spacing w:after="0"/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602"/>
        <w:gridCol w:w="5984"/>
      </w:tblGrid>
      <w:tr w:rsidR="00A3065B" w14:paraId="199D1778" w14:textId="77777777" w:rsidTr="00FD232A">
        <w:tc>
          <w:tcPr>
            <w:tcW w:w="3602" w:type="dxa"/>
          </w:tcPr>
          <w:p w14:paraId="37A82803" w14:textId="77777777" w:rsidR="00A3065B" w:rsidRPr="00A3065B" w:rsidRDefault="00A3065B" w:rsidP="00A3065B">
            <w:r>
              <w:t>Function</w:t>
            </w:r>
          </w:p>
        </w:tc>
        <w:tc>
          <w:tcPr>
            <w:tcW w:w="5984" w:type="dxa"/>
          </w:tcPr>
          <w:p w14:paraId="4913D9F3" w14:textId="77777777" w:rsidR="00A3065B" w:rsidRPr="00A3065B" w:rsidRDefault="00A3065B" w:rsidP="00A3065B">
            <w:r w:rsidRPr="00A3065B">
              <w:t>Issue</w:t>
            </w:r>
          </w:p>
        </w:tc>
      </w:tr>
      <w:tr w:rsidR="00A3065B" w14:paraId="650944B9" w14:textId="77777777" w:rsidTr="00FD232A">
        <w:tc>
          <w:tcPr>
            <w:tcW w:w="3602" w:type="dxa"/>
          </w:tcPr>
          <w:p w14:paraId="3A9A286B" w14:textId="77777777" w:rsidR="00A3065B" w:rsidRDefault="00A3065B" w:rsidP="00A3065B"/>
        </w:tc>
        <w:tc>
          <w:tcPr>
            <w:tcW w:w="5984" w:type="dxa"/>
          </w:tcPr>
          <w:p w14:paraId="470D51D5" w14:textId="77777777" w:rsidR="00A3065B" w:rsidRDefault="00A3065B" w:rsidP="00A3065B"/>
        </w:tc>
      </w:tr>
      <w:tr w:rsidR="00A3065B" w14:paraId="5C7B20BD" w14:textId="77777777" w:rsidTr="00FD232A">
        <w:tc>
          <w:tcPr>
            <w:tcW w:w="3602" w:type="dxa"/>
          </w:tcPr>
          <w:p w14:paraId="2F9E6013" w14:textId="77777777" w:rsidR="00352795" w:rsidRPr="00352795" w:rsidRDefault="00352795" w:rsidP="00352795">
            <w:pPr>
              <w:rPr>
                <w:noProof/>
              </w:rPr>
            </w:pPr>
            <w:r w:rsidRPr="00352795">
              <w:rPr>
                <w:noProof/>
              </w:rPr>
              <w:t xml:space="preserve">Accession Result Entry (ARE) </w:t>
            </w:r>
          </w:p>
          <w:p w14:paraId="69D87DD6" w14:textId="77777777" w:rsidR="00A3065B" w:rsidRDefault="00A3065B" w:rsidP="00A3065B"/>
        </w:tc>
        <w:tc>
          <w:tcPr>
            <w:tcW w:w="5984" w:type="dxa"/>
          </w:tcPr>
          <w:p w14:paraId="316058C7" w14:textId="77777777" w:rsidR="00352795" w:rsidRDefault="00352795" w:rsidP="00352795">
            <w:r w:rsidRPr="00E75D94">
              <w:t xml:space="preserve">In Accession Result </w:t>
            </w:r>
            <w:r>
              <w:t>Entry</w:t>
            </w:r>
            <w:r w:rsidRPr="00E75D94">
              <w:t>, if you open an accession number for an order that is not logged in as in-lab and the container is in a Dispatched status, the system now displays the correct age for the patient. Previously, the system displayed the patient age as Unknown.</w:t>
            </w:r>
          </w:p>
          <w:p w14:paraId="583AA28F" w14:textId="77777777" w:rsidR="00A3065B" w:rsidRDefault="00A3065B" w:rsidP="00A3065B"/>
        </w:tc>
      </w:tr>
      <w:tr w:rsidR="00352795" w14:paraId="22283629" w14:textId="77777777" w:rsidTr="00FD232A">
        <w:tc>
          <w:tcPr>
            <w:tcW w:w="3602" w:type="dxa"/>
          </w:tcPr>
          <w:p w14:paraId="7AA3D5DD" w14:textId="77777777" w:rsidR="00352795" w:rsidRPr="00352795" w:rsidRDefault="00352795" w:rsidP="00352795">
            <w:pPr>
              <w:rPr>
                <w:noProof/>
              </w:rPr>
            </w:pPr>
            <w:r w:rsidRPr="00BB3BF5">
              <w:rPr>
                <w:noProof/>
                <w:highlight w:val="yellow"/>
              </w:rPr>
              <w:t>Department Order Entry (DOE)</w:t>
            </w:r>
          </w:p>
          <w:p w14:paraId="7A506C01" w14:textId="77777777" w:rsidR="00352795" w:rsidRPr="00352795" w:rsidRDefault="00352795" w:rsidP="00352795">
            <w:pPr>
              <w:rPr>
                <w:noProof/>
              </w:rPr>
            </w:pPr>
          </w:p>
        </w:tc>
        <w:tc>
          <w:tcPr>
            <w:tcW w:w="5984" w:type="dxa"/>
          </w:tcPr>
          <w:p w14:paraId="7A4C51C7" w14:textId="77777777" w:rsidR="00352795" w:rsidRDefault="00352795" w:rsidP="00352795">
            <w:r w:rsidRPr="00D558E5">
              <w:t>Department O</w:t>
            </w:r>
            <w:r>
              <w:t xml:space="preserve">rder Entry </w:t>
            </w:r>
            <w:r w:rsidRPr="00D558E5">
              <w:t xml:space="preserve">now functions as expected when </w:t>
            </w:r>
            <w:r>
              <w:t xml:space="preserve">you </w:t>
            </w:r>
            <w:r w:rsidRPr="00D558E5">
              <w:t>have a pending order on the scratch pad and you attempt to close the application. Previously, the application was slow to respond and displayed a system message asking if you want to close the application; however, if you clicked No, the application still closed.</w:t>
            </w:r>
          </w:p>
          <w:p w14:paraId="5CEA4364" w14:textId="77777777" w:rsidR="00352795" w:rsidRPr="00E75D94" w:rsidRDefault="00352795" w:rsidP="00352795"/>
        </w:tc>
      </w:tr>
      <w:tr w:rsidR="00352795" w14:paraId="0B954FF5" w14:textId="77777777" w:rsidTr="00FD232A">
        <w:tc>
          <w:tcPr>
            <w:tcW w:w="3602" w:type="dxa"/>
          </w:tcPr>
          <w:p w14:paraId="7BB28CC5" w14:textId="77777777" w:rsidR="00352795" w:rsidRPr="00352795" w:rsidRDefault="00352795" w:rsidP="00352795">
            <w:pPr>
              <w:rPr>
                <w:noProof/>
              </w:rPr>
            </w:pPr>
            <w:r w:rsidRPr="00352795">
              <w:rPr>
                <w:rFonts w:cs="Calibri"/>
              </w:rPr>
              <w:t>Test Site Lookup</w:t>
            </w:r>
          </w:p>
        </w:tc>
        <w:tc>
          <w:tcPr>
            <w:tcW w:w="5984" w:type="dxa"/>
          </w:tcPr>
          <w:p w14:paraId="0BCF6585" w14:textId="77777777" w:rsidR="00352795" w:rsidRDefault="00352795" w:rsidP="00352795">
            <w:r w:rsidRPr="00352795">
              <w:rPr>
                <w:rFonts w:cstheme="minorHAnsi"/>
              </w:rPr>
              <w:t>The Test Site Lookup dialog box now displays the complete name of all test sites. Previously, test site names greater than 26 characters were truncated.</w:t>
            </w:r>
          </w:p>
          <w:p w14:paraId="2E764DD9" w14:textId="77777777" w:rsidR="00352795" w:rsidRPr="00D558E5" w:rsidRDefault="00352795" w:rsidP="00352795"/>
        </w:tc>
      </w:tr>
      <w:tr w:rsidR="00352795" w14:paraId="6C562EDA" w14:textId="77777777" w:rsidTr="00FD232A">
        <w:tc>
          <w:tcPr>
            <w:tcW w:w="3602" w:type="dxa"/>
          </w:tcPr>
          <w:p w14:paraId="7A292079" w14:textId="77777777" w:rsidR="00352795" w:rsidRPr="00352795" w:rsidRDefault="00352795" w:rsidP="00352795">
            <w:pPr>
              <w:rPr>
                <w:rFonts w:cs="Calibri"/>
              </w:rPr>
            </w:pPr>
            <w:r w:rsidRPr="00352795">
              <w:rPr>
                <w:rFonts w:cs="Calibri"/>
              </w:rPr>
              <w:t>QC Inquiry</w:t>
            </w:r>
          </w:p>
        </w:tc>
        <w:tc>
          <w:tcPr>
            <w:tcW w:w="5984" w:type="dxa"/>
          </w:tcPr>
          <w:p w14:paraId="16CFC42F" w14:textId="77777777" w:rsidR="00352795" w:rsidRPr="00352795" w:rsidRDefault="00352795" w:rsidP="00352795">
            <w:pPr>
              <w:rPr>
                <w:rFonts w:eastAsia="Times New Roman" w:cstheme="minorHAnsi"/>
              </w:rPr>
            </w:pPr>
            <w:r w:rsidRPr="00352795">
              <w:rPr>
                <w:rFonts w:eastAsia="Times New Roman" w:cstheme="minorHAnsi"/>
              </w:rPr>
              <w:t>The Levey-Jennings chart in QC Inquiry (QCInquiry.exe) now displays the horizontal grid lines.</w:t>
            </w:r>
          </w:p>
          <w:p w14:paraId="3BA60D3A" w14:textId="77777777" w:rsidR="00352795" w:rsidRPr="00352795" w:rsidRDefault="00352795" w:rsidP="00352795">
            <w:pPr>
              <w:rPr>
                <w:rFonts w:cstheme="minorHAnsi"/>
              </w:rPr>
            </w:pPr>
          </w:p>
        </w:tc>
      </w:tr>
      <w:tr w:rsidR="00352795" w14:paraId="5F82CF34" w14:textId="77777777" w:rsidTr="00FD232A">
        <w:tc>
          <w:tcPr>
            <w:tcW w:w="3602" w:type="dxa"/>
          </w:tcPr>
          <w:p w14:paraId="415057A8" w14:textId="77777777" w:rsidR="00F60F08" w:rsidRPr="00F60F08" w:rsidRDefault="00F60F08" w:rsidP="00F60F08">
            <w:pPr>
              <w:spacing w:before="100" w:beforeAutospacing="1" w:after="100" w:afterAutospacing="1"/>
              <w:rPr>
                <w:rFonts w:cs="Calibri"/>
              </w:rPr>
            </w:pPr>
            <w:r w:rsidRPr="00BB3BF5">
              <w:rPr>
                <w:rFonts w:cs="Calibri"/>
                <w:highlight w:val="yellow"/>
              </w:rPr>
              <w:t>Collections Inquiry</w:t>
            </w:r>
          </w:p>
          <w:p w14:paraId="423FA89D" w14:textId="77777777" w:rsidR="00352795" w:rsidRPr="00F60F08" w:rsidRDefault="00352795" w:rsidP="00352795">
            <w:pPr>
              <w:rPr>
                <w:rFonts w:cs="Calibri"/>
              </w:rPr>
            </w:pPr>
          </w:p>
        </w:tc>
        <w:tc>
          <w:tcPr>
            <w:tcW w:w="5984" w:type="dxa"/>
          </w:tcPr>
          <w:p w14:paraId="1F346E0C" w14:textId="77777777" w:rsidR="00F60F08" w:rsidRPr="00F60F08" w:rsidRDefault="00F60F08" w:rsidP="00F60F08">
            <w:pPr>
              <w:rPr>
                <w:rFonts w:eastAsia="Times New Roman" w:cs="Calibri"/>
              </w:rPr>
            </w:pPr>
            <w:r w:rsidRPr="00F60F08">
              <w:rPr>
                <w:rFonts w:eastAsia="Times New Roman" w:cs="Calibri"/>
              </w:rPr>
              <w:t>Collections Inquiry now displays the appropriate heading on the Orders spreadsheet when you retrieve a collection list. Previously, the Inquiry By Collection List heading on the spreadsheet was displayed as Inquiry by Transfer List.</w:t>
            </w:r>
          </w:p>
          <w:p w14:paraId="396E8220" w14:textId="77777777" w:rsidR="00352795" w:rsidRPr="00352795" w:rsidRDefault="00352795" w:rsidP="00352795">
            <w:pPr>
              <w:rPr>
                <w:rFonts w:eastAsia="Times New Roman" w:cstheme="minorHAnsi"/>
              </w:rPr>
            </w:pPr>
          </w:p>
        </w:tc>
      </w:tr>
      <w:tr w:rsidR="00F60F08" w14:paraId="761F10C6" w14:textId="77777777" w:rsidTr="00FD232A">
        <w:tc>
          <w:tcPr>
            <w:tcW w:w="3602" w:type="dxa"/>
          </w:tcPr>
          <w:p w14:paraId="3853E5F8" w14:textId="77777777" w:rsidR="00F60F08" w:rsidRPr="0001191C" w:rsidRDefault="0001191C" w:rsidP="00F60F08">
            <w:pPr>
              <w:spacing w:before="100" w:beforeAutospacing="1" w:after="100" w:afterAutospacing="1"/>
              <w:rPr>
                <w:rFonts w:cs="Calibri"/>
              </w:rPr>
            </w:pPr>
            <w:r w:rsidRPr="00BB3BF5">
              <w:rPr>
                <w:rFonts w:cs="Calibri"/>
                <w:highlight w:val="yellow"/>
              </w:rPr>
              <w:t>Label Reprint</w:t>
            </w:r>
          </w:p>
        </w:tc>
        <w:tc>
          <w:tcPr>
            <w:tcW w:w="5984" w:type="dxa"/>
          </w:tcPr>
          <w:p w14:paraId="05AA1A0A" w14:textId="77777777" w:rsidR="0001191C" w:rsidRPr="0001191C" w:rsidRDefault="0001191C" w:rsidP="0001191C">
            <w:pPr>
              <w:rPr>
                <w:rFonts w:eastAsia="Times New Roman" w:cs="Calibri"/>
              </w:rPr>
            </w:pPr>
            <w:r w:rsidRPr="0001191C">
              <w:rPr>
                <w:rFonts w:eastAsia="Times New Roman" w:cs="Calibri"/>
              </w:rPr>
              <w:t>Label Reprint now prints a single container label for an order with multiple containers. Previously, the system did not recognize the single container.</w:t>
            </w:r>
          </w:p>
          <w:p w14:paraId="69B594EC" w14:textId="77777777" w:rsidR="00F60F08" w:rsidRPr="00F60F08" w:rsidRDefault="00F60F08" w:rsidP="00F60F08">
            <w:pPr>
              <w:rPr>
                <w:rFonts w:eastAsia="Times New Roman" w:cs="Calibri"/>
              </w:rPr>
            </w:pPr>
          </w:p>
        </w:tc>
      </w:tr>
      <w:tr w:rsidR="0001191C" w14:paraId="3CDB86BA" w14:textId="77777777" w:rsidTr="00FD232A">
        <w:tc>
          <w:tcPr>
            <w:tcW w:w="3602" w:type="dxa"/>
          </w:tcPr>
          <w:p w14:paraId="20D3837A" w14:textId="77777777" w:rsidR="0001191C" w:rsidRPr="0001191C" w:rsidRDefault="0001191C" w:rsidP="00F60F08">
            <w:pPr>
              <w:spacing w:before="100" w:beforeAutospacing="1" w:after="100" w:afterAutospacing="1"/>
              <w:rPr>
                <w:rFonts w:cs="Calibri"/>
              </w:rPr>
            </w:pPr>
            <w:r w:rsidRPr="00BB3BF5">
              <w:rPr>
                <w:noProof/>
                <w:highlight w:val="yellow"/>
              </w:rPr>
              <w:t xml:space="preserve">Modify </w:t>
            </w:r>
            <w:r w:rsidRPr="00BB3BF5">
              <w:rPr>
                <w:rFonts w:cs="Calibri"/>
                <w:highlight w:val="yellow"/>
              </w:rPr>
              <w:t>Collections</w:t>
            </w:r>
          </w:p>
        </w:tc>
        <w:tc>
          <w:tcPr>
            <w:tcW w:w="5984" w:type="dxa"/>
          </w:tcPr>
          <w:p w14:paraId="6D67A96C" w14:textId="77777777" w:rsidR="0001191C" w:rsidRPr="0001191C" w:rsidRDefault="0001191C" w:rsidP="0001191C">
            <w:pPr>
              <w:rPr>
                <w:rFonts w:eastAsia="Times New Roman" w:cs="Calibri"/>
              </w:rPr>
            </w:pPr>
            <w:r w:rsidRPr="0061245D">
              <w:rPr>
                <w:rFonts w:eastAsia="Times New Roman" w:cs="Calibri"/>
              </w:rPr>
              <w:t>Modify Collections displays a system message when you attempt to modify a collected date and time on a sample to a time that is after the specimen received date and time. Previously, the system allowed the incorrect collected date and time.</w:t>
            </w:r>
          </w:p>
        </w:tc>
      </w:tr>
      <w:tr w:rsidR="0001191C" w14:paraId="4F314CAE" w14:textId="77777777" w:rsidTr="00FD232A">
        <w:tc>
          <w:tcPr>
            <w:tcW w:w="3602" w:type="dxa"/>
          </w:tcPr>
          <w:p w14:paraId="4CCC5607" w14:textId="77777777" w:rsidR="0001191C" w:rsidRPr="0001191C" w:rsidRDefault="0001191C" w:rsidP="00F60F08">
            <w:pPr>
              <w:spacing w:before="100" w:beforeAutospacing="1" w:after="100" w:afterAutospacing="1"/>
              <w:rPr>
                <w:noProof/>
              </w:rPr>
            </w:pPr>
            <w:r w:rsidRPr="0001191C">
              <w:rPr>
                <w:noProof/>
              </w:rPr>
              <w:t>OSM Requisition Order Entry (ROE)</w:t>
            </w:r>
          </w:p>
        </w:tc>
        <w:tc>
          <w:tcPr>
            <w:tcW w:w="5984" w:type="dxa"/>
          </w:tcPr>
          <w:p w14:paraId="560D16D2" w14:textId="77777777" w:rsidR="0001191C" w:rsidRPr="0061245D" w:rsidRDefault="0001191C" w:rsidP="0001191C">
            <w:pPr>
              <w:rPr>
                <w:rFonts w:eastAsia="Times New Roman" w:cs="Calibri"/>
              </w:rPr>
            </w:pPr>
            <w:r>
              <w:rPr>
                <w:rFonts w:cstheme="minorHAnsi"/>
              </w:rPr>
              <w:t>OSM Requisition Order Entry</w:t>
            </w:r>
            <w:r w:rsidRPr="00327573">
              <w:rPr>
                <w:rFonts w:cstheme="minorHAnsi"/>
              </w:rPr>
              <w:t xml:space="preserve"> now populates the Orderable cell with the primary synonym for an orderable item when you enter the outreach synonym or ancillary synonym. Previously, the outreach or ancillary synonyms were displayed</w:t>
            </w:r>
          </w:p>
        </w:tc>
      </w:tr>
      <w:tr w:rsidR="0001191C" w14:paraId="39E959DC" w14:textId="77777777" w:rsidTr="00FD232A">
        <w:tc>
          <w:tcPr>
            <w:tcW w:w="3602" w:type="dxa"/>
          </w:tcPr>
          <w:p w14:paraId="3157999C" w14:textId="77777777" w:rsidR="0001191C" w:rsidRPr="0001191C" w:rsidRDefault="0001191C" w:rsidP="0001191C">
            <w:pPr>
              <w:rPr>
                <w:rFonts w:eastAsia="Times New Roman" w:cs="Calibri"/>
              </w:rPr>
            </w:pPr>
            <w:r w:rsidRPr="0001191C">
              <w:rPr>
                <w:noProof/>
              </w:rPr>
              <w:t>Sendout testing</w:t>
            </w:r>
          </w:p>
          <w:p w14:paraId="08ACCCD1" w14:textId="77777777" w:rsidR="0001191C" w:rsidRPr="0001191C" w:rsidRDefault="0001191C" w:rsidP="00F60F08">
            <w:pPr>
              <w:spacing w:before="100" w:beforeAutospacing="1" w:after="100" w:afterAutospacing="1"/>
              <w:rPr>
                <w:noProof/>
              </w:rPr>
            </w:pPr>
          </w:p>
        </w:tc>
        <w:tc>
          <w:tcPr>
            <w:tcW w:w="5984" w:type="dxa"/>
          </w:tcPr>
          <w:p w14:paraId="683A2AEA" w14:textId="77777777" w:rsidR="0001191C" w:rsidRPr="0001191C" w:rsidRDefault="0001191C" w:rsidP="0001191C">
            <w:pPr>
              <w:pStyle w:val="NormalWeb"/>
              <w:rPr>
                <w:rFonts w:asciiTheme="minorHAnsi" w:eastAsiaTheme="minorHAnsi" w:hAnsiTheme="minorHAnsi" w:cstheme="minorHAnsi"/>
                <w:color w:val="000000"/>
                <w:position w:val="3"/>
                <w:sz w:val="22"/>
                <w:szCs w:val="22"/>
              </w:rPr>
            </w:pPr>
            <w:r w:rsidRPr="0001191C">
              <w:rPr>
                <w:rFonts w:asciiTheme="minorHAnsi" w:hAnsiTheme="minorHAnsi" w:cstheme="minorHAnsi"/>
                <w:color w:val="1C1F21"/>
                <w:sz w:val="22"/>
                <w:szCs w:val="22"/>
              </w:rPr>
              <w:t xml:space="preserve">When a reflex order from a reference laboratory is sent through the interface, the add-on order will now inherit the collection </w:t>
            </w:r>
            <w:r w:rsidRPr="0001191C">
              <w:rPr>
                <w:rFonts w:asciiTheme="minorHAnsi" w:hAnsiTheme="minorHAnsi" w:cstheme="minorHAnsi"/>
                <w:color w:val="1C1F21"/>
                <w:sz w:val="22"/>
                <w:szCs w:val="22"/>
              </w:rPr>
              <w:lastRenderedPageBreak/>
              <w:t>priority, reporting priority, specimen type, and ordering physician details from the parent order.</w:t>
            </w:r>
          </w:p>
          <w:p w14:paraId="1A8D4DAB" w14:textId="77777777" w:rsidR="0001191C" w:rsidRPr="0001191C" w:rsidRDefault="0001191C" w:rsidP="0001191C">
            <w:pPr>
              <w:rPr>
                <w:rFonts w:cstheme="minorHAnsi"/>
              </w:rPr>
            </w:pPr>
          </w:p>
        </w:tc>
      </w:tr>
      <w:tr w:rsidR="0001191C" w14:paraId="464D5CF6" w14:textId="77777777" w:rsidTr="00FD232A">
        <w:tc>
          <w:tcPr>
            <w:tcW w:w="3602" w:type="dxa"/>
          </w:tcPr>
          <w:p w14:paraId="4829245D" w14:textId="77777777" w:rsidR="0001191C" w:rsidRPr="0001191C" w:rsidRDefault="0001191C" w:rsidP="0001191C">
            <w:pPr>
              <w:pStyle w:val="ListParagraph"/>
              <w:spacing w:after="0" w:line="240" w:lineRule="auto"/>
              <w:ind w:left="0"/>
            </w:pPr>
            <w:r w:rsidRPr="0001191C">
              <w:rPr>
                <w:color w:val="000000"/>
              </w:rPr>
              <w:lastRenderedPageBreak/>
              <w:t>Microbiology Result Entry (MRE)</w:t>
            </w:r>
          </w:p>
          <w:p w14:paraId="6D64DCA6" w14:textId="77777777" w:rsidR="0001191C" w:rsidRPr="0001191C" w:rsidRDefault="0001191C" w:rsidP="0001191C">
            <w:pPr>
              <w:rPr>
                <w:noProof/>
              </w:rPr>
            </w:pPr>
          </w:p>
        </w:tc>
        <w:tc>
          <w:tcPr>
            <w:tcW w:w="5984" w:type="dxa"/>
          </w:tcPr>
          <w:p w14:paraId="5171B67A" w14:textId="77777777" w:rsidR="0001191C" w:rsidRPr="0001191C" w:rsidRDefault="0001191C" w:rsidP="0001191C">
            <w:pPr>
              <w:rPr>
                <w:b/>
                <w:noProof/>
                <w:sz w:val="28"/>
                <w:szCs w:val="28"/>
              </w:rPr>
            </w:pPr>
            <w:r w:rsidRPr="0001191C">
              <w:rPr>
                <w:sz w:val="20"/>
                <w:szCs w:val="20"/>
              </w:rPr>
              <w:t>Microbiology Result Entry (MicResultEntry.exe) now displays the appropriate group response on the report when the selected group response is associated with a previous report. Previously, the system carried over the previous report response.</w:t>
            </w:r>
          </w:p>
          <w:p w14:paraId="12724F00" w14:textId="77777777" w:rsidR="0001191C" w:rsidRDefault="0001191C" w:rsidP="0001191C">
            <w:pPr>
              <w:pStyle w:val="NormalWeb"/>
              <w:ind w:left="720"/>
              <w:rPr>
                <w:rFonts w:ascii="Helvetica" w:hAnsi="Helvetica" w:cs="Helvetica"/>
                <w:color w:val="1C1F21"/>
                <w:sz w:val="21"/>
                <w:szCs w:val="21"/>
              </w:rPr>
            </w:pPr>
          </w:p>
        </w:tc>
      </w:tr>
      <w:tr w:rsidR="00455DD6" w14:paraId="00763AD6" w14:textId="77777777" w:rsidTr="00FD232A">
        <w:tc>
          <w:tcPr>
            <w:tcW w:w="3602" w:type="dxa"/>
          </w:tcPr>
          <w:p w14:paraId="20F4186B" w14:textId="77777777" w:rsidR="00455DD6" w:rsidRPr="0069692E" w:rsidRDefault="00455DD6" w:rsidP="00455DD6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 w:rsidRPr="0069692E">
              <w:rPr>
                <w:noProof/>
              </w:rPr>
              <w:t>Differential Mode in ARE</w:t>
            </w:r>
          </w:p>
          <w:p w14:paraId="4F598C8C" w14:textId="77777777" w:rsidR="00455DD6" w:rsidRPr="0069692E" w:rsidRDefault="00455DD6" w:rsidP="0001191C">
            <w:pPr>
              <w:pStyle w:val="ListParagraph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5984" w:type="dxa"/>
          </w:tcPr>
          <w:p w14:paraId="3971C23B" w14:textId="77777777" w:rsidR="00455DD6" w:rsidRPr="00A959EA" w:rsidRDefault="00455DD6" w:rsidP="00455DD6">
            <w:r w:rsidRPr="00A959EA">
              <w:t>Accession Result Entry (AccessionResultEntry.exe) now recognizes the saved window size and location settings when you switch to Differential mode from Accession mode.</w:t>
            </w:r>
          </w:p>
          <w:p w14:paraId="5C35366F" w14:textId="77777777" w:rsidR="00455DD6" w:rsidRPr="0001191C" w:rsidRDefault="00455DD6" w:rsidP="0001191C">
            <w:pPr>
              <w:rPr>
                <w:sz w:val="20"/>
                <w:szCs w:val="20"/>
              </w:rPr>
            </w:pPr>
          </w:p>
        </w:tc>
      </w:tr>
      <w:tr w:rsidR="0069692E" w14:paraId="4383324A" w14:textId="77777777" w:rsidTr="00FD232A">
        <w:tc>
          <w:tcPr>
            <w:tcW w:w="3602" w:type="dxa"/>
          </w:tcPr>
          <w:p w14:paraId="52BBD68B" w14:textId="77777777" w:rsidR="0069692E" w:rsidRPr="0069692E" w:rsidRDefault="0069692E" w:rsidP="00455DD6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F</w:t>
            </w:r>
            <w:r w:rsidRPr="0069692E">
              <w:rPr>
                <w:noProof/>
              </w:rPr>
              <w:t>ax</w:t>
            </w:r>
            <w:r>
              <w:rPr>
                <w:noProof/>
              </w:rPr>
              <w:t>iing</w:t>
            </w:r>
            <w:r w:rsidRPr="0069692E">
              <w:rPr>
                <w:noProof/>
              </w:rPr>
              <w:t xml:space="preserve"> patient reports</w:t>
            </w:r>
          </w:p>
        </w:tc>
        <w:tc>
          <w:tcPr>
            <w:tcW w:w="5984" w:type="dxa"/>
          </w:tcPr>
          <w:p w14:paraId="0B22722F" w14:textId="77777777" w:rsidR="0069692E" w:rsidRPr="0069692E" w:rsidRDefault="0069692E" w:rsidP="00455DD6">
            <w:r w:rsidRPr="0069692E">
              <w:rPr>
                <w:rStyle w:val="Strong"/>
                <w:rFonts w:cs="Arial"/>
                <w:b w:val="0"/>
                <w:szCs w:val="21"/>
              </w:rPr>
              <w:t>Dialing a local 7 or 4 digit number will no longer be acceptable.</w:t>
            </w:r>
            <w:r w:rsidRPr="0069692E">
              <w:rPr>
                <w:rStyle w:val="Strong"/>
                <w:rFonts w:cs="Arial"/>
                <w:szCs w:val="21"/>
              </w:rPr>
              <w:t xml:space="preserve"> </w:t>
            </w:r>
            <w:r w:rsidRPr="0069692E">
              <w:rPr>
                <w:rFonts w:eastAsia="Times New Roman" w:cs="Arial"/>
                <w:szCs w:val="21"/>
              </w:rPr>
              <w:t xml:space="preserve">All faxes must be sent to a 10 digit fax number.  </w:t>
            </w:r>
            <w:r w:rsidRPr="0069692E">
              <w:t>The “1” is no longer necessary for long distance.</w:t>
            </w:r>
          </w:p>
        </w:tc>
      </w:tr>
      <w:tr w:rsidR="00B960BB" w14:paraId="718682C7" w14:textId="77777777" w:rsidTr="00FD232A">
        <w:tc>
          <w:tcPr>
            <w:tcW w:w="3602" w:type="dxa"/>
          </w:tcPr>
          <w:p w14:paraId="1B2D2A16" w14:textId="77777777" w:rsidR="00B960BB" w:rsidRDefault="00B960BB" w:rsidP="00455DD6">
            <w:pPr>
              <w:pStyle w:val="ListParagraph"/>
              <w:spacing w:after="0" w:line="240" w:lineRule="auto"/>
              <w:ind w:left="0"/>
              <w:rPr>
                <w:noProof/>
              </w:rPr>
            </w:pPr>
            <w:r w:rsidRPr="00BB3BF5">
              <w:rPr>
                <w:noProof/>
                <w:highlight w:val="yellow"/>
              </w:rPr>
              <w:t>Comment Viewer</w:t>
            </w:r>
          </w:p>
        </w:tc>
        <w:tc>
          <w:tcPr>
            <w:tcW w:w="5984" w:type="dxa"/>
          </w:tcPr>
          <w:p w14:paraId="2EB4425E" w14:textId="77777777" w:rsidR="00B960BB" w:rsidRPr="00B960BB" w:rsidRDefault="00B960BB" w:rsidP="00B960BB">
            <w:pPr>
              <w:rPr>
                <w:rFonts w:eastAsia="Times New Roman" w:cs="Calibri"/>
              </w:rPr>
            </w:pPr>
            <w:r w:rsidRPr="00B960BB">
              <w:rPr>
                <w:rFonts w:eastAsia="Times New Roman" w:cs="Calibri"/>
              </w:rPr>
              <w:t>The Cancel Comment option is now displayed correctly in the Comment Viewer dialog box in the View Options section. Previously, the option was displayed as Cancel Reason.</w:t>
            </w:r>
          </w:p>
          <w:p w14:paraId="5462E8B6" w14:textId="77777777" w:rsidR="00B960BB" w:rsidRPr="0069692E" w:rsidRDefault="00B960BB" w:rsidP="00455DD6">
            <w:pPr>
              <w:rPr>
                <w:rStyle w:val="Strong"/>
                <w:rFonts w:cs="Arial"/>
                <w:b w:val="0"/>
                <w:szCs w:val="21"/>
              </w:rPr>
            </w:pPr>
          </w:p>
        </w:tc>
      </w:tr>
    </w:tbl>
    <w:p w14:paraId="50540560" w14:textId="77777777" w:rsidR="005B62AB" w:rsidRDefault="005B62AB" w:rsidP="00A3065B">
      <w:pPr>
        <w:spacing w:after="0"/>
      </w:pPr>
    </w:p>
    <w:p w14:paraId="425F2218" w14:textId="77777777" w:rsidR="00815CED" w:rsidRDefault="00815CED" w:rsidP="00A3065B">
      <w:pPr>
        <w:spacing w:after="0"/>
      </w:pPr>
    </w:p>
    <w:p w14:paraId="56ABD3FA" w14:textId="77777777" w:rsidR="00815CED" w:rsidRDefault="00815CED" w:rsidP="00A3065B">
      <w:pPr>
        <w:spacing w:after="0"/>
      </w:pPr>
    </w:p>
    <w:p w14:paraId="18EFEED2" w14:textId="77777777" w:rsidR="00815CED" w:rsidRDefault="00815CED" w:rsidP="00A3065B">
      <w:pPr>
        <w:spacing w:after="0"/>
      </w:pPr>
    </w:p>
    <w:p w14:paraId="47A9AF54" w14:textId="77777777" w:rsidR="00815CED" w:rsidRDefault="00815CED" w:rsidP="00A3065B">
      <w:pPr>
        <w:spacing w:after="0"/>
      </w:pPr>
    </w:p>
    <w:p w14:paraId="53B7F677" w14:textId="77777777" w:rsidR="00815CED" w:rsidRDefault="00815CED" w:rsidP="00A3065B">
      <w:pPr>
        <w:spacing w:after="0"/>
      </w:pPr>
    </w:p>
    <w:p w14:paraId="537721F9" w14:textId="77777777" w:rsidR="00815CED" w:rsidRDefault="00815CED" w:rsidP="00A3065B">
      <w:pPr>
        <w:spacing w:after="0"/>
      </w:pPr>
    </w:p>
    <w:p w14:paraId="1C5F3922" w14:textId="77777777" w:rsidR="00815CED" w:rsidRDefault="00815CED" w:rsidP="00A3065B">
      <w:pPr>
        <w:spacing w:after="0"/>
      </w:pPr>
      <w:bookmarkStart w:id="0" w:name="_GoBack"/>
      <w:r>
        <w:t>I have read and understand the changes t</w:t>
      </w:r>
      <w:r w:rsidR="00576A73">
        <w:t xml:space="preserve">o the </w:t>
      </w:r>
      <w:r w:rsidR="00455DD6">
        <w:t>Cerner system for the 2018.01.10</w:t>
      </w:r>
      <w:r>
        <w:t xml:space="preserve"> upgrade.</w:t>
      </w:r>
    </w:p>
    <w:p w14:paraId="0C1F8181" w14:textId="77777777" w:rsidR="00815CED" w:rsidRDefault="00815CED" w:rsidP="00A3065B">
      <w:pPr>
        <w:spacing w:after="0"/>
      </w:pPr>
    </w:p>
    <w:bookmarkEnd w:id="0"/>
    <w:p w14:paraId="2FB7F586" w14:textId="77777777" w:rsidR="00815CED" w:rsidRDefault="00815CED" w:rsidP="00A3065B">
      <w:pPr>
        <w:spacing w:after="0"/>
      </w:pPr>
    </w:p>
    <w:p w14:paraId="3F52F058" w14:textId="77777777" w:rsidR="00815CED" w:rsidRDefault="00815CED" w:rsidP="00A3065B">
      <w:pPr>
        <w:spacing w:after="0"/>
      </w:pPr>
    </w:p>
    <w:p w14:paraId="6BDB3190" w14:textId="77777777" w:rsidR="00815CED" w:rsidRDefault="00815CED" w:rsidP="00A3065B">
      <w:pPr>
        <w:spacing w:after="0"/>
      </w:pPr>
    </w:p>
    <w:p w14:paraId="53095A19" w14:textId="77777777" w:rsidR="00815CED" w:rsidRDefault="00815CED" w:rsidP="00815CED">
      <w:pPr>
        <w:spacing w:before="240" w:after="0"/>
      </w:pPr>
      <w:r>
        <w:t>______________________________________</w:t>
      </w:r>
      <w:r>
        <w:tab/>
      </w:r>
      <w:r>
        <w:tab/>
      </w:r>
      <w:r>
        <w:tab/>
      </w:r>
      <w:r>
        <w:tab/>
        <w:t>__________________</w:t>
      </w:r>
      <w:r>
        <w:tab/>
      </w:r>
    </w:p>
    <w:p w14:paraId="28D2436E" w14:textId="77777777" w:rsidR="005B62AB" w:rsidRDefault="001B523A" w:rsidP="00815CED">
      <w:pPr>
        <w:spacing w:before="240" w:after="0"/>
      </w:pPr>
      <w:r>
        <w:t>Employee signature</w:t>
      </w:r>
      <w:r w:rsidR="00815CED">
        <w:tab/>
      </w:r>
      <w:r w:rsidR="00815CED">
        <w:tab/>
      </w:r>
      <w:r w:rsidR="00815CED">
        <w:tab/>
      </w:r>
      <w:r w:rsidR="00815CED">
        <w:tab/>
      </w:r>
      <w:r w:rsidR="00815CED">
        <w:tab/>
      </w:r>
      <w:r w:rsidR="00815CED">
        <w:tab/>
      </w:r>
      <w:r w:rsidR="00815CED">
        <w:tab/>
      </w:r>
      <w:r w:rsidR="00815CED">
        <w:tab/>
        <w:t>Date</w:t>
      </w:r>
    </w:p>
    <w:p w14:paraId="25719E57" w14:textId="77777777" w:rsidR="00B07BE8" w:rsidRPr="00A3065B" w:rsidRDefault="00B07BE8" w:rsidP="00B07BE8">
      <w:pPr>
        <w:spacing w:after="0"/>
        <w:jc w:val="center"/>
        <w:rPr>
          <w:b/>
        </w:rPr>
      </w:pPr>
      <w:r w:rsidRPr="00A3065B">
        <w:rPr>
          <w:b/>
        </w:rPr>
        <w:t>Lab FAQs for documentation of user review</w:t>
      </w:r>
    </w:p>
    <w:sectPr w:rsidR="00B07BE8" w:rsidRPr="00A3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15E"/>
    <w:multiLevelType w:val="hybridMultilevel"/>
    <w:tmpl w:val="3452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80697"/>
    <w:multiLevelType w:val="hybridMultilevel"/>
    <w:tmpl w:val="E18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B"/>
    <w:rsid w:val="0001191C"/>
    <w:rsid w:val="000E72F4"/>
    <w:rsid w:val="001B523A"/>
    <w:rsid w:val="001C179F"/>
    <w:rsid w:val="00352795"/>
    <w:rsid w:val="003673A6"/>
    <w:rsid w:val="003D7042"/>
    <w:rsid w:val="00455DD6"/>
    <w:rsid w:val="00576A73"/>
    <w:rsid w:val="005B62AB"/>
    <w:rsid w:val="00630D9F"/>
    <w:rsid w:val="0069692E"/>
    <w:rsid w:val="00815CED"/>
    <w:rsid w:val="009D418D"/>
    <w:rsid w:val="00A3065B"/>
    <w:rsid w:val="00A51C1F"/>
    <w:rsid w:val="00B07BE8"/>
    <w:rsid w:val="00B51DEC"/>
    <w:rsid w:val="00B960BB"/>
    <w:rsid w:val="00BB3BF5"/>
    <w:rsid w:val="00BB407A"/>
    <w:rsid w:val="00D05F07"/>
    <w:rsid w:val="00E41BF4"/>
    <w:rsid w:val="00F10EDB"/>
    <w:rsid w:val="00F60F08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BDEE"/>
  <w15:chartTrackingRefBased/>
  <w15:docId w15:val="{19FCA7AC-05F1-46AB-9B7D-12BFEB52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0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119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E0A4-0B87-4BC4-A3EF-3347836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Cabage, Joseph</dc:creator>
  <cp:keywords/>
  <dc:description/>
  <cp:lastModifiedBy>Slayten, Jay K</cp:lastModifiedBy>
  <cp:revision>2</cp:revision>
  <cp:lastPrinted>2019-01-24T21:17:00Z</cp:lastPrinted>
  <dcterms:created xsi:type="dcterms:W3CDTF">2019-11-23T05:32:00Z</dcterms:created>
  <dcterms:modified xsi:type="dcterms:W3CDTF">2019-11-23T05:32:00Z</dcterms:modified>
</cp:coreProperties>
</file>