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C841" w14:textId="34DF7C4C" w:rsidR="008420F1" w:rsidRPr="00FA444C" w:rsidRDefault="003F31E8" w:rsidP="003F31E8">
      <w:pPr>
        <w:rPr>
          <w:rFonts w:ascii="Arial" w:hAnsi="Arial" w:cs="Arial"/>
          <w:b/>
          <w:sz w:val="22"/>
          <w:szCs w:val="22"/>
        </w:rPr>
      </w:pPr>
      <w:r w:rsidRPr="00FA444C">
        <w:rPr>
          <w:rFonts w:ascii="Arial" w:hAnsi="Arial" w:cs="Arial"/>
          <w:b/>
          <w:sz w:val="22"/>
          <w:szCs w:val="22"/>
        </w:rPr>
        <w:t>Speakers:</w:t>
      </w:r>
      <w:r w:rsidR="003930FA">
        <w:rPr>
          <w:rFonts w:ascii="Arial" w:hAnsi="Arial" w:cs="Arial"/>
          <w:b/>
          <w:sz w:val="22"/>
          <w:szCs w:val="22"/>
        </w:rPr>
        <w:t xml:space="preserve">  </w:t>
      </w:r>
      <w:r w:rsidR="00F14649">
        <w:rPr>
          <w:rFonts w:ascii="Arial" w:hAnsi="Arial" w:cs="Arial"/>
          <w:b/>
          <w:sz w:val="22"/>
          <w:szCs w:val="22"/>
        </w:rPr>
        <w:t xml:space="preserve">Current Being Verified. </w:t>
      </w:r>
    </w:p>
    <w:p w14:paraId="4D8144E7" w14:textId="7F2EDBEF" w:rsidR="003F31E8" w:rsidRPr="00FA444C" w:rsidRDefault="003F31E8" w:rsidP="003F31E8">
      <w:pPr>
        <w:rPr>
          <w:rFonts w:ascii="Arial" w:hAnsi="Arial" w:cs="Arial"/>
          <w:sz w:val="22"/>
          <w:szCs w:val="22"/>
        </w:rPr>
      </w:pPr>
      <w:r w:rsidRPr="00FA444C">
        <w:rPr>
          <w:rFonts w:ascii="Arial" w:hAnsi="Arial" w:cs="Arial"/>
          <w:sz w:val="22"/>
          <w:szCs w:val="22"/>
        </w:rPr>
        <w:t>Intended Audience: Physicians, Technologists, Managers/Supervisors</w:t>
      </w:r>
    </w:p>
    <w:p w14:paraId="733D4322" w14:textId="77777777" w:rsidR="003F31E8" w:rsidRPr="00FA444C" w:rsidRDefault="003F31E8" w:rsidP="003F31E8">
      <w:pPr>
        <w:rPr>
          <w:rFonts w:ascii="Arial" w:hAnsi="Arial" w:cs="Arial"/>
          <w:sz w:val="22"/>
          <w:szCs w:val="22"/>
        </w:rPr>
      </w:pPr>
      <w:r w:rsidRPr="00FA444C">
        <w:rPr>
          <w:rFonts w:ascii="Arial" w:hAnsi="Arial" w:cs="Arial"/>
          <w:sz w:val="22"/>
          <w:szCs w:val="22"/>
        </w:rPr>
        <w:t>Teaching Level: Intermediate to Advanced</w:t>
      </w:r>
    </w:p>
    <w:p w14:paraId="1BFD0AC7" w14:textId="3CF89238" w:rsidR="005222BF" w:rsidRPr="005222BF" w:rsidRDefault="005222BF" w:rsidP="003F31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222BF">
        <w:rPr>
          <w:rFonts w:ascii="Arial" w:hAnsi="Arial" w:cs="Arial"/>
          <w:bCs/>
          <w:sz w:val="22"/>
          <w:szCs w:val="22"/>
        </w:rPr>
        <w:t>TBD</w:t>
      </w:r>
    </w:p>
    <w:p w14:paraId="0DD32F6B" w14:textId="2F1D9365" w:rsidR="005222BF" w:rsidRDefault="005222BF" w:rsidP="003F31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Timing: </w:t>
      </w:r>
      <w:r>
        <w:rPr>
          <w:rFonts w:ascii="Arial" w:hAnsi="Arial" w:cs="Arial"/>
          <w:b/>
          <w:sz w:val="22"/>
          <w:szCs w:val="22"/>
        </w:rPr>
        <w:tab/>
      </w:r>
      <w:r w:rsidRPr="005222BF">
        <w:rPr>
          <w:rFonts w:ascii="Arial" w:hAnsi="Arial" w:cs="Arial"/>
          <w:bCs/>
          <w:sz w:val="22"/>
          <w:szCs w:val="22"/>
        </w:rPr>
        <w:t>4-90 min sessions</w:t>
      </w:r>
      <w:r w:rsidR="00A509D6">
        <w:rPr>
          <w:rFonts w:ascii="Arial" w:hAnsi="Arial" w:cs="Arial"/>
          <w:bCs/>
          <w:sz w:val="22"/>
          <w:szCs w:val="22"/>
        </w:rPr>
        <w:t>, i</w:t>
      </w:r>
      <w:r w:rsidRPr="005222BF">
        <w:rPr>
          <w:rFonts w:ascii="Arial" w:hAnsi="Arial" w:cs="Arial"/>
          <w:bCs/>
          <w:sz w:val="22"/>
          <w:szCs w:val="22"/>
        </w:rPr>
        <w:t>nclude over lunch break</w:t>
      </w:r>
      <w:r w:rsidR="00A509D6">
        <w:rPr>
          <w:rFonts w:ascii="Arial" w:hAnsi="Arial" w:cs="Arial"/>
          <w:bCs/>
          <w:sz w:val="22"/>
          <w:szCs w:val="22"/>
        </w:rPr>
        <w:t>=</w:t>
      </w:r>
      <w:r w:rsidRPr="005222BF">
        <w:rPr>
          <w:rFonts w:ascii="Arial" w:hAnsi="Arial" w:cs="Arial"/>
          <w:bCs/>
          <w:sz w:val="22"/>
          <w:szCs w:val="22"/>
        </w:rPr>
        <w:t xml:space="preserve"> Open House for SBB Programs</w:t>
      </w:r>
    </w:p>
    <w:p w14:paraId="08163DDF" w14:textId="51A9F438" w:rsidR="005222BF" w:rsidRDefault="005222BF" w:rsidP="003F31E8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Close session with last session: 90 min, </w:t>
      </w:r>
      <w:r w:rsidRPr="005222BF">
        <w:rPr>
          <w:rFonts w:ascii="Arial" w:hAnsi="Arial" w:cs="Arial"/>
          <w:b/>
          <w:i/>
          <w:iCs/>
          <w:color w:val="FF0000"/>
          <w:sz w:val="22"/>
          <w:szCs w:val="22"/>
        </w:rPr>
        <w:t>Test Your Blood Bank Knowledge 2025</w:t>
      </w:r>
    </w:p>
    <w:p w14:paraId="18965692" w14:textId="240D5268" w:rsidR="00A509D6" w:rsidRPr="005222BF" w:rsidRDefault="00A509D6" w:rsidP="003F31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FF0000"/>
          <w:sz w:val="22"/>
          <w:szCs w:val="22"/>
        </w:rPr>
        <w:tab/>
        <w:t>TYBBK 2025 submitted for committee review and approval.</w:t>
      </w:r>
    </w:p>
    <w:p w14:paraId="4FB9303B" w14:textId="55934537" w:rsidR="003F31E8" w:rsidRPr="00FA444C" w:rsidRDefault="003F31E8" w:rsidP="003F31E8">
      <w:pPr>
        <w:rPr>
          <w:rFonts w:ascii="Arial" w:hAnsi="Arial" w:cs="Arial"/>
          <w:b/>
          <w:sz w:val="22"/>
          <w:szCs w:val="22"/>
        </w:rPr>
      </w:pPr>
      <w:r w:rsidRPr="00FA444C">
        <w:rPr>
          <w:rFonts w:ascii="Arial" w:hAnsi="Arial" w:cs="Arial"/>
          <w:b/>
          <w:sz w:val="22"/>
          <w:szCs w:val="22"/>
        </w:rPr>
        <w:t>Objectives:</w:t>
      </w:r>
    </w:p>
    <w:p w14:paraId="0E7C2566" w14:textId="2CCA6EBB" w:rsidR="008420F1" w:rsidRPr="00FA444C" w:rsidRDefault="007D57B8" w:rsidP="008420F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</w:t>
      </w:r>
      <w:r w:rsidR="003F31E8" w:rsidRPr="00FA444C">
        <w:rPr>
          <w:rFonts w:ascii="Arial" w:hAnsi="Arial" w:cs="Arial"/>
          <w:sz w:val="22"/>
          <w:szCs w:val="22"/>
        </w:rPr>
        <w:t xml:space="preserve"> </w:t>
      </w:r>
      <w:r w:rsidR="001A0CFE">
        <w:rPr>
          <w:rFonts w:ascii="Arial" w:hAnsi="Arial" w:cs="Arial"/>
          <w:sz w:val="22"/>
          <w:szCs w:val="22"/>
        </w:rPr>
        <w:t xml:space="preserve">the </w:t>
      </w:r>
      <w:r w:rsidR="008420F1" w:rsidRPr="00FA444C">
        <w:rPr>
          <w:rFonts w:ascii="Arial" w:hAnsi="Arial" w:cs="Arial"/>
          <w:sz w:val="22"/>
          <w:szCs w:val="22"/>
        </w:rPr>
        <w:t xml:space="preserve">American Society of Clinical Pathologist (ASCP) </w:t>
      </w:r>
      <w:r w:rsidR="003F31E8" w:rsidRPr="00FA444C">
        <w:rPr>
          <w:rFonts w:ascii="Arial" w:hAnsi="Arial" w:cs="Arial"/>
          <w:sz w:val="22"/>
          <w:szCs w:val="22"/>
        </w:rPr>
        <w:t xml:space="preserve">SBB and BB exam </w:t>
      </w:r>
      <w:r w:rsidR="00873F6C" w:rsidRPr="00FA444C">
        <w:rPr>
          <w:rFonts w:ascii="Arial" w:hAnsi="Arial" w:cs="Arial"/>
          <w:sz w:val="22"/>
          <w:szCs w:val="22"/>
        </w:rPr>
        <w:t>requirements.</w:t>
      </w:r>
    </w:p>
    <w:p w14:paraId="4BB364FD" w14:textId="77777777" w:rsidR="003F31E8" w:rsidRPr="00FA444C" w:rsidRDefault="008F0FD7" w:rsidP="008420F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</w:t>
      </w:r>
      <w:r w:rsidR="00E056D8">
        <w:rPr>
          <w:rFonts w:ascii="Arial" w:hAnsi="Arial" w:cs="Arial"/>
          <w:sz w:val="22"/>
          <w:szCs w:val="22"/>
        </w:rPr>
        <w:t xml:space="preserve"> and explain the</w:t>
      </w:r>
      <w:r w:rsidR="008420F1" w:rsidRPr="00FA444C">
        <w:rPr>
          <w:rFonts w:ascii="Arial" w:hAnsi="Arial" w:cs="Arial"/>
          <w:sz w:val="22"/>
          <w:szCs w:val="22"/>
        </w:rPr>
        <w:t xml:space="preserve"> topics outlined on the ASCP BB/SBB Exam C</w:t>
      </w:r>
      <w:r w:rsidR="003F31E8" w:rsidRPr="00FA444C">
        <w:rPr>
          <w:rFonts w:ascii="Arial" w:hAnsi="Arial" w:cs="Arial"/>
          <w:sz w:val="22"/>
          <w:szCs w:val="22"/>
        </w:rPr>
        <w:t xml:space="preserve">ontent </w:t>
      </w:r>
      <w:r w:rsidR="008420F1" w:rsidRPr="00FA444C">
        <w:rPr>
          <w:rFonts w:ascii="Arial" w:hAnsi="Arial" w:cs="Arial"/>
          <w:sz w:val="22"/>
          <w:szCs w:val="22"/>
        </w:rPr>
        <w:t>Outline</w:t>
      </w:r>
    </w:p>
    <w:p w14:paraId="3C361AD2" w14:textId="77777777" w:rsidR="003F31E8" w:rsidRPr="00FA444C" w:rsidRDefault="008F0FD7" w:rsidP="008420F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</w:t>
      </w:r>
      <w:r w:rsidR="003F31E8" w:rsidRPr="00FA444C">
        <w:rPr>
          <w:rFonts w:ascii="Arial" w:hAnsi="Arial" w:cs="Arial"/>
          <w:sz w:val="22"/>
          <w:szCs w:val="22"/>
        </w:rPr>
        <w:t xml:space="preserve"> </w:t>
      </w:r>
      <w:r w:rsidR="008420F1" w:rsidRPr="00FA444C">
        <w:rPr>
          <w:rFonts w:ascii="Arial" w:hAnsi="Arial" w:cs="Arial"/>
          <w:sz w:val="22"/>
          <w:szCs w:val="22"/>
        </w:rPr>
        <w:t xml:space="preserve">and </w:t>
      </w:r>
      <w:r w:rsidR="007D57B8">
        <w:rPr>
          <w:rFonts w:ascii="Arial" w:hAnsi="Arial" w:cs="Arial"/>
          <w:sz w:val="22"/>
          <w:szCs w:val="22"/>
        </w:rPr>
        <w:t>relate</w:t>
      </w:r>
      <w:r w:rsidR="008420F1" w:rsidRPr="00FA444C">
        <w:rPr>
          <w:rFonts w:ascii="Arial" w:hAnsi="Arial" w:cs="Arial"/>
          <w:sz w:val="22"/>
          <w:szCs w:val="22"/>
        </w:rPr>
        <w:t xml:space="preserve"> </w:t>
      </w:r>
      <w:r w:rsidR="003F31E8" w:rsidRPr="00FA444C">
        <w:rPr>
          <w:rFonts w:ascii="Arial" w:hAnsi="Arial" w:cs="Arial"/>
          <w:sz w:val="22"/>
          <w:szCs w:val="22"/>
        </w:rPr>
        <w:t xml:space="preserve">pertinent </w:t>
      </w:r>
      <w:r w:rsidR="001A0CFE">
        <w:rPr>
          <w:rFonts w:ascii="Arial" w:hAnsi="Arial" w:cs="Arial"/>
          <w:sz w:val="22"/>
          <w:szCs w:val="22"/>
        </w:rPr>
        <w:t>information from the ASCP Content Outline that will be</w:t>
      </w:r>
      <w:r w:rsidR="008420F1" w:rsidRPr="00FA444C">
        <w:rPr>
          <w:rFonts w:ascii="Arial" w:hAnsi="Arial" w:cs="Arial"/>
          <w:sz w:val="22"/>
          <w:szCs w:val="22"/>
        </w:rPr>
        <w:t xml:space="preserve"> on these exams to aid in preparing </w:t>
      </w:r>
      <w:r w:rsidR="007D57B8">
        <w:rPr>
          <w:rFonts w:ascii="Arial" w:hAnsi="Arial" w:cs="Arial"/>
          <w:sz w:val="22"/>
          <w:szCs w:val="22"/>
        </w:rPr>
        <w:t xml:space="preserve">for </w:t>
      </w:r>
      <w:r w:rsidR="008420F1" w:rsidRPr="00FA444C">
        <w:rPr>
          <w:rFonts w:ascii="Arial" w:hAnsi="Arial" w:cs="Arial"/>
          <w:sz w:val="22"/>
          <w:szCs w:val="22"/>
        </w:rPr>
        <w:t xml:space="preserve">the BB or SBB exam.  </w:t>
      </w:r>
    </w:p>
    <w:p w14:paraId="02AFCD20" w14:textId="77777777" w:rsidR="003F31E8" w:rsidRPr="00FA444C" w:rsidRDefault="003823E5" w:rsidP="008420F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Discover</w:t>
      </w:r>
      <w:r w:rsidR="003F31E8" w:rsidRPr="00FA444C">
        <w:rPr>
          <w:rFonts w:ascii="Arial" w:hAnsi="Arial" w:cs="Arial"/>
          <w:sz w:val="22"/>
          <w:szCs w:val="22"/>
        </w:rPr>
        <w:t xml:space="preserve"> helpful hints for studying for and taking these exams.</w:t>
      </w:r>
    </w:p>
    <w:p w14:paraId="60428AAA" w14:textId="0D64277D" w:rsidR="008420F1" w:rsidRPr="00FA444C" w:rsidRDefault="003F31E8" w:rsidP="003F31E8">
      <w:pPr>
        <w:rPr>
          <w:rFonts w:ascii="Arial" w:hAnsi="Arial" w:cs="Arial"/>
          <w:b/>
          <w:sz w:val="22"/>
          <w:szCs w:val="22"/>
        </w:rPr>
      </w:pPr>
      <w:r w:rsidRPr="00FA444C">
        <w:rPr>
          <w:rFonts w:ascii="Arial" w:hAnsi="Arial" w:cs="Arial"/>
          <w:b/>
          <w:sz w:val="22"/>
          <w:szCs w:val="22"/>
        </w:rPr>
        <w:t xml:space="preserve">Event Description: </w:t>
      </w:r>
    </w:p>
    <w:p w14:paraId="73CE8794" w14:textId="26E761FD" w:rsidR="003F31E8" w:rsidRDefault="00B56BC6" w:rsidP="003F31E8">
      <w:pPr>
        <w:rPr>
          <w:rFonts w:ascii="Arial" w:hAnsi="Arial" w:cs="Arial"/>
          <w:sz w:val="22"/>
          <w:szCs w:val="22"/>
        </w:rPr>
      </w:pPr>
      <w:r w:rsidRPr="003A5D64">
        <w:rPr>
          <w:rFonts w:ascii="Arial" w:hAnsi="Arial" w:cs="Arial"/>
          <w:sz w:val="22"/>
          <w:szCs w:val="22"/>
        </w:rPr>
        <w:t xml:space="preserve">The program attendee will attain a concise and targeted review of blood banking and transfusion medicine.  </w:t>
      </w:r>
      <w:r>
        <w:rPr>
          <w:rFonts w:ascii="Arial" w:hAnsi="Arial" w:cs="Arial"/>
          <w:sz w:val="22"/>
          <w:szCs w:val="22"/>
        </w:rPr>
        <w:t>Al</w:t>
      </w:r>
      <w:r w:rsidR="003F31E8" w:rsidRPr="00FA444C">
        <w:rPr>
          <w:rFonts w:ascii="Arial" w:hAnsi="Arial" w:cs="Arial"/>
          <w:sz w:val="22"/>
          <w:szCs w:val="22"/>
        </w:rPr>
        <w:t xml:space="preserve">l the information needed to pass the SBB or BB </w:t>
      </w:r>
      <w:r w:rsidR="00873F6C">
        <w:rPr>
          <w:rFonts w:ascii="Arial" w:hAnsi="Arial" w:cs="Arial"/>
          <w:sz w:val="22"/>
          <w:szCs w:val="22"/>
        </w:rPr>
        <w:t xml:space="preserve">certification </w:t>
      </w:r>
      <w:r w:rsidR="003F31E8" w:rsidRPr="00FA444C">
        <w:rPr>
          <w:rFonts w:ascii="Arial" w:hAnsi="Arial" w:cs="Arial"/>
          <w:sz w:val="22"/>
          <w:szCs w:val="22"/>
        </w:rPr>
        <w:t>exams</w:t>
      </w:r>
      <w:r>
        <w:rPr>
          <w:rFonts w:ascii="Arial" w:hAnsi="Arial" w:cs="Arial"/>
          <w:sz w:val="22"/>
          <w:szCs w:val="22"/>
        </w:rPr>
        <w:t xml:space="preserve"> are briefly reviewed in </w:t>
      </w:r>
      <w:r w:rsidR="009705A4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>program.  Th</w:t>
      </w:r>
      <w:r w:rsidR="001A0CFE">
        <w:rPr>
          <w:rFonts w:ascii="Arial" w:hAnsi="Arial" w:cs="Arial"/>
          <w:sz w:val="22"/>
          <w:szCs w:val="22"/>
        </w:rPr>
        <w:t>is program</w:t>
      </w:r>
      <w:r w:rsidR="007E1041">
        <w:rPr>
          <w:rFonts w:ascii="Arial" w:hAnsi="Arial" w:cs="Arial"/>
          <w:sz w:val="22"/>
          <w:szCs w:val="22"/>
        </w:rPr>
        <w:t xml:space="preserve"> is comprised of</w:t>
      </w:r>
      <w:r w:rsidR="00873F6C">
        <w:rPr>
          <w:rFonts w:ascii="Arial" w:hAnsi="Arial" w:cs="Arial"/>
          <w:sz w:val="22"/>
          <w:szCs w:val="22"/>
        </w:rPr>
        <w:t xml:space="preserve"> 4</w:t>
      </w:r>
      <w:r w:rsidR="007E1041">
        <w:rPr>
          <w:rFonts w:ascii="Arial" w:hAnsi="Arial" w:cs="Arial"/>
          <w:sz w:val="22"/>
          <w:szCs w:val="22"/>
        </w:rPr>
        <w:t xml:space="preserve"> sessions which </w:t>
      </w:r>
      <w:r w:rsidR="001A0CFE">
        <w:rPr>
          <w:rFonts w:ascii="Arial" w:hAnsi="Arial" w:cs="Arial"/>
          <w:sz w:val="22"/>
          <w:szCs w:val="22"/>
        </w:rPr>
        <w:t xml:space="preserve">provide the attendee with the structure, </w:t>
      </w:r>
      <w:r w:rsidR="00DA17FF">
        <w:rPr>
          <w:rFonts w:ascii="Arial" w:hAnsi="Arial" w:cs="Arial"/>
          <w:sz w:val="22"/>
          <w:szCs w:val="22"/>
        </w:rPr>
        <w:t>information,</w:t>
      </w:r>
      <w:r w:rsidR="001A0CFE">
        <w:rPr>
          <w:rFonts w:ascii="Arial" w:hAnsi="Arial" w:cs="Arial"/>
          <w:sz w:val="22"/>
          <w:szCs w:val="22"/>
        </w:rPr>
        <w:t xml:space="preserve"> and encouragement to tackle these exams</w:t>
      </w:r>
      <w:r w:rsidR="003F31E8" w:rsidRPr="00FA444C">
        <w:rPr>
          <w:rFonts w:ascii="Arial" w:hAnsi="Arial" w:cs="Arial"/>
          <w:sz w:val="22"/>
          <w:szCs w:val="22"/>
        </w:rPr>
        <w:t>. Thi</w:t>
      </w:r>
      <w:r w:rsidR="008420F1" w:rsidRPr="00FA444C">
        <w:rPr>
          <w:rFonts w:ascii="Arial" w:hAnsi="Arial" w:cs="Arial"/>
          <w:sz w:val="22"/>
          <w:szCs w:val="22"/>
        </w:rPr>
        <w:t>s program will provide a plan</w:t>
      </w:r>
      <w:r w:rsidR="003F31E8" w:rsidRPr="00FA444C">
        <w:rPr>
          <w:rFonts w:ascii="Arial" w:hAnsi="Arial" w:cs="Arial"/>
          <w:sz w:val="22"/>
          <w:szCs w:val="22"/>
        </w:rPr>
        <w:t xml:space="preserve"> for those preparing for the</w:t>
      </w:r>
      <w:r w:rsidR="008420F1" w:rsidRPr="00FA444C">
        <w:rPr>
          <w:rFonts w:ascii="Arial" w:hAnsi="Arial" w:cs="Arial"/>
          <w:sz w:val="22"/>
          <w:szCs w:val="22"/>
        </w:rPr>
        <w:t xml:space="preserve"> </w:t>
      </w:r>
      <w:r w:rsidR="003F31E8" w:rsidRPr="00FA444C">
        <w:rPr>
          <w:rFonts w:ascii="Arial" w:hAnsi="Arial" w:cs="Arial"/>
          <w:sz w:val="22"/>
          <w:szCs w:val="22"/>
        </w:rPr>
        <w:t>BB or SBB</w:t>
      </w:r>
      <w:r w:rsidR="00DA17FF">
        <w:rPr>
          <w:rFonts w:ascii="Arial" w:hAnsi="Arial" w:cs="Arial"/>
          <w:sz w:val="22"/>
          <w:szCs w:val="22"/>
        </w:rPr>
        <w:t xml:space="preserve"> certification </w:t>
      </w:r>
      <w:r w:rsidR="003F31E8" w:rsidRPr="00FA444C">
        <w:rPr>
          <w:rFonts w:ascii="Arial" w:hAnsi="Arial" w:cs="Arial"/>
          <w:sz w:val="22"/>
          <w:szCs w:val="22"/>
        </w:rPr>
        <w:t xml:space="preserve">exam. </w:t>
      </w:r>
      <w:r w:rsidR="007E1041">
        <w:rPr>
          <w:rFonts w:ascii="Arial" w:hAnsi="Arial" w:cs="Arial"/>
          <w:sz w:val="22"/>
          <w:szCs w:val="22"/>
        </w:rPr>
        <w:t>Each session will highlight s</w:t>
      </w:r>
      <w:r w:rsidR="001A0CFE">
        <w:rPr>
          <w:rFonts w:ascii="Arial" w:hAnsi="Arial" w:cs="Arial"/>
          <w:sz w:val="22"/>
          <w:szCs w:val="22"/>
        </w:rPr>
        <w:t>pecific c</w:t>
      </w:r>
      <w:r w:rsidR="003F31E8" w:rsidRPr="00FA444C">
        <w:rPr>
          <w:rFonts w:ascii="Arial" w:hAnsi="Arial" w:cs="Arial"/>
          <w:sz w:val="22"/>
          <w:szCs w:val="22"/>
        </w:rPr>
        <w:t xml:space="preserve">ontent areas of the exams </w:t>
      </w:r>
      <w:r w:rsidR="001A0CFE">
        <w:rPr>
          <w:rFonts w:ascii="Arial" w:hAnsi="Arial" w:cs="Arial"/>
          <w:sz w:val="22"/>
          <w:szCs w:val="22"/>
        </w:rPr>
        <w:t>highlighting</w:t>
      </w:r>
      <w:r w:rsidR="003F31E8" w:rsidRPr="00FA444C">
        <w:rPr>
          <w:rFonts w:ascii="Arial" w:hAnsi="Arial" w:cs="Arial"/>
          <w:sz w:val="22"/>
          <w:szCs w:val="22"/>
        </w:rPr>
        <w:t xml:space="preserve"> where to find information required for successful completion of these exams. </w:t>
      </w:r>
      <w:r w:rsidR="003A5D64">
        <w:rPr>
          <w:rFonts w:ascii="Arial" w:hAnsi="Arial" w:cs="Arial"/>
          <w:sz w:val="22"/>
          <w:szCs w:val="22"/>
        </w:rPr>
        <w:t xml:space="preserve"> Whether a refresher, a review or new learning, </w:t>
      </w:r>
      <w:r w:rsidR="00C072A3">
        <w:rPr>
          <w:rFonts w:ascii="Arial" w:hAnsi="Arial" w:cs="Arial"/>
          <w:sz w:val="22"/>
          <w:szCs w:val="22"/>
        </w:rPr>
        <w:t>t</w:t>
      </w:r>
      <w:r w:rsidR="003A5D64">
        <w:rPr>
          <w:rFonts w:ascii="Arial" w:hAnsi="Arial" w:cs="Arial"/>
          <w:sz w:val="22"/>
          <w:szCs w:val="22"/>
        </w:rPr>
        <w:t>he program attendee will benefit from the comprehensive summary of blood ban</w:t>
      </w:r>
      <w:r w:rsidR="00C072A3">
        <w:rPr>
          <w:rFonts w:ascii="Arial" w:hAnsi="Arial" w:cs="Arial"/>
          <w:sz w:val="22"/>
          <w:szCs w:val="22"/>
        </w:rPr>
        <w:t xml:space="preserve">king and transfusion medicine provided by this course.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130"/>
        <w:gridCol w:w="4265"/>
      </w:tblGrid>
      <w:tr w:rsidR="00775966" w14:paraId="6F5D8F37" w14:textId="192F0A83" w:rsidTr="00EF257F">
        <w:tc>
          <w:tcPr>
            <w:tcW w:w="445" w:type="dxa"/>
          </w:tcPr>
          <w:p w14:paraId="5ACCC828" w14:textId="27B88F39" w:rsidR="00775966" w:rsidRDefault="00775966" w:rsidP="003F3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5130" w:type="dxa"/>
          </w:tcPr>
          <w:p w14:paraId="7D277FC4" w14:textId="5CAC74D5" w:rsidR="00775966" w:rsidRDefault="00775966" w:rsidP="003F3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Title</w:t>
            </w:r>
          </w:p>
        </w:tc>
        <w:tc>
          <w:tcPr>
            <w:tcW w:w="4265" w:type="dxa"/>
          </w:tcPr>
          <w:p w14:paraId="3CB30A8C" w14:textId="5DD07B59" w:rsidR="00775966" w:rsidRDefault="00775966" w:rsidP="003F31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Speakers</w:t>
            </w:r>
          </w:p>
        </w:tc>
      </w:tr>
      <w:tr w:rsidR="00775966" w14:paraId="7D234E07" w14:textId="1F35CBA7" w:rsidTr="00EF257F">
        <w:tc>
          <w:tcPr>
            <w:tcW w:w="445" w:type="dxa"/>
          </w:tcPr>
          <w:p w14:paraId="734C2B7C" w14:textId="2DC1615B" w:rsidR="00775966" w:rsidRDefault="00775966" w:rsidP="007759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30" w:type="dxa"/>
          </w:tcPr>
          <w:p w14:paraId="4C2D33A6" w14:textId="7FBF3A2A" w:rsidR="00775966" w:rsidRPr="00775966" w:rsidRDefault="00775966" w:rsidP="00775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SBB/BB Exam Review</w:t>
            </w:r>
            <w:r w:rsidRPr="00566C62">
              <w:rPr>
                <w:rFonts w:ascii="Arial" w:hAnsi="Arial" w:cs="Arial"/>
                <w:sz w:val="18"/>
                <w:szCs w:val="18"/>
              </w:rPr>
              <w:t xml:space="preserve"> 1: Immunohematology </w:t>
            </w:r>
            <w:r>
              <w:rPr>
                <w:rFonts w:ascii="Arial" w:hAnsi="Arial" w:cs="Arial"/>
                <w:sz w:val="18"/>
                <w:szCs w:val="18"/>
              </w:rPr>
              <w:t>Building Blocks</w:t>
            </w:r>
          </w:p>
        </w:tc>
        <w:tc>
          <w:tcPr>
            <w:tcW w:w="4265" w:type="dxa"/>
          </w:tcPr>
          <w:p w14:paraId="6DD29683" w14:textId="60A831A5" w:rsidR="00775966" w:rsidRPr="00775966" w:rsidRDefault="00775966" w:rsidP="00775966">
            <w:pPr>
              <w:rPr>
                <w:rFonts w:ascii="Arial" w:hAnsi="Arial" w:cs="Arial"/>
              </w:rPr>
            </w:pPr>
          </w:p>
        </w:tc>
      </w:tr>
      <w:tr w:rsidR="00775966" w14:paraId="778D0BF0" w14:textId="0C4E108D" w:rsidTr="00EF257F">
        <w:tc>
          <w:tcPr>
            <w:tcW w:w="445" w:type="dxa"/>
          </w:tcPr>
          <w:p w14:paraId="4E7563DE" w14:textId="6EC0B241" w:rsidR="00775966" w:rsidRDefault="00775966" w:rsidP="007759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30" w:type="dxa"/>
          </w:tcPr>
          <w:p w14:paraId="08852946" w14:textId="4ED8A8DE" w:rsidR="00775966" w:rsidRPr="00775966" w:rsidRDefault="00775966" w:rsidP="00775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SBB/BB Exam Review</w:t>
            </w:r>
            <w:r w:rsidRPr="00566C62">
              <w:rPr>
                <w:rFonts w:ascii="Arial" w:hAnsi="Arial" w:cs="Arial"/>
                <w:sz w:val="18"/>
                <w:szCs w:val="18"/>
              </w:rPr>
              <w:t xml:space="preserve"> 2: Immunohematology Methods and Blood Groups </w:t>
            </w:r>
          </w:p>
        </w:tc>
        <w:tc>
          <w:tcPr>
            <w:tcW w:w="4265" w:type="dxa"/>
          </w:tcPr>
          <w:p w14:paraId="29DDB57C" w14:textId="2F8560A2" w:rsidR="00775966" w:rsidRPr="00775966" w:rsidRDefault="00775966" w:rsidP="00775966">
            <w:pPr>
              <w:rPr>
                <w:rFonts w:ascii="Arial" w:hAnsi="Arial" w:cs="Arial"/>
              </w:rPr>
            </w:pPr>
          </w:p>
        </w:tc>
      </w:tr>
      <w:tr w:rsidR="00775966" w14:paraId="1CA11E1D" w14:textId="567C7884" w:rsidTr="00EF257F">
        <w:tc>
          <w:tcPr>
            <w:tcW w:w="445" w:type="dxa"/>
          </w:tcPr>
          <w:p w14:paraId="790FE826" w14:textId="71834B6A" w:rsidR="00775966" w:rsidRDefault="00775966" w:rsidP="007759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30" w:type="dxa"/>
          </w:tcPr>
          <w:p w14:paraId="724A04A5" w14:textId="0755DCA3" w:rsidR="00775966" w:rsidRPr="00775966" w:rsidRDefault="00775966" w:rsidP="00775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SBB/BB Exam Review</w:t>
            </w:r>
            <w:r w:rsidRPr="00566C62">
              <w:rPr>
                <w:rFonts w:ascii="Arial" w:hAnsi="Arial" w:cs="Arial"/>
                <w:sz w:val="18"/>
                <w:szCs w:val="18"/>
              </w:rPr>
              <w:t xml:space="preserve"> 3: Transfusion Medicine Physiology and Pathophysiology</w:t>
            </w:r>
          </w:p>
        </w:tc>
        <w:tc>
          <w:tcPr>
            <w:tcW w:w="4265" w:type="dxa"/>
          </w:tcPr>
          <w:p w14:paraId="00283C7E" w14:textId="2AD8EA97" w:rsidR="00775966" w:rsidRPr="00775966" w:rsidRDefault="00775966" w:rsidP="00775966">
            <w:pPr>
              <w:rPr>
                <w:rFonts w:ascii="Arial" w:hAnsi="Arial" w:cs="Arial"/>
              </w:rPr>
            </w:pPr>
          </w:p>
        </w:tc>
      </w:tr>
      <w:tr w:rsidR="00775966" w14:paraId="425A68D2" w14:textId="61294A40" w:rsidTr="00EF257F">
        <w:tc>
          <w:tcPr>
            <w:tcW w:w="445" w:type="dxa"/>
          </w:tcPr>
          <w:p w14:paraId="6C0CEEDD" w14:textId="54F11F9C" w:rsidR="00775966" w:rsidRDefault="00775966" w:rsidP="007759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30" w:type="dxa"/>
          </w:tcPr>
          <w:p w14:paraId="47347431" w14:textId="45D1E19C" w:rsidR="00775966" w:rsidRPr="00775966" w:rsidRDefault="00775966" w:rsidP="00775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SBB/BB Exam Review</w:t>
            </w:r>
            <w:r w:rsidRPr="00566C62">
              <w:rPr>
                <w:rFonts w:ascii="Arial" w:hAnsi="Arial" w:cs="Arial"/>
                <w:sz w:val="18"/>
                <w:szCs w:val="18"/>
              </w:rPr>
              <w:t xml:space="preserve"> 4: Donor Collection, Blood Products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66C62">
              <w:rPr>
                <w:rFonts w:ascii="Arial" w:hAnsi="Arial" w:cs="Arial"/>
                <w:sz w:val="18"/>
                <w:szCs w:val="18"/>
              </w:rPr>
              <w:t>Laboratory Management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and Blood Bank Quality </w:t>
            </w:r>
          </w:p>
        </w:tc>
        <w:tc>
          <w:tcPr>
            <w:tcW w:w="4265" w:type="dxa"/>
          </w:tcPr>
          <w:p w14:paraId="08125AE3" w14:textId="5EAC5E1F" w:rsidR="00775966" w:rsidRPr="00775966" w:rsidRDefault="00775966" w:rsidP="00775966">
            <w:pPr>
              <w:rPr>
                <w:rFonts w:ascii="Arial" w:hAnsi="Arial" w:cs="Arial"/>
              </w:rPr>
            </w:pPr>
          </w:p>
        </w:tc>
      </w:tr>
    </w:tbl>
    <w:p w14:paraId="6EF437D8" w14:textId="77777777" w:rsidR="007D36B4" w:rsidRDefault="007D36B4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58D93BA" w14:textId="60BC9B5F" w:rsidR="00775966" w:rsidRPr="00775966" w:rsidRDefault="00775966" w:rsidP="00482D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Objective Review for Each Section</w:t>
      </w:r>
      <w:r w:rsidR="00482D16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Event description should be the same for each </w:t>
      </w:r>
      <w:r w:rsidR="00E9499F">
        <w:rPr>
          <w:rFonts w:ascii="Arial" w:hAnsi="Arial" w:cs="Arial"/>
          <w:sz w:val="22"/>
          <w:szCs w:val="22"/>
        </w:rPr>
        <w:t>one.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45"/>
        <w:gridCol w:w="1800"/>
        <w:gridCol w:w="2160"/>
        <w:gridCol w:w="5850"/>
      </w:tblGrid>
      <w:tr w:rsidR="00775966" w:rsidRPr="007E1041" w14:paraId="2CE8FB32" w14:textId="7F4A7A34" w:rsidTr="00DA134A">
        <w:tc>
          <w:tcPr>
            <w:tcW w:w="445" w:type="dxa"/>
          </w:tcPr>
          <w:p w14:paraId="209C6E41" w14:textId="77777777" w:rsidR="00775966" w:rsidRPr="007E1041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800" w:type="dxa"/>
          </w:tcPr>
          <w:p w14:paraId="2C3E7B79" w14:textId="77777777" w:rsidR="00775966" w:rsidRPr="007E1041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Course Title</w:t>
            </w:r>
          </w:p>
        </w:tc>
        <w:tc>
          <w:tcPr>
            <w:tcW w:w="2160" w:type="dxa"/>
          </w:tcPr>
          <w:p w14:paraId="74138BD9" w14:textId="77777777" w:rsidR="00775966" w:rsidRPr="007E1041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Speakers</w:t>
            </w:r>
          </w:p>
        </w:tc>
        <w:tc>
          <w:tcPr>
            <w:tcW w:w="5850" w:type="dxa"/>
          </w:tcPr>
          <w:p w14:paraId="5F148808" w14:textId="39477633" w:rsidR="00775966" w:rsidRPr="007E1041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Objectives</w:t>
            </w:r>
          </w:p>
        </w:tc>
      </w:tr>
      <w:tr w:rsidR="00775966" w:rsidRPr="007E1041" w14:paraId="5DF94F52" w14:textId="0A72FBDE" w:rsidTr="00DA134A">
        <w:tc>
          <w:tcPr>
            <w:tcW w:w="445" w:type="dxa"/>
          </w:tcPr>
          <w:p w14:paraId="00F96E48" w14:textId="77777777" w:rsidR="00775966" w:rsidRPr="007E1041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14:paraId="1F54C4C8" w14:textId="77777777" w:rsidR="00775966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SBB/BB Exam Review 1: Immunohematology Building Blocks</w:t>
            </w:r>
          </w:p>
          <w:p w14:paraId="7C086DB6" w14:textId="4238377B" w:rsidR="007075E7" w:rsidRPr="007E1041" w:rsidRDefault="007075E7" w:rsidP="00291B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min</w:t>
            </w:r>
          </w:p>
        </w:tc>
        <w:tc>
          <w:tcPr>
            <w:tcW w:w="2160" w:type="dxa"/>
          </w:tcPr>
          <w:p w14:paraId="6A65C9BD" w14:textId="35F63BD6" w:rsidR="00775966" w:rsidRPr="007E1041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0" w:type="dxa"/>
          </w:tcPr>
          <w:p w14:paraId="194C9617" w14:textId="77777777" w:rsidR="00775966" w:rsidRPr="007E1041" w:rsidRDefault="00B92E62" w:rsidP="007E1041">
            <w:pPr>
              <w:pStyle w:val="ListParagraph"/>
              <w:numPr>
                <w:ilvl w:val="0"/>
                <w:numId w:val="11"/>
              </w:numPr>
              <w:ind w:left="253" w:hanging="253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Introduce the requirements for an individual to take the SBB and BB exam.</w:t>
            </w:r>
          </w:p>
          <w:p w14:paraId="589AF342" w14:textId="4BF0EC6D" w:rsidR="00B92E62" w:rsidRPr="007E1041" w:rsidRDefault="00B92E62" w:rsidP="007E1041">
            <w:pPr>
              <w:pStyle w:val="ListParagraph"/>
              <w:numPr>
                <w:ilvl w:val="0"/>
                <w:numId w:val="11"/>
              </w:numPr>
              <w:ind w:left="253" w:hanging="253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 xml:space="preserve">Describe immune response and how the cells of the immune system work </w:t>
            </w:r>
            <w:r w:rsidR="00E9499F" w:rsidRPr="007E1041">
              <w:rPr>
                <w:rFonts w:ascii="Arial" w:hAnsi="Arial" w:cs="Arial"/>
                <w:sz w:val="18"/>
                <w:szCs w:val="18"/>
              </w:rPr>
              <w:t>synergistically.</w:t>
            </w:r>
            <w:r w:rsidRPr="007E10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C7BFB8" w14:textId="5F1A7EBE" w:rsidR="00B92E62" w:rsidRPr="007E1041" w:rsidRDefault="00B92E62" w:rsidP="007E1041">
            <w:pPr>
              <w:pStyle w:val="ListParagraph"/>
              <w:numPr>
                <w:ilvl w:val="0"/>
                <w:numId w:val="11"/>
              </w:numPr>
              <w:ind w:left="253" w:hanging="253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 xml:space="preserve">Identify the role of complement in transfusion </w:t>
            </w:r>
            <w:r w:rsidR="00E9499F" w:rsidRPr="007E1041">
              <w:rPr>
                <w:rFonts w:ascii="Arial" w:hAnsi="Arial" w:cs="Arial"/>
                <w:sz w:val="18"/>
                <w:szCs w:val="18"/>
              </w:rPr>
              <w:t>medicine.</w:t>
            </w:r>
          </w:p>
          <w:p w14:paraId="36332251" w14:textId="1CF68471" w:rsidR="00B92E62" w:rsidRPr="007E1041" w:rsidRDefault="00B92E62" w:rsidP="007E1041">
            <w:pPr>
              <w:pStyle w:val="ListParagraph"/>
              <w:numPr>
                <w:ilvl w:val="0"/>
                <w:numId w:val="11"/>
              </w:numPr>
              <w:ind w:left="253" w:hanging="253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Analyze the critical lab math calculations necessary to be competent with for the preparation for the SBB or BB exam</w:t>
            </w:r>
          </w:p>
        </w:tc>
      </w:tr>
      <w:tr w:rsidR="00775966" w:rsidRPr="007E1041" w14:paraId="59BF0D35" w14:textId="08548869" w:rsidTr="00DA134A">
        <w:tc>
          <w:tcPr>
            <w:tcW w:w="445" w:type="dxa"/>
          </w:tcPr>
          <w:p w14:paraId="4064D9B3" w14:textId="77777777" w:rsidR="00775966" w:rsidRPr="007E1041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14:paraId="243C62B6" w14:textId="77777777" w:rsidR="00775966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 xml:space="preserve">SBB/BB Exam Review 2: Immunohematology Methods and Blood Groups </w:t>
            </w:r>
          </w:p>
          <w:p w14:paraId="564A8A1C" w14:textId="77777777" w:rsidR="007075E7" w:rsidRDefault="007075E7" w:rsidP="00291B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min</w:t>
            </w:r>
          </w:p>
          <w:p w14:paraId="78008ADB" w14:textId="00247DFE" w:rsidR="007075E7" w:rsidRPr="007E1041" w:rsidRDefault="007075E7" w:rsidP="00291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7DBE3CD" w14:textId="638063A5" w:rsidR="00775966" w:rsidRPr="007E1041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0" w:type="dxa"/>
          </w:tcPr>
          <w:p w14:paraId="76DC4660" w14:textId="25EE3F92" w:rsidR="00775966" w:rsidRPr="007E1041" w:rsidRDefault="00B92E62" w:rsidP="007E1041">
            <w:pPr>
              <w:pStyle w:val="ListParagraph"/>
              <w:numPr>
                <w:ilvl w:val="0"/>
                <w:numId w:val="10"/>
              </w:numPr>
              <w:ind w:left="253" w:hanging="253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 xml:space="preserve">Apply specific serologic techniques for </w:t>
            </w:r>
            <w:r w:rsidR="00482D16" w:rsidRPr="007E1041">
              <w:rPr>
                <w:rFonts w:ascii="Arial" w:hAnsi="Arial" w:cs="Arial"/>
                <w:sz w:val="18"/>
                <w:szCs w:val="18"/>
              </w:rPr>
              <w:t xml:space="preserve">blood bank </w:t>
            </w:r>
            <w:r w:rsidRPr="007E1041">
              <w:rPr>
                <w:rFonts w:ascii="Arial" w:hAnsi="Arial" w:cs="Arial"/>
                <w:sz w:val="18"/>
                <w:szCs w:val="18"/>
              </w:rPr>
              <w:t xml:space="preserve">problem </w:t>
            </w:r>
            <w:r w:rsidR="00E9499F" w:rsidRPr="007E1041">
              <w:rPr>
                <w:rFonts w:ascii="Arial" w:hAnsi="Arial" w:cs="Arial"/>
                <w:sz w:val="18"/>
                <w:szCs w:val="18"/>
              </w:rPr>
              <w:t>solving.</w:t>
            </w:r>
            <w:r w:rsidRPr="007E10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FCAE7B" w14:textId="198CBB5E" w:rsidR="00B92E62" w:rsidRPr="007E1041" w:rsidRDefault="00B92E62" w:rsidP="007E1041">
            <w:pPr>
              <w:pStyle w:val="ListParagraph"/>
              <w:numPr>
                <w:ilvl w:val="0"/>
                <w:numId w:val="10"/>
              </w:numPr>
              <w:ind w:left="253" w:hanging="253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 xml:space="preserve">Interpret the results of the </w:t>
            </w:r>
            <w:r w:rsidR="00482D16" w:rsidRPr="007E1041">
              <w:rPr>
                <w:rFonts w:ascii="Arial" w:hAnsi="Arial" w:cs="Arial"/>
                <w:sz w:val="18"/>
                <w:szCs w:val="18"/>
              </w:rPr>
              <w:t xml:space="preserve">immunohematology </w:t>
            </w:r>
            <w:r w:rsidRPr="007E1041">
              <w:rPr>
                <w:rFonts w:ascii="Arial" w:hAnsi="Arial" w:cs="Arial"/>
                <w:sz w:val="18"/>
                <w:szCs w:val="18"/>
              </w:rPr>
              <w:t xml:space="preserve">methods </w:t>
            </w:r>
            <w:r w:rsidR="00E9499F" w:rsidRPr="007E1041">
              <w:rPr>
                <w:rFonts w:ascii="Arial" w:hAnsi="Arial" w:cs="Arial"/>
                <w:sz w:val="18"/>
                <w:szCs w:val="18"/>
              </w:rPr>
              <w:t>defined.</w:t>
            </w:r>
            <w:r w:rsidRPr="007E10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84F6F8" w14:textId="77777777" w:rsidR="00B92E62" w:rsidRPr="007E1041" w:rsidRDefault="00B92E62" w:rsidP="007E1041">
            <w:pPr>
              <w:pStyle w:val="ListParagraph"/>
              <w:numPr>
                <w:ilvl w:val="0"/>
                <w:numId w:val="10"/>
              </w:numPr>
              <w:ind w:left="253" w:hanging="253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 xml:space="preserve">Outline blood groups by system, antigen, frequency, function, and unique properties.  </w:t>
            </w:r>
          </w:p>
          <w:p w14:paraId="11C0CA4B" w14:textId="28EE1C9E" w:rsidR="00482D16" w:rsidRPr="007E1041" w:rsidRDefault="00482D16" w:rsidP="007E1041">
            <w:pPr>
              <w:pStyle w:val="ListParagraph"/>
              <w:numPr>
                <w:ilvl w:val="0"/>
                <w:numId w:val="10"/>
              </w:numPr>
              <w:ind w:left="253" w:hanging="253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Identify the blood groups which are considered clinically significant and clinically insignificant</w:t>
            </w:r>
          </w:p>
        </w:tc>
      </w:tr>
      <w:tr w:rsidR="00775966" w:rsidRPr="007E1041" w14:paraId="6CB5D832" w14:textId="68C03B79" w:rsidTr="00DA134A">
        <w:tc>
          <w:tcPr>
            <w:tcW w:w="445" w:type="dxa"/>
          </w:tcPr>
          <w:p w14:paraId="116A8D03" w14:textId="77777777" w:rsidR="00775966" w:rsidRPr="007E1041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14:paraId="3A0BD92C" w14:textId="77777777" w:rsidR="00775966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SBB/BB Exam Review 3: Transfusion Medicine Physiology and Pathophysiology</w:t>
            </w:r>
          </w:p>
          <w:p w14:paraId="3FB06F00" w14:textId="2AB95CBE" w:rsidR="007075E7" w:rsidRPr="007E1041" w:rsidRDefault="007075E7" w:rsidP="00291B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min</w:t>
            </w:r>
          </w:p>
        </w:tc>
        <w:tc>
          <w:tcPr>
            <w:tcW w:w="2160" w:type="dxa"/>
          </w:tcPr>
          <w:p w14:paraId="6E9F34B4" w14:textId="6F9EA24F" w:rsidR="008A1654" w:rsidRPr="007E1041" w:rsidRDefault="008A1654" w:rsidP="00291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0" w:type="dxa"/>
          </w:tcPr>
          <w:p w14:paraId="02E50B68" w14:textId="77777777" w:rsidR="00775966" w:rsidRPr="007E1041" w:rsidRDefault="00482D16" w:rsidP="007E1041">
            <w:pPr>
              <w:pStyle w:val="ListParagraph"/>
              <w:numPr>
                <w:ilvl w:val="0"/>
                <w:numId w:val="9"/>
              </w:numPr>
              <w:ind w:left="253" w:hanging="270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Classify transfusion complications.</w:t>
            </w:r>
          </w:p>
          <w:p w14:paraId="17481A2D" w14:textId="77777777" w:rsidR="00482D16" w:rsidRPr="007E1041" w:rsidRDefault="00482D16" w:rsidP="007E1041">
            <w:pPr>
              <w:pStyle w:val="ListParagraph"/>
              <w:numPr>
                <w:ilvl w:val="0"/>
                <w:numId w:val="9"/>
              </w:numPr>
              <w:ind w:left="253" w:hanging="270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 xml:space="preserve">Determine the probable cause of a transfusion complication given the serologic testing results.  </w:t>
            </w:r>
          </w:p>
          <w:p w14:paraId="40FC617A" w14:textId="2C950550" w:rsidR="001A1463" w:rsidRDefault="001A1463" w:rsidP="007E1041">
            <w:pPr>
              <w:pStyle w:val="ListParagraph"/>
              <w:numPr>
                <w:ilvl w:val="0"/>
                <w:numId w:val="9"/>
              </w:numPr>
              <w:ind w:left="253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Explore and define </w:t>
            </w:r>
            <w:r w:rsidR="00E9499F">
              <w:rPr>
                <w:rFonts w:ascii="Arial" w:hAnsi="Arial" w:cs="Arial"/>
                <w:sz w:val="18"/>
                <w:szCs w:val="18"/>
              </w:rPr>
              <w:t>prenatal</w:t>
            </w:r>
            <w:r>
              <w:rPr>
                <w:rFonts w:ascii="Arial" w:hAnsi="Arial" w:cs="Arial"/>
                <w:sz w:val="18"/>
                <w:szCs w:val="18"/>
              </w:rPr>
              <w:t xml:space="preserve">, neonatal and HDFN.  </w:t>
            </w:r>
          </w:p>
          <w:p w14:paraId="384A7BEF" w14:textId="53B0CEDA" w:rsidR="00482D16" w:rsidRPr="007E1041" w:rsidRDefault="00482D16" w:rsidP="007E1041">
            <w:pPr>
              <w:pStyle w:val="ListParagraph"/>
              <w:numPr>
                <w:ilvl w:val="0"/>
                <w:numId w:val="9"/>
              </w:numPr>
              <w:ind w:left="253" w:hanging="270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 xml:space="preserve">Explain the details of the </w:t>
            </w:r>
            <w:r w:rsidR="001A1463">
              <w:rPr>
                <w:rFonts w:ascii="Arial" w:hAnsi="Arial" w:cs="Arial"/>
                <w:sz w:val="18"/>
                <w:szCs w:val="18"/>
              </w:rPr>
              <w:t xml:space="preserve">coagulation </w:t>
            </w:r>
            <w:r w:rsidRPr="007E1041">
              <w:rPr>
                <w:rFonts w:ascii="Arial" w:hAnsi="Arial" w:cs="Arial"/>
                <w:sz w:val="18"/>
                <w:szCs w:val="18"/>
              </w:rPr>
              <w:t xml:space="preserve">cascade and explore its function in transfusion medicine.  </w:t>
            </w:r>
          </w:p>
          <w:p w14:paraId="79F3220F" w14:textId="026741D6" w:rsidR="00482D16" w:rsidRPr="007E1041" w:rsidRDefault="00482D16" w:rsidP="007E1041">
            <w:pPr>
              <w:pStyle w:val="ListParagraph"/>
              <w:numPr>
                <w:ilvl w:val="0"/>
                <w:numId w:val="9"/>
              </w:numPr>
              <w:ind w:left="253" w:hanging="270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 xml:space="preserve">Evaluate signs, symptoms and testing results to aid in interpretation of coagulation disorders, anemia, thrombocytopenia as well as other disease states which often require transfusion support.  </w:t>
            </w:r>
          </w:p>
        </w:tc>
      </w:tr>
      <w:tr w:rsidR="00775966" w:rsidRPr="007E1041" w14:paraId="604C8751" w14:textId="1E2AEBFC" w:rsidTr="00DA134A">
        <w:trPr>
          <w:trHeight w:val="2701"/>
        </w:trPr>
        <w:tc>
          <w:tcPr>
            <w:tcW w:w="445" w:type="dxa"/>
          </w:tcPr>
          <w:p w14:paraId="1733EB48" w14:textId="77777777" w:rsidR="00775966" w:rsidRPr="007E1041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14:paraId="48EF9699" w14:textId="77777777" w:rsidR="00775966" w:rsidRDefault="00775966" w:rsidP="00291B09">
            <w:pPr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 xml:space="preserve">SBB/BB Exam Review 4: Donor Collection, Blood Products, Laboratory Management and Blood Bank Quality </w:t>
            </w:r>
          </w:p>
          <w:p w14:paraId="3DD5D909" w14:textId="45AA5ACF" w:rsidR="007075E7" w:rsidRPr="007E1041" w:rsidRDefault="005222BF" w:rsidP="00291B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min</w:t>
            </w:r>
          </w:p>
        </w:tc>
        <w:tc>
          <w:tcPr>
            <w:tcW w:w="2160" w:type="dxa"/>
          </w:tcPr>
          <w:p w14:paraId="4FF40ABB" w14:textId="20A2F167" w:rsidR="00274223" w:rsidRPr="007E1041" w:rsidRDefault="00274223" w:rsidP="00291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0" w:type="dxa"/>
          </w:tcPr>
          <w:p w14:paraId="4B84A167" w14:textId="77777777" w:rsidR="00775966" w:rsidRPr="007E1041" w:rsidRDefault="00482D16" w:rsidP="007E1041">
            <w:pPr>
              <w:pStyle w:val="ListParagraph"/>
              <w:numPr>
                <w:ilvl w:val="0"/>
                <w:numId w:val="8"/>
              </w:numPr>
              <w:ind w:left="343" w:hanging="343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 xml:space="preserve">Recognize the steps in collection of whole blood by manual and apheresis methods.  </w:t>
            </w:r>
          </w:p>
          <w:p w14:paraId="03E2D58E" w14:textId="140C902B" w:rsidR="00482D16" w:rsidRPr="007E1041" w:rsidRDefault="00482D16" w:rsidP="007E1041">
            <w:pPr>
              <w:pStyle w:val="ListParagraph"/>
              <w:numPr>
                <w:ilvl w:val="0"/>
                <w:numId w:val="8"/>
              </w:numPr>
              <w:ind w:left="343" w:hanging="343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 xml:space="preserve">Classify blood products by </w:t>
            </w:r>
            <w:r w:rsidR="003F37A6" w:rsidRPr="007E1041">
              <w:rPr>
                <w:rFonts w:ascii="Arial" w:hAnsi="Arial" w:cs="Arial"/>
                <w:sz w:val="18"/>
                <w:szCs w:val="18"/>
              </w:rPr>
              <w:t xml:space="preserve">manufacturing process, </w:t>
            </w:r>
            <w:r w:rsidR="005346B5" w:rsidRPr="007E1041">
              <w:rPr>
                <w:rFonts w:ascii="Arial" w:hAnsi="Arial" w:cs="Arial"/>
                <w:sz w:val="18"/>
                <w:szCs w:val="18"/>
              </w:rPr>
              <w:t>function,</w:t>
            </w:r>
            <w:r w:rsidR="003F37A6" w:rsidRPr="007E1041">
              <w:rPr>
                <w:rFonts w:ascii="Arial" w:hAnsi="Arial" w:cs="Arial"/>
                <w:sz w:val="18"/>
                <w:szCs w:val="18"/>
              </w:rPr>
              <w:t xml:space="preserve"> and transfusion </w:t>
            </w:r>
            <w:r w:rsidR="00802ACD" w:rsidRPr="007E1041">
              <w:rPr>
                <w:rFonts w:ascii="Arial" w:hAnsi="Arial" w:cs="Arial"/>
                <w:sz w:val="18"/>
                <w:szCs w:val="18"/>
              </w:rPr>
              <w:t>practice.</w:t>
            </w:r>
          </w:p>
          <w:p w14:paraId="7AAF059E" w14:textId="77777777" w:rsidR="003F37A6" w:rsidRPr="007E1041" w:rsidRDefault="003F37A6" w:rsidP="007E1041">
            <w:pPr>
              <w:pStyle w:val="ListParagraph"/>
              <w:numPr>
                <w:ilvl w:val="0"/>
                <w:numId w:val="8"/>
              </w:numPr>
              <w:ind w:left="343" w:hanging="343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Breakdown the required donor testing for the labeling of blood components.</w:t>
            </w:r>
          </w:p>
          <w:p w14:paraId="674DA6CC" w14:textId="5176AF63" w:rsidR="003F37A6" w:rsidRPr="007E1041" w:rsidRDefault="003F37A6" w:rsidP="007E1041">
            <w:pPr>
              <w:pStyle w:val="ListParagraph"/>
              <w:numPr>
                <w:ilvl w:val="0"/>
                <w:numId w:val="8"/>
              </w:numPr>
              <w:ind w:left="343" w:hanging="343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Identify the safety, quality, and instrumentation lab practices for the blood bank.</w:t>
            </w:r>
          </w:p>
          <w:p w14:paraId="3E219272" w14:textId="607390D7" w:rsidR="003F37A6" w:rsidRPr="007E1041" w:rsidRDefault="003F37A6" w:rsidP="007E1041">
            <w:pPr>
              <w:pStyle w:val="ListParagraph"/>
              <w:numPr>
                <w:ilvl w:val="0"/>
                <w:numId w:val="8"/>
              </w:numPr>
              <w:ind w:left="343" w:hanging="343"/>
              <w:rPr>
                <w:rFonts w:ascii="Arial" w:hAnsi="Arial" w:cs="Arial"/>
                <w:sz w:val="18"/>
                <w:szCs w:val="18"/>
              </w:rPr>
            </w:pPr>
            <w:r w:rsidRPr="007E1041">
              <w:rPr>
                <w:rFonts w:ascii="Arial" w:hAnsi="Arial" w:cs="Arial"/>
                <w:sz w:val="18"/>
                <w:szCs w:val="18"/>
              </w:rPr>
              <w:t>Outline laboratory administration basics including financial, lab operations, personnel</w:t>
            </w:r>
            <w:r w:rsidR="007E1041" w:rsidRPr="007E1041">
              <w:rPr>
                <w:rFonts w:ascii="Arial" w:hAnsi="Arial" w:cs="Arial"/>
                <w:sz w:val="18"/>
                <w:szCs w:val="18"/>
              </w:rPr>
              <w:t xml:space="preserve">, leadership, quality management and tissue management.  </w:t>
            </w:r>
          </w:p>
        </w:tc>
      </w:tr>
    </w:tbl>
    <w:p w14:paraId="42290F21" w14:textId="77777777" w:rsidR="007E1041" w:rsidRPr="007E1041" w:rsidRDefault="007E1041" w:rsidP="005346B5">
      <w:pPr>
        <w:rPr>
          <w:rFonts w:ascii="Arial" w:hAnsi="Arial" w:cs="Arial"/>
        </w:rPr>
      </w:pPr>
    </w:p>
    <w:sectPr w:rsidR="007E1041" w:rsidRPr="007E1041" w:rsidSect="00B353CF">
      <w:headerReference w:type="default" r:id="rId7"/>
      <w:footerReference w:type="default" r:id="rId8"/>
      <w:pgSz w:w="12240" w:h="15840" w:code="1"/>
      <w:pgMar w:top="1195" w:right="1195" w:bottom="1195" w:left="119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FFC8" w14:textId="77777777" w:rsidR="00824442" w:rsidRDefault="00824442" w:rsidP="00775966">
      <w:pPr>
        <w:spacing w:after="0" w:line="240" w:lineRule="auto"/>
      </w:pPr>
      <w:r>
        <w:separator/>
      </w:r>
    </w:p>
  </w:endnote>
  <w:endnote w:type="continuationSeparator" w:id="0">
    <w:p w14:paraId="4A8B0F1D" w14:textId="77777777" w:rsidR="00824442" w:rsidRDefault="00824442" w:rsidP="0077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657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2DC18" w14:textId="290A35F6" w:rsidR="007D36B4" w:rsidRDefault="007D36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77E8B5" w14:textId="77777777" w:rsidR="007D36B4" w:rsidRDefault="007D3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B875" w14:textId="77777777" w:rsidR="00824442" w:rsidRDefault="00824442" w:rsidP="00775966">
      <w:pPr>
        <w:spacing w:after="0" w:line="240" w:lineRule="auto"/>
      </w:pPr>
      <w:r>
        <w:separator/>
      </w:r>
    </w:p>
  </w:footnote>
  <w:footnote w:type="continuationSeparator" w:id="0">
    <w:p w14:paraId="31D214BC" w14:textId="77777777" w:rsidR="00824442" w:rsidRDefault="00824442" w:rsidP="0077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027B" w14:textId="610D9208" w:rsidR="00775966" w:rsidRPr="00FA444C" w:rsidRDefault="00ED784D" w:rsidP="00775966">
    <w:pPr>
      <w:rPr>
        <w:rFonts w:ascii="Arial" w:hAnsi="Arial" w:cs="Arial"/>
        <w:b/>
        <w:sz w:val="28"/>
        <w:szCs w:val="22"/>
      </w:rPr>
    </w:pPr>
    <w:r>
      <w:rPr>
        <w:rFonts w:ascii="Arial" w:hAnsi="Arial" w:cs="Arial"/>
        <w:b/>
        <w:sz w:val="28"/>
        <w:szCs w:val="22"/>
      </w:rPr>
      <w:t>2025</w:t>
    </w:r>
    <w:r w:rsidR="00775966">
      <w:rPr>
        <w:rFonts w:ascii="Arial" w:hAnsi="Arial" w:cs="Arial"/>
        <w:b/>
        <w:sz w:val="28"/>
        <w:szCs w:val="22"/>
      </w:rPr>
      <w:t xml:space="preserve"> </w:t>
    </w:r>
    <w:r w:rsidR="00775966" w:rsidRPr="00FA444C">
      <w:rPr>
        <w:rFonts w:ascii="Arial" w:hAnsi="Arial" w:cs="Arial"/>
        <w:b/>
        <w:sz w:val="28"/>
        <w:szCs w:val="22"/>
      </w:rPr>
      <w:t>SBB/BB Exam Review</w:t>
    </w:r>
  </w:p>
  <w:p w14:paraId="42400299" w14:textId="716E2E06" w:rsidR="00775966" w:rsidRPr="00FA444C" w:rsidRDefault="00775966" w:rsidP="00775966">
    <w:pPr>
      <w:rPr>
        <w:rFonts w:ascii="Arial" w:hAnsi="Arial" w:cs="Arial"/>
        <w:sz w:val="22"/>
        <w:szCs w:val="22"/>
      </w:rPr>
    </w:pPr>
    <w:r w:rsidRPr="00FA444C">
      <w:rPr>
        <w:rFonts w:ascii="Arial" w:hAnsi="Arial" w:cs="Arial"/>
        <w:b/>
        <w:sz w:val="22"/>
        <w:szCs w:val="22"/>
      </w:rPr>
      <w:t>Director/Moderator</w:t>
    </w:r>
    <w:r w:rsidRPr="00FA444C">
      <w:rPr>
        <w:rFonts w:ascii="Arial" w:hAnsi="Arial" w:cs="Arial"/>
        <w:sz w:val="22"/>
        <w:szCs w:val="22"/>
      </w:rPr>
      <w:t xml:space="preserve">: Jayanna Slayten, MS, </w:t>
    </w:r>
    <w:r w:rsidR="00B6348E">
      <w:rPr>
        <w:rFonts w:ascii="Arial" w:hAnsi="Arial" w:cs="Arial"/>
        <w:sz w:val="22"/>
        <w:szCs w:val="22"/>
      </w:rPr>
      <w:t>MLS</w:t>
    </w:r>
    <w:r w:rsidRPr="00FA444C">
      <w:rPr>
        <w:rFonts w:ascii="Arial" w:hAnsi="Arial" w:cs="Arial"/>
        <w:sz w:val="22"/>
        <w:szCs w:val="22"/>
      </w:rPr>
      <w:t>(ASCP)SBBcm</w:t>
    </w:r>
  </w:p>
  <w:p w14:paraId="292BEAED" w14:textId="77777777" w:rsidR="00775966" w:rsidRDefault="00775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6913"/>
    <w:multiLevelType w:val="hybridMultilevel"/>
    <w:tmpl w:val="914C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4661"/>
    <w:multiLevelType w:val="hybridMultilevel"/>
    <w:tmpl w:val="6A7E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774D3"/>
    <w:multiLevelType w:val="hybridMultilevel"/>
    <w:tmpl w:val="3F9A4E3E"/>
    <w:lvl w:ilvl="0" w:tplc="5AE441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3188F"/>
    <w:multiLevelType w:val="hybridMultilevel"/>
    <w:tmpl w:val="CB96DBC2"/>
    <w:lvl w:ilvl="0" w:tplc="5AE441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F6E12"/>
    <w:multiLevelType w:val="hybridMultilevel"/>
    <w:tmpl w:val="13E489F6"/>
    <w:lvl w:ilvl="0" w:tplc="5AE441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30520"/>
    <w:multiLevelType w:val="hybridMultilevel"/>
    <w:tmpl w:val="7D3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61E0B"/>
    <w:multiLevelType w:val="hybridMultilevel"/>
    <w:tmpl w:val="67E0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C3477"/>
    <w:multiLevelType w:val="hybridMultilevel"/>
    <w:tmpl w:val="FFD2A1BE"/>
    <w:lvl w:ilvl="0" w:tplc="5AE441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2998"/>
    <w:multiLevelType w:val="hybridMultilevel"/>
    <w:tmpl w:val="D3E2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61B1D"/>
    <w:multiLevelType w:val="hybridMultilevel"/>
    <w:tmpl w:val="DB96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34A28"/>
    <w:multiLevelType w:val="hybridMultilevel"/>
    <w:tmpl w:val="2DB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24112"/>
    <w:multiLevelType w:val="hybridMultilevel"/>
    <w:tmpl w:val="1A16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70774">
    <w:abstractNumId w:val="9"/>
  </w:num>
  <w:num w:numId="2" w16cid:durableId="1641692042">
    <w:abstractNumId w:val="11"/>
  </w:num>
  <w:num w:numId="3" w16cid:durableId="1491628677">
    <w:abstractNumId w:val="2"/>
  </w:num>
  <w:num w:numId="4" w16cid:durableId="1740515606">
    <w:abstractNumId w:val="3"/>
  </w:num>
  <w:num w:numId="5" w16cid:durableId="1632705296">
    <w:abstractNumId w:val="7"/>
  </w:num>
  <w:num w:numId="6" w16cid:durableId="1446853735">
    <w:abstractNumId w:val="4"/>
  </w:num>
  <w:num w:numId="7" w16cid:durableId="1131049511">
    <w:abstractNumId w:val="5"/>
  </w:num>
  <w:num w:numId="8" w16cid:durableId="1605073274">
    <w:abstractNumId w:val="10"/>
  </w:num>
  <w:num w:numId="9" w16cid:durableId="1178618330">
    <w:abstractNumId w:val="6"/>
  </w:num>
  <w:num w:numId="10" w16cid:durableId="508980702">
    <w:abstractNumId w:val="0"/>
  </w:num>
  <w:num w:numId="11" w16cid:durableId="1204364537">
    <w:abstractNumId w:val="8"/>
  </w:num>
  <w:num w:numId="12" w16cid:durableId="117442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E8"/>
    <w:rsid w:val="000077A9"/>
    <w:rsid w:val="00017463"/>
    <w:rsid w:val="00084F6C"/>
    <w:rsid w:val="0018089C"/>
    <w:rsid w:val="001A0CFE"/>
    <w:rsid w:val="001A1463"/>
    <w:rsid w:val="001A41B4"/>
    <w:rsid w:val="00274223"/>
    <w:rsid w:val="002E1EC2"/>
    <w:rsid w:val="002E4FD6"/>
    <w:rsid w:val="003823E5"/>
    <w:rsid w:val="003930FA"/>
    <w:rsid w:val="003A0AEF"/>
    <w:rsid w:val="003A5D64"/>
    <w:rsid w:val="003B22FF"/>
    <w:rsid w:val="003F31E8"/>
    <w:rsid w:val="003F37A6"/>
    <w:rsid w:val="00482D16"/>
    <w:rsid w:val="004F2DA1"/>
    <w:rsid w:val="005222BF"/>
    <w:rsid w:val="005346B5"/>
    <w:rsid w:val="006622F3"/>
    <w:rsid w:val="006C1B86"/>
    <w:rsid w:val="00705E33"/>
    <w:rsid w:val="007075E7"/>
    <w:rsid w:val="00775966"/>
    <w:rsid w:val="007D36B4"/>
    <w:rsid w:val="007D57B8"/>
    <w:rsid w:val="007E1041"/>
    <w:rsid w:val="00802ACD"/>
    <w:rsid w:val="00824442"/>
    <w:rsid w:val="008420F1"/>
    <w:rsid w:val="008551DA"/>
    <w:rsid w:val="00873F6C"/>
    <w:rsid w:val="008A1654"/>
    <w:rsid w:val="008A764F"/>
    <w:rsid w:val="008F0FD7"/>
    <w:rsid w:val="009705A4"/>
    <w:rsid w:val="00A509D6"/>
    <w:rsid w:val="00B353CF"/>
    <w:rsid w:val="00B45E3A"/>
    <w:rsid w:val="00B56BC6"/>
    <w:rsid w:val="00B6348E"/>
    <w:rsid w:val="00B847B6"/>
    <w:rsid w:val="00B92E62"/>
    <w:rsid w:val="00C072A3"/>
    <w:rsid w:val="00C80D6D"/>
    <w:rsid w:val="00CF18EF"/>
    <w:rsid w:val="00DA134A"/>
    <w:rsid w:val="00DA17FF"/>
    <w:rsid w:val="00E056D8"/>
    <w:rsid w:val="00E06C1D"/>
    <w:rsid w:val="00E12CA7"/>
    <w:rsid w:val="00E242C0"/>
    <w:rsid w:val="00E56BC1"/>
    <w:rsid w:val="00E77F07"/>
    <w:rsid w:val="00E9499F"/>
    <w:rsid w:val="00ED784D"/>
    <w:rsid w:val="00EF257F"/>
    <w:rsid w:val="00F14649"/>
    <w:rsid w:val="00F314C5"/>
    <w:rsid w:val="00FA444C"/>
    <w:rsid w:val="6822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53A6"/>
  <w15:chartTrackingRefBased/>
  <w15:docId w15:val="{2E948099-DD25-4BAD-A788-DA1C60D3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C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96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7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966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77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d47063-3f5e-4de9-bf99-f083657fa0fe}" enabled="0" method="" siteId="{d9d47063-3f5e-4de9-bf99-f083657fa0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3386</Characters>
  <Application>Microsoft Office Word</Application>
  <DocSecurity>0</DocSecurity>
  <Lines>28</Lines>
  <Paragraphs>7</Paragraphs>
  <ScaleCrop>false</ScaleCrop>
  <Company>IU Health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UHGJ0GHB1 AUTOLOGIN</dc:creator>
  <cp:keywords/>
  <cp:lastModifiedBy>Slayten, Jayanna K</cp:lastModifiedBy>
  <cp:revision>11</cp:revision>
  <cp:lastPrinted>2018-01-15T16:32:00Z</cp:lastPrinted>
  <dcterms:created xsi:type="dcterms:W3CDTF">2025-02-28T15:44:00Z</dcterms:created>
  <dcterms:modified xsi:type="dcterms:W3CDTF">2025-02-28T16:15:00Z</dcterms:modified>
</cp:coreProperties>
</file>