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7226" w14:textId="6C319E80" w:rsidR="00A53578" w:rsidRPr="00493FD3" w:rsidRDefault="00A53578" w:rsidP="00A53578">
      <w:pPr>
        <w:jc w:val="center"/>
        <w:rPr>
          <w:rFonts w:ascii="Arial" w:hAnsi="Arial" w:cs="Arial"/>
          <w:b/>
          <w:bCs/>
          <w:sz w:val="24"/>
          <w:szCs w:val="24"/>
        </w:rPr>
      </w:pPr>
      <w:r w:rsidRPr="00493FD3">
        <w:rPr>
          <w:rFonts w:ascii="Arial" w:hAnsi="Arial" w:cs="Arial"/>
          <w:b/>
          <w:bCs/>
          <w:sz w:val="24"/>
          <w:szCs w:val="24"/>
        </w:rPr>
        <w:t>Single Patient Compassionate Use Treatment of Refractory Cytomegalovirus (CMV) Infections with Related Donor CMV Specific Cytotoxic T-cells (CTLs)</w:t>
      </w:r>
    </w:p>
    <w:p w14:paraId="2FCC773B" w14:textId="77777777" w:rsidR="00A53578" w:rsidRPr="00493FD3" w:rsidRDefault="00A53578" w:rsidP="00A53578">
      <w:pPr>
        <w:jc w:val="center"/>
        <w:rPr>
          <w:rFonts w:ascii="Arial" w:hAnsi="Arial" w:cs="Arial"/>
          <w:sz w:val="24"/>
          <w:szCs w:val="24"/>
        </w:rPr>
      </w:pPr>
    </w:p>
    <w:p w14:paraId="1D7A3261" w14:textId="178F4D60" w:rsidR="00A53578" w:rsidRPr="00493FD3" w:rsidRDefault="008B2B14" w:rsidP="00A53578">
      <w:pPr>
        <w:rPr>
          <w:rFonts w:ascii="Arial" w:hAnsi="Arial" w:cs="Arial"/>
          <w:sz w:val="24"/>
          <w:szCs w:val="24"/>
        </w:rPr>
      </w:pPr>
      <w:r>
        <w:rPr>
          <w:rFonts w:ascii="Arial" w:hAnsi="Arial" w:cs="Arial"/>
          <w:b/>
          <w:bCs/>
          <w:sz w:val="24"/>
          <w:szCs w:val="24"/>
        </w:rPr>
        <w:t>I</w:t>
      </w:r>
      <w:r w:rsidR="00A53578" w:rsidRPr="00493FD3">
        <w:rPr>
          <w:rFonts w:ascii="Arial" w:hAnsi="Arial" w:cs="Arial"/>
          <w:b/>
          <w:bCs/>
          <w:sz w:val="24"/>
          <w:szCs w:val="24"/>
        </w:rPr>
        <w:t>nstitution name</w:t>
      </w:r>
      <w:r w:rsidR="00A53578" w:rsidRPr="00493FD3">
        <w:rPr>
          <w:rFonts w:ascii="Arial" w:hAnsi="Arial" w:cs="Arial"/>
          <w:sz w:val="24"/>
          <w:szCs w:val="24"/>
        </w:rPr>
        <w:t>: Riley Hospital for Children – Indiana University</w:t>
      </w:r>
    </w:p>
    <w:p w14:paraId="73EB7120" w14:textId="6F982CB8" w:rsidR="00A53578" w:rsidRPr="00493FD3" w:rsidRDefault="008B2B14" w:rsidP="00A53578">
      <w:pPr>
        <w:rPr>
          <w:rFonts w:ascii="Arial" w:hAnsi="Arial" w:cs="Arial"/>
          <w:sz w:val="24"/>
          <w:szCs w:val="24"/>
        </w:rPr>
      </w:pPr>
      <w:r>
        <w:rPr>
          <w:rFonts w:ascii="Arial" w:hAnsi="Arial" w:cs="Arial"/>
          <w:b/>
          <w:bCs/>
          <w:sz w:val="24"/>
          <w:szCs w:val="24"/>
        </w:rPr>
        <w:t>S</w:t>
      </w:r>
      <w:r w:rsidR="00A53578" w:rsidRPr="00493FD3">
        <w:rPr>
          <w:rFonts w:ascii="Arial" w:hAnsi="Arial" w:cs="Arial"/>
          <w:b/>
          <w:bCs/>
          <w:sz w:val="24"/>
          <w:szCs w:val="24"/>
        </w:rPr>
        <w:t>ponsor:</w:t>
      </w:r>
      <w:r w:rsidR="00A53578" w:rsidRPr="00493FD3">
        <w:rPr>
          <w:rFonts w:ascii="Arial" w:hAnsi="Arial" w:cs="Arial"/>
          <w:sz w:val="24"/>
          <w:szCs w:val="24"/>
        </w:rPr>
        <w:t xml:space="preserve"> April Rahrig, DO</w:t>
      </w:r>
    </w:p>
    <w:p w14:paraId="3A41CC6F" w14:textId="77777777" w:rsidR="00A53578" w:rsidRPr="00493FD3" w:rsidRDefault="00A53578" w:rsidP="00A53578">
      <w:pPr>
        <w:rPr>
          <w:rFonts w:ascii="Arial" w:hAnsi="Arial" w:cs="Arial"/>
          <w:sz w:val="24"/>
          <w:szCs w:val="24"/>
        </w:rPr>
      </w:pPr>
      <w:r w:rsidRPr="00493FD3">
        <w:rPr>
          <w:rFonts w:ascii="Arial" w:hAnsi="Arial" w:cs="Arial"/>
          <w:sz w:val="24"/>
          <w:szCs w:val="24"/>
        </w:rPr>
        <w:t>Riley Hospital for Children</w:t>
      </w:r>
    </w:p>
    <w:p w14:paraId="094CA13C" w14:textId="77777777" w:rsidR="00A53578" w:rsidRPr="00493FD3" w:rsidRDefault="00A53578" w:rsidP="00A53578">
      <w:pPr>
        <w:rPr>
          <w:rFonts w:ascii="Arial" w:hAnsi="Arial" w:cs="Arial"/>
          <w:sz w:val="24"/>
          <w:szCs w:val="24"/>
        </w:rPr>
      </w:pPr>
      <w:r w:rsidRPr="00493FD3">
        <w:rPr>
          <w:rFonts w:ascii="Arial" w:hAnsi="Arial" w:cs="Arial"/>
          <w:sz w:val="24"/>
          <w:szCs w:val="24"/>
        </w:rPr>
        <w:t xml:space="preserve">705 Riley Hospital Dr., Rm. 4340 </w:t>
      </w:r>
    </w:p>
    <w:p w14:paraId="5BD22548" w14:textId="77777777" w:rsidR="00A53578" w:rsidRPr="00493FD3" w:rsidRDefault="00A53578" w:rsidP="00A53578">
      <w:pPr>
        <w:rPr>
          <w:rFonts w:ascii="Arial" w:hAnsi="Arial" w:cs="Arial"/>
          <w:sz w:val="24"/>
          <w:szCs w:val="24"/>
        </w:rPr>
      </w:pPr>
      <w:r w:rsidRPr="00493FD3">
        <w:rPr>
          <w:rFonts w:ascii="Arial" w:hAnsi="Arial" w:cs="Arial"/>
          <w:sz w:val="24"/>
          <w:szCs w:val="24"/>
        </w:rPr>
        <w:t>Indianapolis, IN 46202</w:t>
      </w:r>
    </w:p>
    <w:p w14:paraId="27ED149F" w14:textId="3BF88EAC" w:rsidR="00A53578" w:rsidRPr="00493FD3" w:rsidRDefault="00A53578" w:rsidP="00A53578">
      <w:pPr>
        <w:rPr>
          <w:rFonts w:ascii="Arial" w:hAnsi="Arial" w:cs="Arial"/>
          <w:sz w:val="24"/>
          <w:szCs w:val="24"/>
        </w:rPr>
      </w:pPr>
      <w:r w:rsidRPr="00493FD3">
        <w:rPr>
          <w:rFonts w:ascii="Arial" w:hAnsi="Arial" w:cs="Arial"/>
          <w:sz w:val="24"/>
          <w:szCs w:val="24"/>
        </w:rPr>
        <w:t>Phone</w:t>
      </w:r>
      <w:r w:rsidR="008B2B14">
        <w:rPr>
          <w:rFonts w:ascii="Arial" w:hAnsi="Arial" w:cs="Arial"/>
          <w:sz w:val="24"/>
          <w:szCs w:val="24"/>
        </w:rPr>
        <w:t>:</w:t>
      </w:r>
      <w:r w:rsidRPr="00493FD3">
        <w:rPr>
          <w:rFonts w:ascii="Arial" w:hAnsi="Arial" w:cs="Arial"/>
          <w:sz w:val="24"/>
          <w:szCs w:val="24"/>
        </w:rPr>
        <w:t xml:space="preserve"> (317) 278-3014 </w:t>
      </w:r>
    </w:p>
    <w:p w14:paraId="4D3CECF4" w14:textId="3D7F0F53" w:rsidR="00A53578" w:rsidRPr="00493FD3" w:rsidRDefault="00A53578" w:rsidP="00A53578">
      <w:pPr>
        <w:rPr>
          <w:rFonts w:ascii="Arial" w:hAnsi="Arial" w:cs="Arial"/>
          <w:sz w:val="24"/>
          <w:szCs w:val="24"/>
        </w:rPr>
      </w:pPr>
      <w:r w:rsidRPr="00493FD3">
        <w:rPr>
          <w:rFonts w:ascii="Arial" w:hAnsi="Arial" w:cs="Arial"/>
          <w:sz w:val="24"/>
          <w:szCs w:val="24"/>
        </w:rPr>
        <w:t>Email</w:t>
      </w:r>
      <w:r w:rsidR="008B2B14">
        <w:rPr>
          <w:rFonts w:ascii="Arial" w:hAnsi="Arial" w:cs="Arial"/>
          <w:sz w:val="24"/>
          <w:szCs w:val="24"/>
        </w:rPr>
        <w:t>:</w:t>
      </w:r>
      <w:r w:rsidRPr="00493FD3">
        <w:rPr>
          <w:rFonts w:ascii="Arial" w:hAnsi="Arial" w:cs="Arial"/>
          <w:sz w:val="24"/>
          <w:szCs w:val="24"/>
        </w:rPr>
        <w:t xml:space="preserve"> </w:t>
      </w:r>
      <w:hyperlink r:id="rId8" w:history="1">
        <w:r w:rsidRPr="00493FD3">
          <w:rPr>
            <w:rStyle w:val="Hyperlink"/>
            <w:rFonts w:ascii="Arial" w:hAnsi="Arial" w:cs="Arial"/>
            <w:sz w:val="24"/>
            <w:szCs w:val="24"/>
          </w:rPr>
          <w:t>alrahrig@iu.edu</w:t>
        </w:r>
      </w:hyperlink>
    </w:p>
    <w:p w14:paraId="3127867C" w14:textId="77777777" w:rsidR="000667BE" w:rsidRDefault="000667BE"/>
    <w:p w14:paraId="5FA03F8D" w14:textId="77777777" w:rsidR="00A53578" w:rsidRPr="00E54F86" w:rsidRDefault="00A53578" w:rsidP="00A53578">
      <w:pPr>
        <w:rPr>
          <w:rFonts w:ascii="Arial" w:hAnsi="Arial" w:cs="Arial"/>
          <w:sz w:val="24"/>
          <w:szCs w:val="24"/>
          <w:u w:val="single"/>
        </w:rPr>
      </w:pPr>
      <w:r w:rsidRPr="00E54F86">
        <w:rPr>
          <w:rFonts w:ascii="Arial" w:hAnsi="Arial" w:cs="Arial"/>
          <w:sz w:val="24"/>
          <w:szCs w:val="24"/>
          <w:u w:val="single"/>
        </w:rPr>
        <w:t>List of Abbreviations</w:t>
      </w:r>
    </w:p>
    <w:p w14:paraId="21B2E2A2" w14:textId="77777777" w:rsidR="00A53578" w:rsidRPr="00E54F86" w:rsidRDefault="00A53578" w:rsidP="00A53578">
      <w:pPr>
        <w:rPr>
          <w:rFonts w:ascii="Arial" w:hAnsi="Arial" w:cs="Arial"/>
          <w:sz w:val="24"/>
          <w:szCs w:val="24"/>
        </w:rPr>
      </w:pPr>
      <w:r w:rsidRPr="00E54F86">
        <w:rPr>
          <w:rFonts w:ascii="Arial" w:hAnsi="Arial" w:cs="Arial"/>
          <w:sz w:val="24"/>
          <w:szCs w:val="24"/>
        </w:rPr>
        <w:t xml:space="preserve">AdV  </w:t>
      </w:r>
      <w:r w:rsidRPr="00E54F86">
        <w:rPr>
          <w:rFonts w:ascii="Arial" w:hAnsi="Arial" w:cs="Arial"/>
          <w:sz w:val="24"/>
          <w:szCs w:val="24"/>
        </w:rPr>
        <w:tab/>
      </w:r>
      <w:r w:rsidRPr="00E54F86">
        <w:rPr>
          <w:rFonts w:ascii="Arial" w:hAnsi="Arial" w:cs="Arial"/>
          <w:sz w:val="24"/>
          <w:szCs w:val="24"/>
        </w:rPr>
        <w:tab/>
        <w:t>Adenovirus</w:t>
      </w:r>
    </w:p>
    <w:p w14:paraId="66AD3598" w14:textId="77777777" w:rsidR="00A53578" w:rsidRPr="00E54F86" w:rsidRDefault="00A53578" w:rsidP="00A53578">
      <w:pPr>
        <w:rPr>
          <w:rFonts w:ascii="Arial" w:hAnsi="Arial" w:cs="Arial"/>
          <w:sz w:val="24"/>
          <w:szCs w:val="24"/>
        </w:rPr>
      </w:pPr>
      <w:r w:rsidRPr="00E54F86">
        <w:rPr>
          <w:rFonts w:ascii="Arial" w:hAnsi="Arial" w:cs="Arial"/>
          <w:sz w:val="24"/>
          <w:szCs w:val="24"/>
        </w:rPr>
        <w:t>Allo</w:t>
      </w:r>
      <w:r w:rsidRPr="00E54F86">
        <w:rPr>
          <w:rFonts w:ascii="Arial" w:hAnsi="Arial" w:cs="Arial"/>
          <w:sz w:val="24"/>
          <w:szCs w:val="24"/>
        </w:rPr>
        <w:tab/>
      </w:r>
      <w:r w:rsidRPr="00E54F86">
        <w:rPr>
          <w:rFonts w:ascii="Arial" w:hAnsi="Arial" w:cs="Arial"/>
          <w:sz w:val="24"/>
          <w:szCs w:val="24"/>
        </w:rPr>
        <w:tab/>
        <w:t>Allogeneic</w:t>
      </w:r>
    </w:p>
    <w:p w14:paraId="1DEDF2C5" w14:textId="77777777" w:rsidR="00A53578" w:rsidRPr="00E54F86" w:rsidRDefault="00A53578" w:rsidP="00A53578">
      <w:pPr>
        <w:rPr>
          <w:rFonts w:ascii="Arial" w:hAnsi="Arial" w:cs="Arial"/>
          <w:sz w:val="24"/>
          <w:szCs w:val="24"/>
        </w:rPr>
      </w:pPr>
      <w:r w:rsidRPr="00E54F86">
        <w:rPr>
          <w:rFonts w:ascii="Arial" w:hAnsi="Arial" w:cs="Arial"/>
          <w:sz w:val="24"/>
          <w:szCs w:val="24"/>
        </w:rPr>
        <w:t>BMT</w:t>
      </w:r>
      <w:r w:rsidRPr="00E54F86">
        <w:rPr>
          <w:rFonts w:ascii="Arial" w:hAnsi="Arial" w:cs="Arial"/>
          <w:sz w:val="24"/>
          <w:szCs w:val="24"/>
        </w:rPr>
        <w:tab/>
      </w:r>
      <w:r w:rsidRPr="00E54F86">
        <w:rPr>
          <w:rFonts w:ascii="Arial" w:hAnsi="Arial" w:cs="Arial"/>
          <w:sz w:val="24"/>
          <w:szCs w:val="24"/>
        </w:rPr>
        <w:tab/>
        <w:t>Bone marrow transplant</w:t>
      </w:r>
    </w:p>
    <w:p w14:paraId="4C872E48" w14:textId="77777777" w:rsidR="00A53578" w:rsidRPr="00E54F86" w:rsidRDefault="00A53578" w:rsidP="00A53578">
      <w:pPr>
        <w:rPr>
          <w:rFonts w:ascii="Arial" w:hAnsi="Arial" w:cs="Arial"/>
          <w:sz w:val="24"/>
          <w:szCs w:val="24"/>
        </w:rPr>
      </w:pPr>
      <w:r w:rsidRPr="00E54F86">
        <w:rPr>
          <w:rFonts w:ascii="Arial" w:hAnsi="Arial" w:cs="Arial"/>
          <w:sz w:val="24"/>
          <w:szCs w:val="24"/>
        </w:rPr>
        <w:t>CMV</w:t>
      </w:r>
      <w:r w:rsidRPr="00E54F86">
        <w:rPr>
          <w:rFonts w:ascii="Arial" w:hAnsi="Arial" w:cs="Arial"/>
          <w:sz w:val="24"/>
          <w:szCs w:val="24"/>
        </w:rPr>
        <w:tab/>
      </w:r>
      <w:r w:rsidRPr="00E54F86">
        <w:rPr>
          <w:rFonts w:ascii="Arial" w:hAnsi="Arial" w:cs="Arial"/>
          <w:sz w:val="24"/>
          <w:szCs w:val="24"/>
        </w:rPr>
        <w:tab/>
        <w:t>Cytomegalovirus</w:t>
      </w:r>
    </w:p>
    <w:p w14:paraId="79075B44" w14:textId="77777777" w:rsidR="00A53578" w:rsidRPr="00E54F86" w:rsidRDefault="00A53578" w:rsidP="00A53578">
      <w:pPr>
        <w:rPr>
          <w:rFonts w:ascii="Arial" w:hAnsi="Arial" w:cs="Arial"/>
          <w:sz w:val="24"/>
          <w:szCs w:val="24"/>
        </w:rPr>
      </w:pPr>
      <w:r w:rsidRPr="00E54F86">
        <w:rPr>
          <w:rFonts w:ascii="Arial" w:hAnsi="Arial" w:cs="Arial"/>
          <w:sz w:val="24"/>
          <w:szCs w:val="24"/>
        </w:rPr>
        <w:t>CTL</w:t>
      </w:r>
      <w:r w:rsidRPr="00E54F86">
        <w:rPr>
          <w:rFonts w:ascii="Arial" w:hAnsi="Arial" w:cs="Arial"/>
          <w:sz w:val="24"/>
          <w:szCs w:val="24"/>
        </w:rPr>
        <w:tab/>
      </w:r>
      <w:r w:rsidRPr="00E54F86">
        <w:rPr>
          <w:rFonts w:ascii="Arial" w:hAnsi="Arial" w:cs="Arial"/>
          <w:sz w:val="24"/>
          <w:szCs w:val="24"/>
        </w:rPr>
        <w:tab/>
        <w:t>Cytotoxic T lymphocytes</w:t>
      </w:r>
    </w:p>
    <w:p w14:paraId="2A453B1D" w14:textId="77777777" w:rsidR="00A53578" w:rsidRPr="00E54F86" w:rsidRDefault="00A53578" w:rsidP="00A53578">
      <w:pPr>
        <w:rPr>
          <w:rFonts w:ascii="Arial" w:hAnsi="Arial" w:cs="Arial"/>
          <w:sz w:val="24"/>
          <w:szCs w:val="24"/>
        </w:rPr>
      </w:pPr>
      <w:r w:rsidRPr="00E54F86">
        <w:rPr>
          <w:rFonts w:ascii="Arial" w:hAnsi="Arial" w:cs="Arial"/>
          <w:sz w:val="24"/>
          <w:szCs w:val="24"/>
        </w:rPr>
        <w:t>DLI</w:t>
      </w:r>
      <w:r w:rsidRPr="00E54F86">
        <w:rPr>
          <w:rFonts w:ascii="Arial" w:hAnsi="Arial" w:cs="Arial"/>
          <w:sz w:val="24"/>
          <w:szCs w:val="24"/>
        </w:rPr>
        <w:tab/>
      </w:r>
      <w:r w:rsidRPr="00E54F86">
        <w:rPr>
          <w:rFonts w:ascii="Arial" w:hAnsi="Arial" w:cs="Arial"/>
          <w:sz w:val="24"/>
          <w:szCs w:val="24"/>
        </w:rPr>
        <w:tab/>
        <w:t>Donor lymphocyte infusion</w:t>
      </w:r>
    </w:p>
    <w:p w14:paraId="3CF9814E" w14:textId="77777777" w:rsidR="00A53578" w:rsidRPr="00206011" w:rsidRDefault="00A53578" w:rsidP="00A53578">
      <w:pPr>
        <w:rPr>
          <w:rFonts w:ascii="Arial" w:hAnsi="Arial" w:cs="Arial"/>
          <w:sz w:val="24"/>
          <w:szCs w:val="24"/>
          <w:lang w:val="de-DE"/>
        </w:rPr>
      </w:pPr>
      <w:r w:rsidRPr="00206011">
        <w:rPr>
          <w:rFonts w:ascii="Arial" w:hAnsi="Arial" w:cs="Arial"/>
          <w:sz w:val="24"/>
          <w:szCs w:val="24"/>
          <w:lang w:val="de-DE"/>
        </w:rPr>
        <w:t>EBV</w:t>
      </w:r>
      <w:r w:rsidRPr="00206011">
        <w:rPr>
          <w:rFonts w:ascii="Arial" w:hAnsi="Arial" w:cs="Arial"/>
          <w:sz w:val="24"/>
          <w:szCs w:val="24"/>
          <w:lang w:val="de-DE"/>
        </w:rPr>
        <w:tab/>
      </w:r>
      <w:r w:rsidRPr="00206011">
        <w:rPr>
          <w:rFonts w:ascii="Arial" w:hAnsi="Arial" w:cs="Arial"/>
          <w:sz w:val="24"/>
          <w:szCs w:val="24"/>
          <w:lang w:val="de-DE"/>
        </w:rPr>
        <w:tab/>
        <w:t>Epstein-Barr virus</w:t>
      </w:r>
    </w:p>
    <w:p w14:paraId="4AE268E6" w14:textId="77777777" w:rsidR="00A53578" w:rsidRPr="00206011" w:rsidRDefault="00A53578" w:rsidP="00A53578">
      <w:pPr>
        <w:rPr>
          <w:rFonts w:ascii="Arial" w:hAnsi="Arial" w:cs="Arial"/>
          <w:sz w:val="24"/>
          <w:szCs w:val="24"/>
          <w:lang w:val="de-DE"/>
        </w:rPr>
      </w:pPr>
      <w:r w:rsidRPr="00206011">
        <w:rPr>
          <w:rFonts w:ascii="Arial" w:hAnsi="Arial" w:cs="Arial"/>
          <w:sz w:val="24"/>
          <w:szCs w:val="24"/>
          <w:lang w:val="de-DE"/>
        </w:rPr>
        <w:t>GVHD</w:t>
      </w:r>
      <w:r w:rsidRPr="00206011">
        <w:rPr>
          <w:rFonts w:ascii="Arial" w:hAnsi="Arial" w:cs="Arial"/>
          <w:sz w:val="24"/>
          <w:szCs w:val="24"/>
          <w:lang w:val="de-DE"/>
        </w:rPr>
        <w:tab/>
      </w:r>
      <w:r w:rsidRPr="00206011">
        <w:rPr>
          <w:rFonts w:ascii="Arial" w:hAnsi="Arial" w:cs="Arial"/>
          <w:sz w:val="24"/>
          <w:szCs w:val="24"/>
          <w:lang w:val="de-DE"/>
        </w:rPr>
        <w:tab/>
        <w:t>Graft vs host disease</w:t>
      </w:r>
    </w:p>
    <w:p w14:paraId="6ADF180B" w14:textId="77777777" w:rsidR="00A53578" w:rsidRPr="00E54F86" w:rsidRDefault="00A53578" w:rsidP="00A53578">
      <w:pPr>
        <w:rPr>
          <w:rFonts w:ascii="Arial" w:hAnsi="Arial" w:cs="Arial"/>
          <w:sz w:val="24"/>
          <w:szCs w:val="24"/>
        </w:rPr>
      </w:pPr>
      <w:r w:rsidRPr="00E54F86">
        <w:rPr>
          <w:rFonts w:ascii="Arial" w:hAnsi="Arial" w:cs="Arial"/>
          <w:sz w:val="24"/>
          <w:szCs w:val="24"/>
        </w:rPr>
        <w:t>HSCT</w:t>
      </w:r>
      <w:r w:rsidRPr="00E54F86">
        <w:rPr>
          <w:rFonts w:ascii="Arial" w:hAnsi="Arial" w:cs="Arial"/>
          <w:sz w:val="24"/>
          <w:szCs w:val="24"/>
        </w:rPr>
        <w:tab/>
      </w:r>
      <w:r w:rsidRPr="00E54F86">
        <w:rPr>
          <w:rFonts w:ascii="Arial" w:hAnsi="Arial" w:cs="Arial"/>
          <w:sz w:val="24"/>
          <w:szCs w:val="24"/>
        </w:rPr>
        <w:tab/>
        <w:t>Hematopoietic stem cell transplantation</w:t>
      </w:r>
    </w:p>
    <w:p w14:paraId="0BAA4BB2" w14:textId="77777777" w:rsidR="00A53578" w:rsidRPr="00E54F86" w:rsidRDefault="00A53578" w:rsidP="00A53578">
      <w:pPr>
        <w:rPr>
          <w:rFonts w:ascii="Arial" w:hAnsi="Arial" w:cs="Arial"/>
          <w:sz w:val="24"/>
          <w:szCs w:val="24"/>
        </w:rPr>
      </w:pPr>
      <w:r w:rsidRPr="00E54F86">
        <w:rPr>
          <w:rFonts w:ascii="Arial" w:hAnsi="Arial" w:cs="Arial"/>
          <w:sz w:val="24"/>
          <w:szCs w:val="24"/>
        </w:rPr>
        <w:t>PID</w:t>
      </w:r>
      <w:r w:rsidRPr="00E54F86">
        <w:rPr>
          <w:rFonts w:ascii="Arial" w:hAnsi="Arial" w:cs="Arial"/>
          <w:sz w:val="24"/>
          <w:szCs w:val="24"/>
        </w:rPr>
        <w:tab/>
      </w:r>
      <w:r w:rsidRPr="00E54F86">
        <w:rPr>
          <w:rFonts w:ascii="Arial" w:hAnsi="Arial" w:cs="Arial"/>
          <w:sz w:val="24"/>
          <w:szCs w:val="24"/>
        </w:rPr>
        <w:tab/>
        <w:t>Primary immunodeficiency</w:t>
      </w:r>
    </w:p>
    <w:p w14:paraId="1F269C25" w14:textId="77777777" w:rsidR="00A53578" w:rsidRPr="00E54F86" w:rsidRDefault="00A53578" w:rsidP="00A53578">
      <w:pPr>
        <w:rPr>
          <w:rFonts w:ascii="Arial" w:hAnsi="Arial" w:cs="Arial"/>
          <w:sz w:val="24"/>
          <w:szCs w:val="24"/>
        </w:rPr>
      </w:pPr>
      <w:r w:rsidRPr="00E54F86">
        <w:rPr>
          <w:rFonts w:ascii="Arial" w:hAnsi="Arial" w:cs="Arial"/>
          <w:sz w:val="24"/>
          <w:szCs w:val="24"/>
        </w:rPr>
        <w:t>SAE</w:t>
      </w:r>
      <w:r w:rsidRPr="00E54F86">
        <w:rPr>
          <w:rFonts w:ascii="Arial" w:hAnsi="Arial" w:cs="Arial"/>
          <w:sz w:val="24"/>
          <w:szCs w:val="24"/>
        </w:rPr>
        <w:tab/>
      </w:r>
      <w:r w:rsidRPr="00E54F86">
        <w:rPr>
          <w:rFonts w:ascii="Arial" w:hAnsi="Arial" w:cs="Arial"/>
          <w:sz w:val="24"/>
          <w:szCs w:val="24"/>
        </w:rPr>
        <w:tab/>
        <w:t>Severe adverse event</w:t>
      </w:r>
    </w:p>
    <w:p w14:paraId="2740FEED" w14:textId="77777777" w:rsidR="00A53578" w:rsidRPr="00E54F86" w:rsidRDefault="00A53578" w:rsidP="00A53578">
      <w:pPr>
        <w:rPr>
          <w:rFonts w:ascii="Arial" w:hAnsi="Arial" w:cs="Arial"/>
          <w:sz w:val="24"/>
          <w:szCs w:val="24"/>
        </w:rPr>
      </w:pPr>
      <w:r w:rsidRPr="00E54F86">
        <w:rPr>
          <w:rFonts w:ascii="Arial" w:hAnsi="Arial" w:cs="Arial"/>
          <w:sz w:val="24"/>
          <w:szCs w:val="24"/>
        </w:rPr>
        <w:t>SCID</w:t>
      </w:r>
      <w:r w:rsidRPr="00E54F86">
        <w:rPr>
          <w:rFonts w:ascii="Arial" w:hAnsi="Arial" w:cs="Arial"/>
          <w:sz w:val="24"/>
          <w:szCs w:val="24"/>
        </w:rPr>
        <w:tab/>
      </w:r>
      <w:r w:rsidRPr="00E54F86">
        <w:rPr>
          <w:rFonts w:ascii="Arial" w:hAnsi="Arial" w:cs="Arial"/>
          <w:sz w:val="24"/>
          <w:szCs w:val="24"/>
        </w:rPr>
        <w:tab/>
        <w:t>Severe combined immunodeficiency</w:t>
      </w:r>
    </w:p>
    <w:p w14:paraId="03808884" w14:textId="77777777" w:rsidR="00A53578" w:rsidRPr="00E54F86" w:rsidRDefault="00A53578" w:rsidP="00A53578">
      <w:pPr>
        <w:rPr>
          <w:rFonts w:ascii="Arial" w:hAnsi="Arial" w:cs="Arial"/>
          <w:sz w:val="24"/>
          <w:szCs w:val="24"/>
        </w:rPr>
      </w:pPr>
      <w:r w:rsidRPr="00E54F86">
        <w:rPr>
          <w:rFonts w:ascii="Arial" w:hAnsi="Arial" w:cs="Arial"/>
          <w:sz w:val="24"/>
          <w:szCs w:val="24"/>
        </w:rPr>
        <w:t>SOP</w:t>
      </w:r>
      <w:r w:rsidRPr="00E54F86">
        <w:rPr>
          <w:rFonts w:ascii="Arial" w:hAnsi="Arial" w:cs="Arial"/>
          <w:sz w:val="24"/>
          <w:szCs w:val="24"/>
        </w:rPr>
        <w:tab/>
      </w:r>
      <w:r w:rsidRPr="00E54F86">
        <w:rPr>
          <w:rFonts w:ascii="Arial" w:hAnsi="Arial" w:cs="Arial"/>
          <w:sz w:val="24"/>
          <w:szCs w:val="24"/>
        </w:rPr>
        <w:tab/>
        <w:t>Standard operating procedures</w:t>
      </w:r>
    </w:p>
    <w:p w14:paraId="6B980E26" w14:textId="77777777" w:rsidR="00A53578" w:rsidRDefault="00A53578"/>
    <w:p w14:paraId="66421054" w14:textId="77777777" w:rsidR="00A53578" w:rsidRDefault="00A53578"/>
    <w:p w14:paraId="70534FF7" w14:textId="7290F0D8" w:rsidR="00A53578" w:rsidRPr="00E54F86" w:rsidRDefault="00EE713C" w:rsidP="00A53578">
      <w:pPr>
        <w:rPr>
          <w:rFonts w:ascii="Arial" w:hAnsi="Arial" w:cs="Arial"/>
          <w:b/>
          <w:sz w:val="24"/>
          <w:szCs w:val="24"/>
        </w:rPr>
      </w:pPr>
      <w:r>
        <w:rPr>
          <w:rFonts w:ascii="Arial" w:hAnsi="Arial" w:cs="Arial"/>
          <w:b/>
          <w:sz w:val="24"/>
          <w:szCs w:val="24"/>
        </w:rPr>
        <w:t xml:space="preserve">1.0  </w:t>
      </w:r>
      <w:r w:rsidR="00A53578" w:rsidRPr="00E54F86">
        <w:rPr>
          <w:rFonts w:ascii="Arial" w:hAnsi="Arial" w:cs="Arial"/>
          <w:b/>
          <w:sz w:val="24"/>
          <w:szCs w:val="24"/>
        </w:rPr>
        <w:t>Background and Rationale</w:t>
      </w:r>
    </w:p>
    <w:p w14:paraId="472F99DC" w14:textId="498631D4" w:rsidR="00A53578" w:rsidRPr="00E54F86" w:rsidRDefault="00EE713C" w:rsidP="00A53578">
      <w:pPr>
        <w:pStyle w:val="Text"/>
        <w:tabs>
          <w:tab w:val="center" w:pos="4680"/>
        </w:tabs>
        <w:spacing w:line="276" w:lineRule="auto"/>
        <w:jc w:val="left"/>
        <w:rPr>
          <w:rFonts w:ascii="Arial" w:hAnsi="Arial" w:cs="Arial"/>
          <w:b/>
          <w:szCs w:val="24"/>
        </w:rPr>
      </w:pPr>
      <w:r>
        <w:rPr>
          <w:rFonts w:ascii="Arial" w:hAnsi="Arial" w:cs="Arial"/>
          <w:b/>
          <w:szCs w:val="24"/>
        </w:rPr>
        <w:t>1.</w:t>
      </w:r>
      <w:r w:rsidR="00A53578">
        <w:rPr>
          <w:rFonts w:ascii="Arial" w:hAnsi="Arial" w:cs="Arial"/>
          <w:b/>
          <w:szCs w:val="24"/>
        </w:rPr>
        <w:t>1</w:t>
      </w:r>
      <w:r w:rsidR="00A53578" w:rsidRPr="00E54F86">
        <w:rPr>
          <w:rFonts w:ascii="Arial" w:hAnsi="Arial" w:cs="Arial"/>
          <w:b/>
          <w:szCs w:val="24"/>
        </w:rPr>
        <w:t xml:space="preserve"> Viral Infections Post-AlloHSCT</w:t>
      </w:r>
    </w:p>
    <w:p w14:paraId="082E72C1" w14:textId="77777777" w:rsidR="00A53578" w:rsidRPr="00E54F86" w:rsidRDefault="00A53578" w:rsidP="00A53578">
      <w:pPr>
        <w:pStyle w:val="Text"/>
        <w:spacing w:line="276" w:lineRule="auto"/>
        <w:jc w:val="left"/>
        <w:rPr>
          <w:rFonts w:ascii="Arial" w:hAnsi="Arial" w:cs="Arial"/>
          <w:szCs w:val="24"/>
        </w:rPr>
      </w:pPr>
      <w:r w:rsidRPr="00E54F86">
        <w:rPr>
          <w:rFonts w:ascii="Arial" w:hAnsi="Arial" w:cs="Arial"/>
          <w:szCs w:val="24"/>
        </w:rPr>
        <w:t xml:space="preserve">Hematopoietic stem cell transplantation (HSCT) is curative therapy for many malignancies and non-malignant conditions. However, HSCT is associated with three major risks: graft rejection, graft-versus-host disease and opportunistic infections. Viral reactivation and infections remain a significant cause of morbidity and mortality in post-HSCT patients. These infections occur with delayed immune reconstitution, which may result from methods to reduce graft vs host disease (GVHD) such as </w:t>
      </w:r>
      <w:r w:rsidRPr="00E54F86">
        <w:rPr>
          <w:rFonts w:ascii="Arial" w:hAnsi="Arial" w:cs="Arial"/>
          <w:i/>
          <w:szCs w:val="24"/>
        </w:rPr>
        <w:t>in vivo</w:t>
      </w:r>
      <w:r w:rsidRPr="00E54F86">
        <w:rPr>
          <w:rFonts w:ascii="Arial" w:hAnsi="Arial" w:cs="Arial"/>
          <w:szCs w:val="24"/>
        </w:rPr>
        <w:t xml:space="preserve"> serotherapy or </w:t>
      </w:r>
      <w:r w:rsidRPr="00E54F86">
        <w:rPr>
          <w:rFonts w:ascii="Arial" w:hAnsi="Arial" w:cs="Arial"/>
          <w:i/>
          <w:szCs w:val="24"/>
        </w:rPr>
        <w:t>ex vivo</w:t>
      </w:r>
      <w:r w:rsidRPr="00E54F86">
        <w:rPr>
          <w:rFonts w:ascii="Arial" w:hAnsi="Arial" w:cs="Arial"/>
          <w:szCs w:val="24"/>
        </w:rPr>
        <w:t xml:space="preserve"> T depletion, and from GVHD itself. Although incidence and severity of viral infections/reactivations can be lowered by prophylactic and therapeutic antiviral antibiotics, the efficacy of this treatment is limited </w:t>
      </w:r>
      <w:r w:rsidRPr="00E54F86">
        <w:rPr>
          <w:rFonts w:ascii="Arial" w:hAnsi="Arial" w:cs="Arial"/>
          <w:szCs w:val="24"/>
        </w:rPr>
        <w:fldChar w:fldCharType="begin"/>
      </w:r>
      <w:r>
        <w:rPr>
          <w:rFonts w:ascii="Arial" w:hAnsi="Arial" w:cs="Arial"/>
          <w:szCs w:val="24"/>
        </w:rPr>
        <w:instrText xml:space="preserve"> ADDIN EN.CITE &lt;EndNote&gt;&lt;Cite&gt;&lt;Author&gt;Bollard&lt;/Author&gt;&lt;Year&gt;2016&lt;/Year&gt;&lt;RecNum&gt;45&lt;/RecNum&gt;&lt;DisplayText&gt;&lt;style face="superscript"&gt;1&lt;/style&gt;&lt;/DisplayText&gt;&lt;record&gt;&lt;rec-number&gt;45&lt;/rec-number&gt;&lt;foreign-keys&gt;&lt;key app="EN" db-id="s0dvaedsvtwdz4e2f9n592swwz2eftfx29w2" timestamp="1551128186"&gt;45&lt;/key&gt;&lt;/foreign-keys&gt;&lt;ref-type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edition&gt;2016/05/22&lt;/edition&gt;&lt;keywords&gt;&lt;keyword&gt;Adoptive Transfer/*methods&lt;/keyword&gt;&lt;keyword&gt;Allografts&lt;/keyword&gt;&lt;keyword&gt;Animals&lt;/keyword&gt;&lt;keyword&gt;*Epstein-Barr Virus Infections/immunology/therapy&lt;/keyword&gt;&lt;keyword&gt;*Hematopoietic Stem Cell Transplantation&lt;/keyword&gt;&lt;keyword&gt;Herpesvirus 4, Human/immunology&lt;/keyword&gt;&lt;keyword&gt;Humans&lt;/keyword&gt;&lt;keyword&gt;*Immunity, Cellular&lt;/keyword&gt;&lt;keyword&gt;*Living Donors&lt;/keyword&gt;&lt;keyword&gt;*T-Lymphocytes/immunology/transplantation&lt;/keyword&gt;&lt;/keywords&gt;&lt;dates&gt;&lt;year&gt;2016&lt;/year&gt;&lt;pub-dates&gt;&lt;date&gt;Jun 30&lt;/date&gt;&lt;/pub-dates&gt;&lt;/dates&gt;&lt;isbn&gt;1528-0020 (Electronic)&amp;#xD;0006-4971 (Linking)&lt;/isbn&gt;&lt;accession-num&gt;27207801&lt;/accession-num&gt;&lt;urls&gt;&lt;related-urls&gt;&lt;url&gt;https://www.ncbi.nlm.nih.gov/pubmed/27207801&lt;/url&gt;&lt;/related-urls&gt;&lt;/urls&gt;&lt;custom2&gt;PMC4929925&lt;/custom2&gt;&lt;electronic-resource-num&gt;10.1182/blood-2016-01-628982&lt;/electronic-resource-num&gt;&lt;/record&gt;&lt;/Cite&gt;&lt;/EndNote&gt;</w:instrText>
      </w:r>
      <w:r w:rsidRPr="00E54F86">
        <w:rPr>
          <w:rFonts w:ascii="Arial" w:hAnsi="Arial" w:cs="Arial"/>
          <w:szCs w:val="24"/>
        </w:rPr>
        <w:fldChar w:fldCharType="separate"/>
      </w:r>
      <w:r w:rsidRPr="00E54F86">
        <w:rPr>
          <w:rFonts w:ascii="Arial" w:hAnsi="Arial" w:cs="Arial"/>
          <w:noProof/>
          <w:szCs w:val="24"/>
          <w:vertAlign w:val="superscript"/>
        </w:rPr>
        <w:t>1</w:t>
      </w:r>
      <w:r w:rsidRPr="00E54F86">
        <w:rPr>
          <w:rFonts w:ascii="Arial" w:hAnsi="Arial" w:cs="Arial"/>
          <w:szCs w:val="24"/>
        </w:rPr>
        <w:fldChar w:fldCharType="end"/>
      </w:r>
      <w:r w:rsidRPr="00E54F86">
        <w:t xml:space="preserve"> </w:t>
      </w:r>
      <w:r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Pr="00E54F86">
        <w:rPr>
          <w:rFonts w:ascii="Arial" w:hAnsi="Arial" w:cs="Arial"/>
          <w:szCs w:val="24"/>
        </w:rPr>
        <w:instrText xml:space="preserve"> ADDIN EN.CITE </w:instrText>
      </w:r>
      <w:r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Pr="00E54F86">
        <w:rPr>
          <w:rFonts w:ascii="Arial" w:hAnsi="Arial" w:cs="Arial"/>
          <w:szCs w:val="24"/>
        </w:rPr>
        <w:instrText xml:space="preserve"> ADDIN EN.CITE.DATA </w:instrText>
      </w:r>
      <w:r w:rsidRPr="00E54F86">
        <w:rPr>
          <w:rFonts w:ascii="Arial" w:hAnsi="Arial" w:cs="Arial"/>
          <w:szCs w:val="24"/>
        </w:rPr>
      </w:r>
      <w:r w:rsidRPr="00E54F86">
        <w:rPr>
          <w:rFonts w:ascii="Arial" w:hAnsi="Arial" w:cs="Arial"/>
          <w:szCs w:val="24"/>
        </w:rPr>
        <w:fldChar w:fldCharType="end"/>
      </w:r>
      <w:r w:rsidRPr="00E54F86">
        <w:rPr>
          <w:rFonts w:ascii="Arial" w:hAnsi="Arial" w:cs="Arial"/>
          <w:szCs w:val="24"/>
        </w:rPr>
      </w:r>
      <w:r w:rsidRPr="00E54F86">
        <w:rPr>
          <w:rFonts w:ascii="Arial" w:hAnsi="Arial" w:cs="Arial"/>
          <w:szCs w:val="24"/>
        </w:rPr>
        <w:fldChar w:fldCharType="separate"/>
      </w:r>
      <w:r w:rsidRPr="00E54F86">
        <w:rPr>
          <w:rFonts w:ascii="Arial" w:hAnsi="Arial" w:cs="Arial"/>
          <w:noProof/>
          <w:szCs w:val="24"/>
          <w:vertAlign w:val="superscript"/>
        </w:rPr>
        <w:t>2</w:t>
      </w:r>
      <w:r w:rsidRPr="00E54F86">
        <w:rPr>
          <w:rFonts w:ascii="Arial" w:hAnsi="Arial" w:cs="Arial"/>
          <w:szCs w:val="24"/>
        </w:rPr>
        <w:fldChar w:fldCharType="end"/>
      </w:r>
      <w:r w:rsidRPr="00E54F86">
        <w:t xml:space="preserve"> </w:t>
      </w:r>
      <w:r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Pr="00E54F86">
        <w:rPr>
          <w:rFonts w:ascii="Arial" w:hAnsi="Arial" w:cs="Arial"/>
          <w:szCs w:val="24"/>
        </w:rPr>
        <w:instrText xml:space="preserve"> ADDIN EN.CITE </w:instrText>
      </w:r>
      <w:r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Pr="00E54F86">
        <w:rPr>
          <w:rFonts w:ascii="Arial" w:hAnsi="Arial" w:cs="Arial"/>
          <w:szCs w:val="24"/>
        </w:rPr>
        <w:instrText xml:space="preserve"> ADDIN EN.CITE.DATA </w:instrText>
      </w:r>
      <w:r w:rsidRPr="00E54F86">
        <w:rPr>
          <w:rFonts w:ascii="Arial" w:hAnsi="Arial" w:cs="Arial"/>
          <w:szCs w:val="24"/>
        </w:rPr>
      </w:r>
      <w:r w:rsidRPr="00E54F86">
        <w:rPr>
          <w:rFonts w:ascii="Arial" w:hAnsi="Arial" w:cs="Arial"/>
          <w:szCs w:val="24"/>
        </w:rPr>
        <w:fldChar w:fldCharType="end"/>
      </w:r>
      <w:r w:rsidRPr="00E54F86">
        <w:rPr>
          <w:rFonts w:ascii="Arial" w:hAnsi="Arial" w:cs="Arial"/>
          <w:szCs w:val="24"/>
        </w:rPr>
      </w:r>
      <w:r w:rsidRPr="00E54F86">
        <w:rPr>
          <w:rFonts w:ascii="Arial" w:hAnsi="Arial" w:cs="Arial"/>
          <w:szCs w:val="24"/>
        </w:rPr>
        <w:fldChar w:fldCharType="separate"/>
      </w:r>
      <w:r w:rsidRPr="00E54F86">
        <w:rPr>
          <w:rFonts w:ascii="Arial" w:hAnsi="Arial" w:cs="Arial"/>
          <w:noProof/>
          <w:szCs w:val="24"/>
          <w:vertAlign w:val="superscript"/>
        </w:rPr>
        <w:t>3</w:t>
      </w:r>
      <w:r w:rsidRPr="00E54F86">
        <w:rPr>
          <w:rFonts w:ascii="Arial" w:hAnsi="Arial" w:cs="Arial"/>
          <w:szCs w:val="24"/>
        </w:rPr>
        <w:fldChar w:fldCharType="end"/>
      </w:r>
      <w:r w:rsidRPr="00E54F86">
        <w:t xml:space="preserve"> </w:t>
      </w:r>
      <w:r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Pr="00E54F86">
        <w:rPr>
          <w:rFonts w:ascii="Arial" w:hAnsi="Arial" w:cs="Arial"/>
          <w:szCs w:val="24"/>
        </w:rPr>
        <w:instrText xml:space="preserve"> ADDIN EN.CITE </w:instrText>
      </w:r>
      <w:r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Pr="00E54F86">
        <w:rPr>
          <w:rFonts w:ascii="Arial" w:hAnsi="Arial" w:cs="Arial"/>
          <w:szCs w:val="24"/>
        </w:rPr>
        <w:instrText xml:space="preserve"> ADDIN EN.CITE.DATA </w:instrText>
      </w:r>
      <w:r w:rsidRPr="00E54F86">
        <w:rPr>
          <w:rFonts w:ascii="Arial" w:hAnsi="Arial" w:cs="Arial"/>
          <w:szCs w:val="24"/>
        </w:rPr>
      </w:r>
      <w:r w:rsidRPr="00E54F86">
        <w:rPr>
          <w:rFonts w:ascii="Arial" w:hAnsi="Arial" w:cs="Arial"/>
          <w:szCs w:val="24"/>
        </w:rPr>
        <w:fldChar w:fldCharType="end"/>
      </w:r>
      <w:r w:rsidRPr="00E54F86">
        <w:rPr>
          <w:rFonts w:ascii="Arial" w:hAnsi="Arial" w:cs="Arial"/>
          <w:szCs w:val="24"/>
        </w:rPr>
      </w:r>
      <w:r w:rsidRPr="00E54F86">
        <w:rPr>
          <w:rFonts w:ascii="Arial" w:hAnsi="Arial" w:cs="Arial"/>
          <w:szCs w:val="24"/>
        </w:rPr>
        <w:fldChar w:fldCharType="separate"/>
      </w:r>
      <w:r w:rsidRPr="00E54F86">
        <w:rPr>
          <w:rFonts w:ascii="Arial" w:hAnsi="Arial" w:cs="Arial"/>
          <w:noProof/>
          <w:szCs w:val="24"/>
          <w:vertAlign w:val="superscript"/>
        </w:rPr>
        <w:t>4</w:t>
      </w:r>
      <w:r w:rsidRPr="00E54F86">
        <w:rPr>
          <w:rFonts w:ascii="Arial" w:hAnsi="Arial" w:cs="Arial"/>
          <w:szCs w:val="24"/>
        </w:rPr>
        <w:fldChar w:fldCharType="end"/>
      </w:r>
      <w:r w:rsidRPr="00E54F86">
        <w:t xml:space="preserve"> </w:t>
      </w:r>
      <w:r w:rsidRPr="00E54F86">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Pr>
          <w:rFonts w:ascii="Arial" w:hAnsi="Arial" w:cs="Arial"/>
          <w:szCs w:val="24"/>
        </w:rPr>
        <w:instrText xml:space="preserve"> ADDIN EN.CITE </w:instrText>
      </w:r>
      <w:r>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Pr>
          <w:rFonts w:ascii="Arial" w:hAnsi="Arial" w:cs="Arial"/>
          <w:szCs w:val="24"/>
        </w:rPr>
        <w:instrText xml:space="preserve"> ADDIN EN.CITE.DATA </w:instrText>
      </w:r>
      <w:r>
        <w:rPr>
          <w:rFonts w:ascii="Arial" w:hAnsi="Arial" w:cs="Arial"/>
          <w:szCs w:val="24"/>
        </w:rPr>
      </w:r>
      <w:r>
        <w:rPr>
          <w:rFonts w:ascii="Arial" w:hAnsi="Arial" w:cs="Arial"/>
          <w:szCs w:val="24"/>
        </w:rPr>
        <w:fldChar w:fldCharType="end"/>
      </w:r>
      <w:r w:rsidRPr="00E54F86">
        <w:rPr>
          <w:rFonts w:ascii="Arial" w:hAnsi="Arial" w:cs="Arial"/>
          <w:szCs w:val="24"/>
        </w:rPr>
      </w:r>
      <w:r w:rsidRPr="00E54F86">
        <w:rPr>
          <w:rFonts w:ascii="Arial" w:hAnsi="Arial" w:cs="Arial"/>
          <w:szCs w:val="24"/>
        </w:rPr>
        <w:fldChar w:fldCharType="separate"/>
      </w:r>
      <w:r w:rsidRPr="00E54F86">
        <w:rPr>
          <w:rFonts w:ascii="Arial" w:hAnsi="Arial" w:cs="Arial"/>
          <w:noProof/>
          <w:szCs w:val="24"/>
          <w:vertAlign w:val="superscript"/>
        </w:rPr>
        <w:t>5</w:t>
      </w:r>
      <w:r w:rsidRPr="00E54F86">
        <w:rPr>
          <w:rFonts w:ascii="Arial" w:hAnsi="Arial" w:cs="Arial"/>
          <w:szCs w:val="24"/>
        </w:rPr>
        <w:fldChar w:fldCharType="end"/>
      </w:r>
      <w:r w:rsidRPr="00E54F86">
        <w:rPr>
          <w:rFonts w:ascii="Arial" w:hAnsi="Arial" w:cs="Arial"/>
          <w:szCs w:val="24"/>
        </w:rPr>
        <w:t xml:space="preserve">. Standard antiviral treatment does not lead to restored virus-specific immunity and thus, after therapy completion (usually day 100) new reactivations or infections are frequent. In addition, standard anti-viral antibiotics, including ganciclovir, foscarnet and cidofovir, are associated with significant side effects including leukopenia and renal dysfunction. Historic results of </w:t>
      </w:r>
      <w:r w:rsidRPr="00E54F86">
        <w:rPr>
          <w:rFonts w:ascii="Arial" w:hAnsi="Arial" w:cs="Arial"/>
          <w:szCs w:val="24"/>
        </w:rPr>
        <w:lastRenderedPageBreak/>
        <w:t xml:space="preserve">therapy for infections caused by Epstein-Barr virus (EBV), adenovirus (AdV) and cytomegalovirus (CMV) post HSCT have been dismal. </w:t>
      </w:r>
    </w:p>
    <w:p w14:paraId="78F503D1" w14:textId="77777777" w:rsidR="00A53578" w:rsidRPr="00E54F86" w:rsidRDefault="00A53578" w:rsidP="00A53578">
      <w:pPr>
        <w:pStyle w:val="Text"/>
        <w:tabs>
          <w:tab w:val="center" w:pos="4680"/>
        </w:tabs>
        <w:spacing w:line="276" w:lineRule="auto"/>
        <w:jc w:val="left"/>
        <w:rPr>
          <w:rFonts w:ascii="Arial" w:hAnsi="Arial" w:cs="Arial"/>
          <w:b/>
          <w:szCs w:val="24"/>
        </w:rPr>
      </w:pPr>
      <w:r w:rsidRPr="00E54F86">
        <w:rPr>
          <w:rFonts w:ascii="Arial" w:hAnsi="Arial" w:cs="Arial"/>
          <w:b/>
          <w:szCs w:val="24"/>
        </w:rPr>
        <w:tab/>
      </w:r>
    </w:p>
    <w:p w14:paraId="6AA0617C"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Previous investigations have shown that sufficient T-cell immunity is essential for the control and prevention of viral reactivations and newly occurring infections</w:t>
      </w:r>
      <w:r w:rsidRPr="00E54F86">
        <w:t xml:space="preserve"> </w:t>
      </w:r>
      <w:r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6</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7</w:t>
      </w:r>
      <w:r w:rsidRPr="00E54F86">
        <w:rPr>
          <w:rFonts w:ascii="Arial" w:hAnsi="Arial" w:cs="Arial"/>
          <w:sz w:val="24"/>
          <w:szCs w:val="24"/>
        </w:rPr>
        <w:fldChar w:fldCharType="end"/>
      </w:r>
      <w:r w:rsidRPr="00E54F86">
        <w:rPr>
          <w:rFonts w:ascii="Arial" w:hAnsi="Arial" w:cs="Arial"/>
          <w:sz w:val="24"/>
          <w:szCs w:val="24"/>
        </w:rPr>
        <w:t xml:space="preserve">. For AdV-, CMV- and EBV-infections in particular, the development of virus-specific T-cell responses is associated with protection against virus-related complications post HSCT </w:t>
      </w:r>
      <w:r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8</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9</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10</w:t>
      </w:r>
      <w:r w:rsidRPr="00E54F86">
        <w:rPr>
          <w:rFonts w:ascii="Arial" w:hAnsi="Arial" w:cs="Arial"/>
          <w:sz w:val="24"/>
          <w:szCs w:val="24"/>
        </w:rPr>
        <w:fldChar w:fldCharType="end"/>
      </w:r>
      <w:r w:rsidRPr="00E54F86">
        <w:rPr>
          <w:rFonts w:ascii="Arial" w:hAnsi="Arial" w:cs="Arial"/>
          <w:sz w:val="24"/>
          <w:szCs w:val="24"/>
        </w:rPr>
        <w:t xml:space="preserve">.  </w:t>
      </w:r>
    </w:p>
    <w:p w14:paraId="25C8B5EE" w14:textId="77777777" w:rsidR="00A53578" w:rsidRPr="00E54F86" w:rsidRDefault="00A53578" w:rsidP="00A53578">
      <w:pPr>
        <w:spacing w:after="60"/>
        <w:rPr>
          <w:rFonts w:ascii="Arial" w:hAnsi="Arial" w:cs="Arial"/>
          <w:sz w:val="24"/>
          <w:szCs w:val="24"/>
        </w:rPr>
      </w:pPr>
    </w:p>
    <w:p w14:paraId="1FF823CF"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Monitoring of CMV by PCR and initiating appropriate pre-emptive therapy has reduced the risk of CMV disease </w:t>
      </w:r>
      <w:r w:rsidRPr="00E54F86">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5</w:t>
      </w:r>
      <w:r w:rsidRPr="00E54F86">
        <w:rPr>
          <w:rFonts w:ascii="Arial" w:hAnsi="Arial" w:cs="Arial"/>
          <w:sz w:val="24"/>
          <w:szCs w:val="24"/>
        </w:rPr>
        <w:fldChar w:fldCharType="end"/>
      </w:r>
      <w:r w:rsidRPr="00E54F86">
        <w:rPr>
          <w:rFonts w:ascii="Arial" w:hAnsi="Arial" w:cs="Arial"/>
          <w:sz w:val="24"/>
          <w:szCs w:val="24"/>
        </w:rPr>
        <w:t>.  However, with the increased use of haploidentical donors, there is a high rate of CMV drug resistance with pre-emptive therapy</w:t>
      </w:r>
      <w:r w:rsidRPr="00E54F86">
        <w:t xml:space="preserve">. </w:t>
      </w:r>
      <w:r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Pr="00E54F86">
        <w:instrText xml:space="preserve"> ADDIN EN.CITE </w:instrText>
      </w:r>
      <w:r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Pr="00E54F86">
        <w:instrText xml:space="preserve"> ADDIN EN.CITE.DATA </w:instrText>
      </w:r>
      <w:r w:rsidRPr="00E54F86">
        <w:fldChar w:fldCharType="end"/>
      </w:r>
      <w:r w:rsidRPr="00E54F86">
        <w:fldChar w:fldCharType="separate"/>
      </w:r>
      <w:r w:rsidRPr="00E54F86">
        <w:rPr>
          <w:noProof/>
          <w:vertAlign w:val="superscript"/>
        </w:rPr>
        <w:t>11</w:t>
      </w:r>
      <w:r w:rsidRPr="00E54F86">
        <w:fldChar w:fldCharType="end"/>
      </w:r>
      <w:r w:rsidRPr="00E54F86">
        <w:rPr>
          <w:rFonts w:ascii="Arial" w:hAnsi="Arial" w:cs="Arial"/>
          <w:sz w:val="24"/>
          <w:szCs w:val="24"/>
        </w:rPr>
        <w:t xml:space="preserve"> Early mortality may be dependent upon the development of detectable CMV-specific CD4+ cells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9</w:t>
      </w:r>
      <w:r w:rsidRPr="00E54F86">
        <w:rPr>
          <w:rFonts w:ascii="Arial" w:hAnsi="Arial" w:cs="Arial"/>
          <w:sz w:val="24"/>
          <w:szCs w:val="24"/>
        </w:rPr>
        <w:fldChar w:fldCharType="end"/>
      </w:r>
      <w:r w:rsidRPr="00E54F86">
        <w:rPr>
          <w:rFonts w:ascii="Arial" w:hAnsi="Arial" w:cs="Arial"/>
          <w:sz w:val="24"/>
          <w:szCs w:val="24"/>
        </w:rPr>
        <w:t xml:space="preserve">.  The outcome of CMV reactivation/infection after HSCT is dependent on immune reconstitution as demonstrated in a study by Barron and colleagues; patients with high positive results in a lymphoproliferative assay (LPA) and higher counts for NK cell mediated responses had a lower incidence of viremia. Late onset CMV disease still results in high mortality rates </w:t>
      </w:r>
      <w:r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12</w:t>
      </w:r>
      <w:r w:rsidRPr="00E54F86">
        <w:rPr>
          <w:rFonts w:ascii="Arial" w:hAnsi="Arial" w:cs="Arial"/>
          <w:sz w:val="24"/>
          <w:szCs w:val="24"/>
        </w:rPr>
        <w:fldChar w:fldCharType="end"/>
      </w:r>
      <w:r w:rsidRPr="00E54F86">
        <w:rPr>
          <w:rFonts w:ascii="Arial" w:hAnsi="Arial" w:cs="Arial"/>
          <w:sz w:val="24"/>
          <w:szCs w:val="24"/>
        </w:rPr>
        <w:t xml:space="preserve">, particularly in patients with delayed immune reconstitution </w:t>
      </w:r>
      <w:r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6</w:t>
      </w:r>
      <w:r w:rsidRPr="00E54F86">
        <w:rPr>
          <w:rFonts w:ascii="Arial" w:hAnsi="Arial" w:cs="Arial"/>
          <w:sz w:val="24"/>
          <w:szCs w:val="24"/>
        </w:rPr>
        <w:fldChar w:fldCharType="end"/>
      </w:r>
      <w:r w:rsidRPr="00E54F86">
        <w:rPr>
          <w:rFonts w:ascii="Arial" w:hAnsi="Arial" w:cs="Arial"/>
          <w:sz w:val="24"/>
          <w:szCs w:val="24"/>
        </w:rPr>
        <w:t xml:space="preserve">. </w:t>
      </w:r>
    </w:p>
    <w:p w14:paraId="0D828675" w14:textId="77777777" w:rsidR="00A53578" w:rsidRPr="00E54F86" w:rsidRDefault="00A53578" w:rsidP="00A53578">
      <w:pPr>
        <w:spacing w:after="60"/>
        <w:rPr>
          <w:rFonts w:ascii="Arial" w:hAnsi="Arial" w:cs="Arial"/>
          <w:sz w:val="24"/>
          <w:szCs w:val="24"/>
        </w:rPr>
      </w:pPr>
    </w:p>
    <w:p w14:paraId="636CEA34"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Viral infections, including CMV, are also a cause of significant morbidity and mortality in patients with primary or secondary immunodeficiencies. Newborn screening (NBS) for severe combined immunodeficiency (SCID) may improve HSCT outcomes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&lt;EndNote&gt;&lt;Cite&gt;&lt;Author&gt;Brown&lt;/Author&gt;&lt;Year&gt;2011&lt;/Year&gt;&lt;RecNum&gt;7&lt;/RecNum&gt;&lt;DisplayText&gt;&lt;style face="superscript"&gt;13&lt;/style&gt;&lt;/DisplayText&gt;&lt;record&gt;&lt;rec-number&gt;7&lt;/rec-number&gt;&lt;foreign-keys&gt;&lt;key app="EN" db-id="avvde2v5qpevwbep0wf525terz0twwvpspez" timestamp="1476373744"&gt;7&lt;/key&gt;&lt;/foreign-keys&gt;&lt;ref-type name="Journal Article"&gt;17&lt;/ref-type&gt;&lt;contributors&gt;&lt;authors&gt;&lt;author&gt;Brown, L.&lt;/author&gt;&lt;author&gt;Xu-Bayford, J.&lt;/author&gt;&lt;author&gt;Allwood, Z.&lt;/author&gt;&lt;author&gt;Slatter, M.&lt;/author&gt;&lt;author&gt;Cant, A.&lt;/author&gt;&lt;author&gt;Davies, E. G.&lt;/author&gt;&lt;author&gt;Veys, P.&lt;/author&gt;&lt;author&gt;Gennery, A. R.&lt;/author&gt;&lt;author&gt;Gaspar, H. B.&lt;/author&gt;&lt;/authors&gt;&lt;/contributors&gt;&lt;auth-address&gt;Department of Clinical Immunology, Great Ormond Street Hospital National Health Service Trust, London, UK.&lt;/auth-address&gt;&lt;titles&gt;&lt;title&gt;Neonatal diagnosis of severe combined immunodeficiency leads to significantly improved survival outcome: the case for newborn screening&lt;/title&gt;&lt;secondary-title&gt;Blood&lt;/secondary-title&gt;&lt;/titles&gt;&lt;periodical&gt;&lt;full-title&gt;Blood&lt;/full-title&gt;&lt;/periodical&gt;&lt;pages&gt;3243-6&lt;/pages&gt;&lt;volume&gt;117&lt;/volume&gt;&lt;number&gt;11&lt;/number&gt;&lt;keywords&gt;&lt;keyword&gt;Cohort Studies&lt;/keyword&gt;&lt;keyword&gt;Hematopoietic Stem Cell Transplantation&lt;/keyword&gt;&lt;keyword&gt;Humans&lt;/keyword&gt;&lt;keyword&gt;Infant, Newborn&lt;/keyword&gt;&lt;keyword&gt;*Neonatal Screening&lt;/keyword&gt;&lt;keyword&gt;Severe Combined Immunodeficiency/*diagnosis&lt;/keyword&gt;&lt;keyword&gt;Siblings&lt;/keyword&gt;&lt;keyword&gt;Survival Analysis&lt;/keyword&gt;&lt;keyword&gt;Treatment Outcome&lt;/keyword&gt;&lt;/keywords&gt;&lt;dates&gt;&lt;year&gt;2011&lt;/year&gt;&lt;pub-dates&gt;&lt;date&gt;Mar 17&lt;/date&gt;&lt;/pub-dates&gt;&lt;/dates&gt;&lt;isbn&gt;1528-0020 (Electronic)&amp;#xD;0006-4971 (Linking)&lt;/isbn&gt;&lt;accession-num&gt;21273302&lt;/accession-num&gt;&lt;urls&gt;&lt;related-urls&gt;&lt;url&gt;http://www.ncbi.nlm.nih.gov/pubmed/21273302&lt;/url&gt;&lt;/related-urls&gt;&lt;/urls&gt;&lt;electronic-resource-num&gt;10.1182/blood-2010-08-300384&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13</w:t>
      </w:r>
      <w:r w:rsidRPr="00E54F86">
        <w:rPr>
          <w:rFonts w:ascii="Arial" w:hAnsi="Arial" w:cs="Arial"/>
          <w:sz w:val="24"/>
          <w:szCs w:val="24"/>
        </w:rPr>
        <w:fldChar w:fldCharType="end"/>
      </w:r>
      <w:r w:rsidRPr="00E54F86">
        <w:rPr>
          <w:rFonts w:ascii="Arial" w:hAnsi="Arial" w:cs="Arial"/>
          <w:sz w:val="24"/>
          <w:szCs w:val="24"/>
        </w:rPr>
        <w:t xml:space="preserve">, but infants may become infected with CMV from nursing during the first few days before results of NBS are known.  These infections may prove difficult to treat, with the absence of T cells, and many months before T cell engraftment post HSCT.  </w:t>
      </w:r>
    </w:p>
    <w:p w14:paraId="6461B377"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In summary, there is an urgent need for effective treatment of patients after HSCT or who have immunodeficiencies who suffer from systemic viral infections resistant to antiviral antibiotics and have insufficient immune reconstitution.  </w:t>
      </w:r>
    </w:p>
    <w:p w14:paraId="132ECFA0" w14:textId="77777777" w:rsidR="00A53578" w:rsidRPr="00E54F86" w:rsidRDefault="00A53578" w:rsidP="00A53578">
      <w:pPr>
        <w:spacing w:after="60"/>
        <w:rPr>
          <w:rFonts w:ascii="Arial" w:hAnsi="Arial" w:cs="Arial"/>
          <w:sz w:val="24"/>
          <w:szCs w:val="24"/>
          <w:u w:val="single"/>
        </w:rPr>
      </w:pPr>
    </w:p>
    <w:p w14:paraId="05DFD61D" w14:textId="3C326796" w:rsidR="00A53578" w:rsidRPr="00E54F86" w:rsidRDefault="00EE713C" w:rsidP="00A53578">
      <w:pPr>
        <w:spacing w:after="60"/>
        <w:rPr>
          <w:rFonts w:ascii="Arial" w:hAnsi="Arial" w:cs="Arial"/>
          <w:b/>
          <w:sz w:val="24"/>
          <w:szCs w:val="24"/>
        </w:rPr>
      </w:pPr>
      <w:r>
        <w:rPr>
          <w:rFonts w:ascii="Arial" w:hAnsi="Arial" w:cs="Arial"/>
          <w:b/>
          <w:sz w:val="24"/>
          <w:szCs w:val="24"/>
        </w:rPr>
        <w:t>1.</w:t>
      </w:r>
      <w:r w:rsidR="00A53578">
        <w:rPr>
          <w:rFonts w:ascii="Arial" w:hAnsi="Arial" w:cs="Arial"/>
          <w:b/>
          <w:sz w:val="24"/>
          <w:szCs w:val="24"/>
        </w:rPr>
        <w:t>2</w:t>
      </w:r>
      <w:r w:rsidR="00A53578" w:rsidRPr="00E54F86">
        <w:rPr>
          <w:rFonts w:ascii="Arial" w:hAnsi="Arial" w:cs="Arial"/>
          <w:b/>
          <w:sz w:val="24"/>
          <w:szCs w:val="24"/>
        </w:rPr>
        <w:t xml:space="preserve"> Immunologic therapy of viral infections</w:t>
      </w:r>
    </w:p>
    <w:p w14:paraId="7725D7B8"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Various methods for immunologic treatment of viral infections/reactivations after HSCT have been explored. Successful adoptive transfer of cytotoxic T-cell clones in bone marrow transplant recipients have been published as early as 1992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&lt;EndNote&gt;&lt;Cite&gt;&lt;Author&gt;Riddell&lt;/Author&gt;&lt;Year&gt;1992&lt;/Year&gt;&lt;RecNum&gt;44&lt;/RecNum&gt;&lt;DisplayText&gt;&lt;style face="superscript"&gt;14&lt;/style&gt;&lt;/DisplayText&gt;&lt;record&gt;&lt;rec-number&gt;44&lt;/rec-number&gt;&lt;foreign-keys&gt;&lt;key app="EN" db-id="s0dvaedsvtwdz4e2f9n592swwz2eftfx29w2" timestamp="1551128114"&gt;44&lt;/key&gt;&lt;/foreign-keys&gt;&lt;ref-type name="Journal Article"&gt;17&lt;/ref-type&gt;&lt;contributors&gt;&lt;authors&gt;&lt;author&gt;Riddell, S. R.&lt;/author&gt;&lt;author&gt;Watanabe, K. S.&lt;/author&gt;&lt;author&gt;Goodrich, J. M.&lt;/author&gt;&lt;author&gt;Li, C. R.&lt;/author&gt;&lt;author&gt;Agha, M. E.&lt;/author&gt;&lt;author&gt;Greenberg, P. D.&lt;/author&gt;&lt;/authors&gt;&lt;/contributors&gt;&lt;auth-address&gt;Fred Hutchinson Cancer Research Center, Seattle, WA 98104.&lt;/auth-address&gt;&lt;titles&gt;&lt;title&gt;Restoration of viral immunity in immunodeficient humans by the adoptive transfer of T cell clones&lt;/title&gt;&lt;secondary-title&gt;Science&lt;/secondary-title&gt;&lt;/titles&gt;&lt;periodical&gt;&lt;full-title&gt;Science&lt;/full-title&gt;&lt;/periodical&gt;&lt;pages&gt;238-41&lt;/pages&gt;&lt;volume&gt;257&lt;/volume&gt;&lt;number&gt;5067&lt;/number&gt;&lt;edition&gt;1992/07/10&lt;/edition&gt;&lt;keywords&gt;&lt;keyword&gt;Antigens, Differentiation, T-Lymphocyte/immunology&lt;/keyword&gt;&lt;keyword&gt;Bone Marrow Transplantation/immunology&lt;/keyword&gt;&lt;keyword&gt;CD3 Complex&lt;/keyword&gt;&lt;keyword&gt;CD4-Positive T-Lymphocytes/immunology&lt;/keyword&gt;&lt;keyword&gt;CD8 Antigens/immunology&lt;/keyword&gt;&lt;keyword&gt;Cells, Cultured&lt;/keyword&gt;&lt;keyword&gt;Cytomegalovirus Infections/*prevention &amp;amp; control&lt;/keyword&gt;&lt;keyword&gt;Humans&lt;/keyword&gt;&lt;keyword&gt;Receptors, Antigen, T-Cell/immunology&lt;/keyword&gt;&lt;keyword&gt;T-Lymphocytes, Cytotoxic/*immunology&lt;/keyword&gt;&lt;keyword&gt;Vaccination/*methods&lt;/keyword&gt;&lt;/keywords&gt;&lt;dates&gt;&lt;year&gt;1992&lt;/year&gt;&lt;pub-dates&gt;&lt;date&gt;Jul 10&lt;/date&gt;&lt;/pub-dates&gt;&lt;/dates&gt;&lt;isbn&gt;0036-8075 (Print)&amp;#xD;0036-8075 (Linking)&lt;/isbn&gt;&lt;accession-num&gt;1352912&lt;/accession-num&gt;&lt;urls&gt;&lt;related-urls&gt;&lt;url&gt;https://www.ncbi.nlm.nih.gov/pubmed/1352912&lt;/url&gt;&lt;/related-urls&gt;&lt;/urls&gt;&lt;/record&gt;&lt;/Cite&gt;&lt;/EndNote&gt;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14</w:t>
      </w:r>
      <w:r w:rsidRPr="00E54F86">
        <w:rPr>
          <w:rFonts w:ascii="Arial" w:hAnsi="Arial" w:cs="Arial"/>
          <w:sz w:val="24"/>
          <w:szCs w:val="24"/>
        </w:rPr>
        <w:fldChar w:fldCharType="end"/>
      </w:r>
      <w:r w:rsidRPr="00E54F86">
        <w:rPr>
          <w:rFonts w:ascii="Arial" w:hAnsi="Arial" w:cs="Arial"/>
          <w:sz w:val="24"/>
          <w:szCs w:val="24"/>
        </w:rPr>
        <w:t>. Initially, unselected donor lymphocytes (DLIs) were utilized to treat viral infections, but this therapy was associated with a higher incidence of GVHD in recipients of unrelated donor or haploidentical transplants due to the high number of alloreactive T cells.  Different approaches of selection of virus-specific T cells have been studied for already nearly two decades</w:t>
      </w:r>
      <w:r w:rsidRPr="00E54F86">
        <w:t xml:space="preserve">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15</w:t>
      </w:r>
      <w:r w:rsidRPr="00E54F86">
        <w:rPr>
          <w:rFonts w:ascii="Arial" w:hAnsi="Arial" w:cs="Arial"/>
          <w:sz w:val="24"/>
          <w:szCs w:val="24"/>
        </w:rPr>
        <w:fldChar w:fldCharType="end"/>
      </w:r>
      <w:r w:rsidRPr="00E54F86">
        <w:rPr>
          <w:rFonts w:ascii="Arial" w:hAnsi="Arial" w:cs="Arial"/>
          <w:sz w:val="24"/>
          <w:szCs w:val="24"/>
        </w:rPr>
        <w:t xml:space="preserve">. A recent review summarized the newer methodologies and results of virus-specific T cell therapy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&lt;EndNote&gt;&lt;Cite&gt;&lt;Author&gt;Bollard&lt;/Author&gt;&lt;Year&gt;2016&lt;/Year&gt;&lt;RecNum&gt;4&lt;/RecNum&gt;&lt;DisplayText&gt;&lt;style face="superscript"&gt;1&lt;/style&gt;&lt;/DisplayText&gt;&lt;record&gt;&lt;rec-number&gt;4&lt;/rec-number&gt;&lt;foreign-keys&gt;&lt;key app="EN" db-id="avvde2v5qpevwbep0wf525terz0twwvpspez" timestamp="1476373319"&gt;4&lt;/key&gt;&lt;/foreign-keys&gt;&lt;ref-type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dates&gt;&lt;year&gt;2016&lt;/year&gt;&lt;pub-dates&gt;&lt;date&gt;Jun 30&lt;/date&gt;&lt;/pub-dates&gt;&lt;/dates&gt;&lt;isbn&gt;1528-0020 (Electronic)&amp;#xD;0006-4971 (Linking)&lt;/isbn&gt;&lt;accession-num&gt;27207801&lt;/accession-num&gt;&lt;urls&gt;&lt;related-urls&gt;&lt;url&gt;http://www.ncbi.nlm.nih.gov/pubmed/27207801&lt;/url&gt;&lt;/related-urls&gt;&lt;/urls&gt;&lt;custom2&gt;4929925&lt;/custom2&gt;&lt;electronic-resource-num&gt;10.1182/blood-2016-01-628982&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w:t>
      </w:r>
      <w:r w:rsidRPr="00E54F86">
        <w:rPr>
          <w:rFonts w:ascii="Arial" w:hAnsi="Arial" w:cs="Arial"/>
          <w:sz w:val="24"/>
          <w:szCs w:val="24"/>
        </w:rPr>
        <w:fldChar w:fldCharType="end"/>
      </w:r>
      <w:r w:rsidRPr="00E54F86">
        <w:rPr>
          <w:rFonts w:ascii="Arial" w:hAnsi="Arial" w:cs="Arial"/>
          <w:sz w:val="24"/>
          <w:szCs w:val="24"/>
        </w:rPr>
        <w:t xml:space="preserve">. Each offers advantages and each is associated with different challenges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&lt;EndNote&gt;&lt;Cite&gt;&lt;Author&gt;Leen&lt;/Author&gt;&lt;Year&gt;2010&lt;/Year&gt;&lt;RecNum&gt;23&lt;/RecNum&gt;&lt;DisplayText&gt;&lt;style face="superscript"&gt;16&lt;/style&gt;&lt;/DisplayText&gt;&lt;record&gt;&lt;rec-number&gt;23&lt;/rec-number&gt;&lt;foreign-keys&gt;&lt;key app="EN" db-id="avvde2v5qpevwbep0wf525terz0twwvpspez" timestamp="1476377588"&gt;23&lt;/key&gt;&lt;/foreign-keys&gt;&lt;ref-type name="Journal Article"&gt;17&lt;/ref-type&gt;&lt;contributors&gt;&lt;authors&gt;&lt;author&gt;Leen, A. M.&lt;/author&gt;&lt;author&gt;Tripic, T.&lt;/author&gt;&lt;author&gt;Rooney, C. M.&lt;/author&gt;&lt;/authors&gt;&lt;/contributors&gt;&lt;auth-address&gt;The Methodist Hospital, Texas Children&amp;apos;s Hospital, Center for Cell and Gene Therapy, Baylor College of Medicine, 1102 Bates Street, Houston, TX 77030, USA. amleen@txccc.org&lt;/auth-address&gt;&lt;titles&gt;&lt;title&gt;Challenges of T cell therapies for virus-associated diseases after hematopoietic stem cell transplantation&lt;/title&gt;&lt;secondary-title&gt;Expert Opin Biol Ther&lt;/secondary-title&gt;&lt;/titles&gt;&lt;periodical&gt;&lt;full-title&gt;Expert Opin Biol Ther&lt;/full-title&gt;&lt;/periodical&gt;&lt;pages&gt;337-51&lt;/pages&gt;&lt;volume&gt;10&lt;/volume&gt;&lt;number&gt;3&lt;/number&gt;&lt;keywords&gt;&lt;keyword&gt;Adoptive Transfer&lt;/keyword&gt;&lt;keyword&gt;Blood Donors&lt;/keyword&gt;&lt;keyword&gt;*Hematopoietic Stem Cell Transplantation&lt;/keyword&gt;&lt;keyword&gt;Humans&lt;/keyword&gt;&lt;keyword&gt;Lymphocyte Depletion&lt;/keyword&gt;&lt;keyword&gt;T-Lymphocytes, Cytotoxic/*cytology&lt;/keyword&gt;&lt;keyword&gt;Virus Diseases/*therapy&lt;/keyword&gt;&lt;/keywords&gt;&lt;dates&gt;&lt;year&gt;2010&lt;/year&gt;&lt;pub-dates&gt;&lt;date&gt;Mar&lt;/date&gt;&lt;/pub-dates&gt;&lt;/dates&gt;&lt;isbn&gt;1744-7682 (Electronic)&amp;#xD;1471-2598 (Linking)&lt;/isbn&gt;&lt;accession-num&gt;20132056&lt;/accession-num&gt;&lt;urls&gt;&lt;related-urls&gt;&lt;url&gt;http://www.ncbi.nlm.nih.gov/pubmed/20132056&lt;/url&gt;&lt;/related-urls&gt;&lt;/urls&gt;&lt;custom2&gt;2818535&lt;/custom2&gt;&lt;electronic-resource-num&gt;10.1517/14712590903456003&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16</w:t>
      </w:r>
      <w:r w:rsidRPr="00E54F86">
        <w:rPr>
          <w:rFonts w:ascii="Arial" w:hAnsi="Arial" w:cs="Arial"/>
          <w:sz w:val="24"/>
          <w:szCs w:val="24"/>
        </w:rPr>
        <w:fldChar w:fldCharType="end"/>
      </w:r>
      <w:r w:rsidRPr="00E54F86">
        <w:rPr>
          <w:rFonts w:ascii="Arial" w:hAnsi="Arial" w:cs="Arial"/>
          <w:sz w:val="24"/>
          <w:szCs w:val="24"/>
        </w:rPr>
        <w:t>,</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17</w:t>
      </w:r>
      <w:r w:rsidRPr="00E54F86">
        <w:rPr>
          <w:rFonts w:ascii="Arial" w:hAnsi="Arial" w:cs="Arial"/>
          <w:sz w:val="24"/>
          <w:szCs w:val="24"/>
        </w:rPr>
        <w:fldChar w:fldCharType="end"/>
      </w:r>
      <w:r w:rsidRPr="00E54F86">
        <w:rPr>
          <w:rFonts w:ascii="Arial" w:hAnsi="Arial" w:cs="Arial"/>
          <w:sz w:val="24"/>
          <w:szCs w:val="24"/>
        </w:rPr>
        <w:t>.</w:t>
      </w:r>
    </w:p>
    <w:p w14:paraId="01D1AF19"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Virus-specific T cell therapy requires a defined immunogenic antigen and an antigen presenting cell that can present to T cells with appropriate co-stimulatory signals.  One currently established method for the generation of tri-specific cytotoxic T lymphocytes </w:t>
      </w:r>
      <w:r w:rsidRPr="00E54F86">
        <w:rPr>
          <w:rFonts w:ascii="Arial" w:hAnsi="Arial" w:cs="Arial"/>
          <w:sz w:val="24"/>
          <w:szCs w:val="24"/>
        </w:rPr>
        <w:lastRenderedPageBreak/>
        <w:t xml:space="preserve">(CTL) for CMV, EBV and AdV uses repetitive re-stimulation of peripheral blood mononuclear cells with EBV-LCLs (lymphocyte cell lines) transduced with an Ad5f35pp65 vector </w:t>
      </w:r>
      <w:r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18</w:t>
      </w:r>
      <w:r w:rsidRPr="00E54F86">
        <w:rPr>
          <w:rFonts w:ascii="Arial" w:hAnsi="Arial" w:cs="Arial"/>
          <w:sz w:val="24"/>
          <w:szCs w:val="24"/>
        </w:rPr>
        <w:fldChar w:fldCharType="end"/>
      </w:r>
      <w:r w:rsidRPr="00E54F86">
        <w:rPr>
          <w:rFonts w:ascii="Arial" w:hAnsi="Arial" w:cs="Arial"/>
          <w:sz w:val="24"/>
          <w:szCs w:val="24"/>
        </w:rPr>
        <w:t xml:space="preserve">. However, this method is limited by the time to develop these cells, which may take up to 14 weeks, and the production process. Lymphocytes have to be kept in extended cell culture with repeated feeding and weekly stimulations with antigen-presenting cells (APCs).  </w:t>
      </w:r>
    </w:p>
    <w:p w14:paraId="6437124B" w14:textId="77777777" w:rsidR="00A53578" w:rsidRPr="00E54F86" w:rsidRDefault="00A53578" w:rsidP="00A53578">
      <w:pPr>
        <w:spacing w:after="60"/>
        <w:rPr>
          <w:rFonts w:ascii="Arial" w:hAnsi="Arial" w:cs="Arial"/>
          <w:sz w:val="24"/>
          <w:szCs w:val="24"/>
        </w:rPr>
      </w:pPr>
    </w:p>
    <w:p w14:paraId="2FC5BAA4" w14:textId="77777777" w:rsidR="00A53578" w:rsidRPr="00E54F86" w:rsidRDefault="00A53578" w:rsidP="00A53578">
      <w:pPr>
        <w:rPr>
          <w:rFonts w:ascii="Arial" w:hAnsi="Arial" w:cs="Arial"/>
          <w:sz w:val="24"/>
          <w:szCs w:val="24"/>
        </w:rPr>
      </w:pPr>
      <w:r w:rsidRPr="00E54F86">
        <w:rPr>
          <w:rFonts w:ascii="Arial" w:hAnsi="Arial" w:cs="Arial"/>
          <w:sz w:val="24"/>
          <w:szCs w:val="24"/>
        </w:rPr>
        <w:t xml:space="preserve">Tetramer selection is another method that has been used successfully.  This is a GMP compliant strategy in which virus-specific T cells from bulk donors’ T lymphocytes are selected by tetramer selection </w:t>
      </w:r>
      <w:r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19</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20</w:t>
      </w:r>
      <w:r w:rsidRPr="00E54F86">
        <w:rPr>
          <w:rFonts w:ascii="Arial" w:hAnsi="Arial" w:cs="Arial"/>
          <w:sz w:val="24"/>
          <w:szCs w:val="24"/>
        </w:rPr>
        <w:fldChar w:fldCharType="end"/>
      </w:r>
      <w:r w:rsidRPr="00E54F86">
        <w:rPr>
          <w:rFonts w:ascii="Arial" w:hAnsi="Arial" w:cs="Arial"/>
          <w:sz w:val="24"/>
          <w:szCs w:val="24"/>
        </w:rPr>
        <w:t xml:space="preserve">. T cells are rapidly available, and the selection process does not require antigen presenting cells, exogenous cytokines or extended ex vivo manipulation.  However, tetramer-mediated selection only selects T cells specific for a single HLA-restricted epitope of a single virus, and is generally only available for donors with the most common HLA types. Focusing the antiviral response leaves the patient vulnerable to antigenic escape. </w:t>
      </w:r>
    </w:p>
    <w:p w14:paraId="4F95E591" w14:textId="77777777" w:rsidR="00A53578" w:rsidRPr="00E54F86" w:rsidRDefault="00A53578" w:rsidP="00A53578">
      <w:pPr>
        <w:spacing w:after="60"/>
        <w:rPr>
          <w:rFonts w:ascii="Arial" w:hAnsi="Arial" w:cs="Arial"/>
          <w:sz w:val="24"/>
          <w:szCs w:val="24"/>
        </w:rPr>
      </w:pPr>
    </w:p>
    <w:p w14:paraId="76E3FE77" w14:textId="77777777" w:rsidR="00A53578" w:rsidRDefault="00A53578" w:rsidP="00A53578">
      <w:pPr>
        <w:rPr>
          <w:rFonts w:ascii="Arial" w:hAnsi="Arial" w:cs="Arial"/>
          <w:b/>
          <w:sz w:val="24"/>
          <w:szCs w:val="24"/>
        </w:rPr>
      </w:pPr>
    </w:p>
    <w:p w14:paraId="23A603E8" w14:textId="04F87B92" w:rsidR="00A53578" w:rsidRPr="00E54F86" w:rsidRDefault="00EE713C" w:rsidP="00A53578">
      <w:pPr>
        <w:rPr>
          <w:rFonts w:ascii="Arial" w:hAnsi="Arial" w:cs="Arial"/>
          <w:b/>
          <w:sz w:val="24"/>
          <w:szCs w:val="24"/>
        </w:rPr>
      </w:pPr>
      <w:r>
        <w:rPr>
          <w:rFonts w:ascii="Arial" w:hAnsi="Arial" w:cs="Arial"/>
          <w:b/>
          <w:sz w:val="24"/>
          <w:szCs w:val="24"/>
        </w:rPr>
        <w:t>1.3</w:t>
      </w:r>
      <w:r w:rsidR="00A53578">
        <w:rPr>
          <w:rFonts w:ascii="Arial" w:hAnsi="Arial" w:cs="Arial"/>
          <w:b/>
          <w:sz w:val="24"/>
          <w:szCs w:val="24"/>
        </w:rPr>
        <w:t xml:space="preserve"> </w:t>
      </w:r>
      <w:r w:rsidR="00A53578" w:rsidRPr="00E54F86">
        <w:rPr>
          <w:rFonts w:ascii="Arial" w:hAnsi="Arial" w:cs="Arial"/>
          <w:b/>
          <w:sz w:val="24"/>
          <w:szCs w:val="24"/>
        </w:rPr>
        <w:t>CliniMACS Cytokine Capture System</w:t>
      </w:r>
      <w:r w:rsidR="00A53578">
        <w:rPr>
          <w:rFonts w:ascii="Arial" w:hAnsi="Arial" w:cs="Arial"/>
          <w:b/>
          <w:sz w:val="24"/>
          <w:szCs w:val="24"/>
        </w:rPr>
        <w:t>, IFN-gamma</w:t>
      </w:r>
    </w:p>
    <w:p w14:paraId="32F0ABAE" w14:textId="27052C56" w:rsidR="00A53578" w:rsidRPr="00A53578" w:rsidRDefault="00EE713C" w:rsidP="00A53578">
      <w:pPr>
        <w:rPr>
          <w:rFonts w:ascii="Arial" w:hAnsi="Arial" w:cs="Arial"/>
          <w:b/>
          <w:sz w:val="24"/>
          <w:szCs w:val="24"/>
          <w:u w:val="single"/>
        </w:rPr>
      </w:pPr>
      <w:r>
        <w:rPr>
          <w:rFonts w:ascii="Arial" w:hAnsi="Arial" w:cs="Arial"/>
          <w:b/>
          <w:sz w:val="24"/>
          <w:szCs w:val="24"/>
          <w:u w:val="single"/>
        </w:rPr>
        <w:t xml:space="preserve">1.3.1  </w:t>
      </w:r>
      <w:r w:rsidR="00A53578" w:rsidRPr="00A53578">
        <w:rPr>
          <w:rFonts w:ascii="Arial" w:hAnsi="Arial" w:cs="Arial"/>
          <w:b/>
          <w:sz w:val="24"/>
          <w:szCs w:val="24"/>
          <w:u w:val="single"/>
        </w:rPr>
        <w:t>Background</w:t>
      </w:r>
    </w:p>
    <w:p w14:paraId="55F7083A" w14:textId="77777777" w:rsidR="00A53578" w:rsidRPr="00E54F86" w:rsidRDefault="00A53578" w:rsidP="00A53578">
      <w:pPr>
        <w:rPr>
          <w:rFonts w:ascii="Arial" w:hAnsi="Arial" w:cs="Arial"/>
          <w:sz w:val="24"/>
          <w:szCs w:val="24"/>
        </w:rPr>
      </w:pPr>
      <w:r w:rsidRPr="00E54F86">
        <w:rPr>
          <w:rFonts w:ascii="Arial" w:hAnsi="Arial" w:cs="Arial"/>
          <w:sz w:val="24"/>
          <w:szCs w:val="24"/>
        </w:rPr>
        <w:t>This study is using the transfer of directly enriched virus-specific T cells and has been under development for &gt;10 years. The CliniMACS Cytokine Capture System (IFN-</w:t>
      </w:r>
      <w:r w:rsidRPr="00E54F86">
        <w:rPr>
          <w:rFonts w:ascii="Symbol" w:hAnsi="Symbol" w:cs="Arial"/>
          <w:sz w:val="24"/>
          <w:szCs w:val="24"/>
        </w:rPr>
        <w:t></w:t>
      </w:r>
      <w:r w:rsidRPr="00E54F86">
        <w:rPr>
          <w:rFonts w:ascii="Arial" w:hAnsi="Arial" w:cs="Arial"/>
          <w:sz w:val="24"/>
          <w:szCs w:val="24"/>
        </w:rPr>
        <w:t xml:space="preserve">) allows rapid direct enrichment of virus-specific CD4+ and CD8+ T cells after incubation with the respective viral antigens </w:t>
      </w:r>
      <w:r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35</w:t>
      </w:r>
      <w:r w:rsidRPr="00E54F86">
        <w:rPr>
          <w:rFonts w:ascii="Arial" w:hAnsi="Arial" w:cs="Arial"/>
          <w:sz w:val="24"/>
          <w:szCs w:val="24"/>
        </w:rPr>
        <w:fldChar w:fldCharType="end"/>
      </w:r>
      <w:r w:rsidRPr="00E54F86">
        <w:rPr>
          <w:rFonts w:ascii="Arial" w:hAnsi="Arial" w:cs="Arial"/>
          <w:sz w:val="24"/>
          <w:szCs w:val="24"/>
        </w:rPr>
        <w:t>. This method exploits the natural mechanism that antigen-specific memory T cells produce IFN-gamma upon incubation with the specific antigen.  The successful enrichment of virus-specific T cells using the CliniMACS Cytokine Capture System</w:t>
      </w:r>
      <w:r>
        <w:rPr>
          <w:rFonts w:ascii="Arial" w:hAnsi="Arial" w:cs="Arial"/>
          <w:sz w:val="24"/>
          <w:szCs w:val="24"/>
        </w:rPr>
        <w:t xml:space="preserve"> (IFN-</w:t>
      </w:r>
      <w:r w:rsidRPr="00206011">
        <w:rPr>
          <w:rFonts w:ascii="Symbol" w:hAnsi="Symbol" w:cs="Arial"/>
          <w:sz w:val="24"/>
          <w:szCs w:val="24"/>
        </w:rPr>
        <w:t></w:t>
      </w:r>
      <w:r>
        <w:rPr>
          <w:rFonts w:ascii="Arial" w:hAnsi="Arial" w:cs="Arial"/>
          <w:sz w:val="24"/>
          <w:szCs w:val="24"/>
        </w:rPr>
        <w:t>)</w:t>
      </w:r>
      <w:r w:rsidRPr="00E54F86">
        <w:rPr>
          <w:rFonts w:ascii="Arial" w:hAnsi="Arial" w:cs="Arial"/>
          <w:sz w:val="24"/>
          <w:szCs w:val="24"/>
        </w:rPr>
        <w:t xml:space="preserve"> after incubation has been well established in pre-clinical studies.  The CliniMACS Prodigy, recently developed by Miltenyi Biotec, allows for fully automated generation of multivirus-specific T cells for adoptive T cell therapy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36</w:t>
      </w:r>
      <w:r w:rsidRPr="00E54F86">
        <w:rPr>
          <w:rFonts w:ascii="Arial" w:hAnsi="Arial" w:cs="Arial"/>
          <w:sz w:val="24"/>
          <w:szCs w:val="24"/>
        </w:rPr>
        <w:fldChar w:fldCharType="end"/>
      </w:r>
      <w:r w:rsidRPr="00E54F86">
        <w:rPr>
          <w:rFonts w:ascii="Arial" w:hAnsi="Arial" w:cs="Arial"/>
          <w:sz w:val="24"/>
          <w:szCs w:val="24"/>
        </w:rPr>
        <w:t xml:space="preserve">. Kinetics of the IFN-gamma response, cytotoxicity, alloreactivity and in-vitro expansion of the enriched cells have been investigated and analyzed thoroughly </w:t>
      </w:r>
      <w:r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37</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38</w:t>
      </w:r>
      <w:r w:rsidRPr="00E54F86">
        <w:rPr>
          <w:rFonts w:ascii="Arial" w:hAnsi="Arial" w:cs="Arial"/>
          <w:sz w:val="24"/>
          <w:szCs w:val="24"/>
        </w:rPr>
        <w:fldChar w:fldCharType="end"/>
      </w:r>
      <w:r w:rsidRPr="00E54F86">
        <w:rPr>
          <w:rFonts w:ascii="Arial" w:hAnsi="Arial" w:cs="Arial"/>
          <w:sz w:val="24"/>
          <w:szCs w:val="24"/>
        </w:rPr>
        <w:t xml:space="preserve">.  The successful generation of multi-virus specific T cells after simultaneous incubation with several MACS GMP PepTivator peptide pools has also been demonstrated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39</w:t>
      </w:r>
      <w:r w:rsidRPr="00E54F86">
        <w:rPr>
          <w:rFonts w:ascii="Arial" w:hAnsi="Arial" w:cs="Arial"/>
          <w:sz w:val="24"/>
          <w:szCs w:val="24"/>
        </w:rPr>
        <w:fldChar w:fldCharType="end"/>
      </w:r>
      <w:r w:rsidRPr="00E54F86">
        <w:rPr>
          <w:rFonts w:ascii="Arial" w:hAnsi="Arial" w:cs="Arial"/>
          <w:sz w:val="24"/>
          <w:szCs w:val="24"/>
        </w:rPr>
        <w:t xml:space="preserve">. Isolation of both CD8+ and CD4+ specific T cells help prevent immune escape of these viruses </w:t>
      </w:r>
      <w:r w:rsidRPr="00E54F86">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40</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41</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42</w:t>
      </w:r>
      <w:r w:rsidRPr="00E54F86">
        <w:rPr>
          <w:rFonts w:ascii="Arial" w:hAnsi="Arial" w:cs="Arial"/>
          <w:sz w:val="24"/>
          <w:szCs w:val="24"/>
        </w:rPr>
        <w:fldChar w:fldCharType="end"/>
      </w:r>
      <w:r w:rsidRPr="00E54F86">
        <w:rPr>
          <w:rFonts w:ascii="Arial" w:hAnsi="Arial" w:cs="Arial"/>
          <w:sz w:val="24"/>
          <w:szCs w:val="24"/>
        </w:rPr>
        <w:t xml:space="preserve">. </w:t>
      </w:r>
    </w:p>
    <w:p w14:paraId="010386FF"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Clinical results and safety of the transfer of virus-specific T cells isolated and selected by as described above with the CliniMACS Plus system are available. Patients have been treated with CMV, adenovirus or EBV infections post HSCT </w:t>
      </w:r>
      <w:r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43</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19</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44</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45</w:t>
      </w:r>
      <w:r w:rsidRPr="00E54F86">
        <w:rPr>
          <w:rFonts w:ascii="Arial" w:hAnsi="Arial" w:cs="Arial"/>
          <w:sz w:val="24"/>
          <w:szCs w:val="24"/>
        </w:rPr>
        <w:fldChar w:fldCharType="end"/>
      </w:r>
      <w:r w:rsidRPr="00E54F86">
        <w:rPr>
          <w:rFonts w:ascii="Arial" w:hAnsi="Arial" w:cs="Arial"/>
          <w:sz w:val="24"/>
          <w:szCs w:val="24"/>
        </w:rPr>
        <w:t xml:space="preserve">. </w:t>
      </w:r>
    </w:p>
    <w:p w14:paraId="7F5E83A7" w14:textId="77777777" w:rsidR="00A53578" w:rsidRPr="00E54F86" w:rsidRDefault="00A53578" w:rsidP="00A53578">
      <w:pPr>
        <w:spacing w:after="60"/>
        <w:rPr>
          <w:rFonts w:ascii="Arial" w:hAnsi="Arial" w:cs="Arial"/>
          <w:sz w:val="24"/>
          <w:szCs w:val="24"/>
        </w:rPr>
      </w:pPr>
    </w:p>
    <w:p w14:paraId="67EDA583"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The selection process is the CliniMACS Cytokine Capture System (IFN</w:t>
      </w:r>
      <w:r>
        <w:rPr>
          <w:rFonts w:ascii="Arial" w:hAnsi="Arial" w:cs="Arial"/>
          <w:sz w:val="24"/>
          <w:szCs w:val="24"/>
        </w:rPr>
        <w:t>-</w:t>
      </w:r>
      <w:r w:rsidRPr="00E54F86">
        <w:rPr>
          <w:rFonts w:ascii="Symbol" w:hAnsi="Symbol" w:cs="Arial"/>
          <w:sz w:val="24"/>
          <w:szCs w:val="24"/>
        </w:rPr>
        <w:t></w:t>
      </w:r>
      <w:r w:rsidRPr="00E54F86">
        <w:rPr>
          <w:rFonts w:ascii="Arial" w:hAnsi="Arial" w:cs="Arial"/>
          <w:sz w:val="24"/>
          <w:szCs w:val="24"/>
        </w:rPr>
        <w:t>) which allows rapid direct enrichment of virus-specific CD4</w:t>
      </w:r>
      <w:r w:rsidRPr="00E54F86">
        <w:rPr>
          <w:rFonts w:ascii="Arial" w:hAnsi="Arial" w:cs="Arial"/>
          <w:sz w:val="24"/>
          <w:szCs w:val="24"/>
          <w:vertAlign w:val="superscript"/>
        </w:rPr>
        <w:t>+</w:t>
      </w:r>
      <w:r w:rsidRPr="00E54F86">
        <w:rPr>
          <w:rFonts w:ascii="Arial" w:hAnsi="Arial" w:cs="Arial"/>
          <w:sz w:val="24"/>
          <w:szCs w:val="24"/>
        </w:rPr>
        <w:t xml:space="preserve"> and CD8</w:t>
      </w:r>
      <w:r w:rsidRPr="00E54F86">
        <w:rPr>
          <w:rFonts w:ascii="Arial" w:hAnsi="Arial" w:cs="Arial"/>
          <w:sz w:val="24"/>
          <w:szCs w:val="24"/>
          <w:vertAlign w:val="superscript"/>
        </w:rPr>
        <w:t>+</w:t>
      </w:r>
      <w:r w:rsidRPr="00E54F86">
        <w:rPr>
          <w:rFonts w:ascii="Arial" w:hAnsi="Arial" w:cs="Arial"/>
          <w:sz w:val="24"/>
          <w:szCs w:val="24"/>
        </w:rPr>
        <w:t xml:space="preserve"> T cells after incubation with the respective viral antigens </w:t>
      </w:r>
      <w:r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35</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46</w:t>
      </w:r>
      <w:r w:rsidRPr="00E54F86">
        <w:rPr>
          <w:rFonts w:ascii="Arial" w:hAnsi="Arial" w:cs="Arial"/>
          <w:sz w:val="24"/>
          <w:szCs w:val="24"/>
        </w:rPr>
        <w:fldChar w:fldCharType="end"/>
      </w:r>
      <w:r w:rsidRPr="00E54F86">
        <w:rPr>
          <w:rFonts w:ascii="Arial" w:hAnsi="Arial" w:cs="Arial"/>
          <w:sz w:val="24"/>
          <w:szCs w:val="24"/>
        </w:rPr>
        <w:t xml:space="preserve">. The method was first described in 1999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15</w:t>
      </w:r>
      <w:r w:rsidRPr="00E54F86">
        <w:rPr>
          <w:rFonts w:ascii="Arial" w:hAnsi="Arial" w:cs="Arial"/>
          <w:sz w:val="24"/>
          <w:szCs w:val="24"/>
        </w:rPr>
        <w:fldChar w:fldCharType="end"/>
      </w:r>
      <w:r w:rsidRPr="00E54F86">
        <w:rPr>
          <w:rFonts w:ascii="Arial" w:hAnsi="Arial" w:cs="Arial"/>
          <w:sz w:val="24"/>
          <w:szCs w:val="24"/>
        </w:rPr>
        <w:t xml:space="preserve"> and exploits the natural mechanism that antigen-specific memory T cells produce interferon-gamma upon incubation with the specific antigen. In the first step of the selection process, cells are incubated with specific viral antigens triggering the intracellular production of IFN</w:t>
      </w:r>
      <w:r w:rsidRPr="00E54F86">
        <w:rPr>
          <w:rFonts w:ascii="Symbol" w:hAnsi="Symbol" w:cs="Arial"/>
          <w:sz w:val="24"/>
          <w:szCs w:val="24"/>
        </w:rPr>
        <w:t></w:t>
      </w:r>
      <w:r w:rsidRPr="00E54F86">
        <w:rPr>
          <w:rFonts w:ascii="Arial" w:hAnsi="Arial" w:cs="Arial"/>
          <w:sz w:val="24"/>
          <w:szCs w:val="24"/>
        </w:rPr>
        <w:t xml:space="preserve"> (MACS GMP PepTivator</w:t>
      </w:r>
      <w:r w:rsidRPr="00E54F86">
        <w:rPr>
          <w:rFonts w:ascii="Arial" w:hAnsi="Arial" w:cs="Arial"/>
          <w:sz w:val="24"/>
          <w:szCs w:val="24"/>
          <w:vertAlign w:val="superscript"/>
        </w:rPr>
        <w:t>®</w:t>
      </w:r>
      <w:r w:rsidRPr="00E54F86">
        <w:rPr>
          <w:rFonts w:ascii="Arial" w:hAnsi="Arial" w:cs="Arial"/>
          <w:sz w:val="24"/>
          <w:szCs w:val="24"/>
        </w:rPr>
        <w:t xml:space="preserve"> Peptide Pools). They are then labeled with two different IFN</w:t>
      </w:r>
      <w:r w:rsidRPr="00E54F86">
        <w:rPr>
          <w:rFonts w:ascii="Symbol" w:hAnsi="Symbol" w:cs="Arial"/>
          <w:sz w:val="24"/>
          <w:szCs w:val="24"/>
        </w:rPr>
        <w:t></w:t>
      </w:r>
      <w:r w:rsidRPr="00E54F86">
        <w:rPr>
          <w:rFonts w:ascii="Arial" w:hAnsi="Arial" w:cs="Arial"/>
          <w:sz w:val="24"/>
          <w:szCs w:val="24"/>
        </w:rPr>
        <w:t xml:space="preserve"> </w:t>
      </w:r>
      <w:r w:rsidRPr="00E54F86">
        <w:rPr>
          <w:rFonts w:ascii="Arial" w:hAnsi="Arial" w:cs="Arial"/>
          <w:sz w:val="24"/>
          <w:szCs w:val="24"/>
        </w:rPr>
        <w:lastRenderedPageBreak/>
        <w:t>-specific antibodies in a stepwise procedure. The first binding step uses the CliniMACS IFN</w:t>
      </w:r>
      <w:r w:rsidRPr="00E54F86">
        <w:rPr>
          <w:rFonts w:ascii="Symbol" w:hAnsi="Symbol" w:cs="Arial"/>
          <w:sz w:val="24"/>
          <w:szCs w:val="24"/>
        </w:rPr>
        <w:t></w:t>
      </w:r>
      <w:r w:rsidRPr="00E54F86">
        <w:rPr>
          <w:rFonts w:ascii="Arial" w:hAnsi="Arial" w:cs="Arial"/>
          <w:sz w:val="24"/>
          <w:szCs w:val="24"/>
        </w:rPr>
        <w:t xml:space="preserve"> -gamma Catch</w:t>
      </w:r>
      <w:r w:rsidRPr="00E54F86">
        <w:rPr>
          <w:rFonts w:ascii="Arial" w:hAnsi="Arial" w:cs="Arial"/>
          <w:sz w:val="24"/>
          <w:szCs w:val="24"/>
        </w:rPr>
        <w:softHyphen/>
        <w:t>matrix Reagent, and for the second binding step the CliniMACS IFN</w:t>
      </w:r>
      <w:r w:rsidRPr="00E54F86">
        <w:rPr>
          <w:rFonts w:ascii="Symbol" w:hAnsi="Symbol" w:cs="Arial"/>
          <w:sz w:val="24"/>
          <w:szCs w:val="24"/>
        </w:rPr>
        <w:t></w:t>
      </w:r>
      <w:r w:rsidRPr="00E54F86">
        <w:rPr>
          <w:rFonts w:ascii="Arial" w:hAnsi="Arial" w:cs="Arial"/>
          <w:sz w:val="24"/>
          <w:szCs w:val="24"/>
        </w:rPr>
        <w:t xml:space="preserve"> Enrichment Reagent is used. The Catchmatrix Reagent forms a cytokine affinity matrix on the cell plasma membrane which then will ‘trap’ all cytokine subsequently produced by the cells upon specific stimulation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&lt;EndNote&gt;&lt;Cite&gt;&lt;Author&gt;Campbell&lt;/Author&gt;&lt;Year&gt;2003&lt;/Year&gt;&lt;RecNum&gt;59&lt;/RecNum&gt;&lt;DisplayText&gt;&lt;style face="superscript"&gt;47&lt;/style&gt;&lt;/DisplayText&gt;&lt;record&gt;&lt;rec-number&gt;59&lt;/rec-number&gt;&lt;foreign-keys&gt;&lt;key app="EN" db-id="s0dvaedsvtwdz4e2f9n592swwz2eftfx29w2" timestamp="1551129421"&gt;59&lt;/key&gt;&lt;/foreign-keys&gt;&lt;ref-type name="Journal Article"&gt;17&lt;/ref-type&gt;&lt;contributors&gt;&lt;authors&gt;&lt;author&gt;Campbell, J. D.&lt;/author&gt;&lt;/authors&gt;&lt;/contributors&gt;&lt;auth-address&gt;Research and Development, Miltenyi Biotec GmbH, Friedrich Ebert Str. 68, 51429 Bergisch Gladbach, Germany. johnc@miltenyibiotec.de&lt;/auth-address&gt;&lt;titles&gt;&lt;title&gt;Detection and enrichment of antigen-specific CD4+ and CD8+ T cells based on cytokine secretion&lt;/title&gt;&lt;secondary-title&gt;Methods&lt;/secondary-title&gt;&lt;/titles&gt;&lt;periodical&gt;&lt;full-title&gt;Methods&lt;/full-title&gt;&lt;/periodical&gt;&lt;pages&gt;150-9&lt;/pages&gt;&lt;volume&gt;31&lt;/volume&gt;&lt;number&gt;2&lt;/number&gt;&lt;edition&gt;2003/09/06&lt;/edition&gt;&lt;keywords&gt;&lt;keyword&gt;CD4-Positive T-Lymphocytes/cytology/*immunology/metabolism&lt;/keyword&gt;&lt;keyword&gt;CD8-Positive T-Lymphocytes/cytology/*immunology/metabolism&lt;/keyword&gt;&lt;keyword&gt;Cytokines/*metabolism&lt;/keyword&gt;&lt;keyword&gt;Flow Cytometry&lt;/keyword&gt;&lt;keyword&gt;Humans&lt;/keyword&gt;&lt;keyword&gt;Immunomagnetic Separation/methods&lt;/keyword&gt;&lt;keyword&gt;Interferon-gamma/metabolism&lt;/keyword&gt;&lt;keyword&gt;Receptors, Antigen, T-Cell/immunology&lt;/keyword&gt;&lt;keyword&gt;Staining and Labeling/methods&lt;/keyword&gt;&lt;keyword&gt;Viral Matrix Proteins/immunology&lt;/keyword&gt;&lt;/keywords&gt;&lt;dates&gt;&lt;year&gt;2003&lt;/year&gt;&lt;pub-dates&gt;&lt;date&gt;Oct&lt;/date&gt;&lt;/pub-dates&gt;&lt;/dates&gt;&lt;isbn&gt;1046-2023 (Print)&amp;#xD;1046-2023 (Linking)&lt;/isbn&gt;&lt;accession-num&gt;12957573&lt;/accession-num&gt;&lt;urls&gt;&lt;related-urls&gt;&lt;url&gt;https://www.ncbi.nlm.nih.gov/pubmed/12957573&lt;/url&gt;&lt;/related-urls&gt;&lt;/urls&gt;&lt;/record&gt;&lt;/Cite&gt;&lt;/EndNote&gt;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47</w:t>
      </w:r>
      <w:r w:rsidRPr="00E54F86">
        <w:rPr>
          <w:rFonts w:ascii="Arial" w:hAnsi="Arial" w:cs="Arial"/>
          <w:sz w:val="24"/>
          <w:szCs w:val="24"/>
        </w:rPr>
        <w:fldChar w:fldCharType="end"/>
      </w:r>
      <w:r w:rsidRPr="00E54F86">
        <w:rPr>
          <w:rFonts w:ascii="Arial" w:hAnsi="Arial" w:cs="Arial"/>
          <w:sz w:val="24"/>
          <w:szCs w:val="24"/>
        </w:rPr>
        <w:t xml:space="preserve"> . The Enrichment Reagent then binds to the trapped cytokine, thus enhancing the signal. The enrichment antibody is conjugated to super-paramagnetic particles and final selection of the antibody/cell complexes is performed using the long established MACS</w:t>
      </w:r>
      <w:r w:rsidRPr="00E54F86">
        <w:rPr>
          <w:rFonts w:ascii="Arial" w:hAnsi="Arial" w:cs="Arial"/>
          <w:sz w:val="24"/>
          <w:szCs w:val="24"/>
          <w:vertAlign w:val="superscript"/>
        </w:rPr>
        <w:t>®</w:t>
      </w:r>
      <w:r w:rsidRPr="00E54F86">
        <w:rPr>
          <w:rFonts w:ascii="Arial" w:hAnsi="Arial" w:cs="Arial"/>
          <w:sz w:val="24"/>
          <w:szCs w:val="24"/>
        </w:rPr>
        <w:t xml:space="preserve"> technology (‘Magnetic Assisted Cell Sorting)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45</w:t>
      </w:r>
      <w:r w:rsidRPr="00E54F86">
        <w:rPr>
          <w:rFonts w:ascii="Arial" w:hAnsi="Arial" w:cs="Arial"/>
          <w:sz w:val="24"/>
          <w:szCs w:val="24"/>
        </w:rPr>
        <w:fldChar w:fldCharType="end"/>
      </w:r>
      <w:r w:rsidRPr="00E54F86">
        <w:rPr>
          <w:rFonts w:ascii="Arial" w:hAnsi="Arial" w:cs="Arial"/>
          <w:sz w:val="24"/>
          <w:szCs w:val="24"/>
        </w:rPr>
        <w:t>.The successful enrichment of virus-specific T cells using the CliniMACS</w:t>
      </w:r>
      <w:r w:rsidRPr="00E54F86">
        <w:rPr>
          <w:rFonts w:ascii="Arial" w:hAnsi="Arial" w:cs="Arial"/>
          <w:sz w:val="24"/>
          <w:szCs w:val="24"/>
          <w:vertAlign w:val="superscript"/>
        </w:rPr>
        <w:t>®</w:t>
      </w:r>
      <w:r w:rsidRPr="00E54F86">
        <w:rPr>
          <w:rFonts w:ascii="Arial" w:hAnsi="Arial" w:cs="Arial"/>
          <w:sz w:val="24"/>
          <w:szCs w:val="24"/>
        </w:rPr>
        <w:t xml:space="preserve"> Cytokine Capture System </w:t>
      </w:r>
      <w:r>
        <w:rPr>
          <w:rFonts w:ascii="Arial" w:hAnsi="Arial" w:cs="Arial"/>
          <w:sz w:val="24"/>
          <w:szCs w:val="24"/>
        </w:rPr>
        <w:t>(IFN-</w:t>
      </w:r>
      <w:r w:rsidRPr="00206011">
        <w:rPr>
          <w:rFonts w:ascii="Symbol" w:hAnsi="Symbol" w:cs="Arial"/>
          <w:sz w:val="24"/>
          <w:szCs w:val="24"/>
        </w:rPr>
        <w:t></w:t>
      </w:r>
      <w:r>
        <w:rPr>
          <w:rFonts w:ascii="Arial" w:hAnsi="Arial" w:cs="Arial"/>
          <w:sz w:val="24"/>
          <w:szCs w:val="24"/>
        </w:rPr>
        <w:t xml:space="preserve">) </w:t>
      </w:r>
      <w:r w:rsidRPr="00E54F86">
        <w:rPr>
          <w:rFonts w:ascii="Arial" w:hAnsi="Arial" w:cs="Arial"/>
          <w:sz w:val="24"/>
          <w:szCs w:val="24"/>
        </w:rPr>
        <w:t>after incubation with PepTivator peptide pools as viral antigens has been well established in preclinical studies. The CliniMACS</w:t>
      </w:r>
      <w:r w:rsidRPr="00E54F86">
        <w:rPr>
          <w:rFonts w:ascii="Arial" w:hAnsi="Arial" w:cs="Arial"/>
          <w:sz w:val="24"/>
          <w:szCs w:val="24"/>
          <w:vertAlign w:val="superscript"/>
        </w:rPr>
        <w:t>®</w:t>
      </w:r>
      <w:r w:rsidRPr="00E54F86">
        <w:rPr>
          <w:rFonts w:ascii="Arial" w:hAnsi="Arial" w:cs="Arial"/>
          <w:sz w:val="24"/>
          <w:szCs w:val="24"/>
        </w:rPr>
        <w:t xml:space="preserve"> Prodigy, which has been developed recently by Miltenyi Biotec GmbH, allows the fully automated generation of multivirus-specific T cells for adoptive T-cell therapy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36</w:t>
      </w:r>
      <w:r w:rsidRPr="00E54F86">
        <w:rPr>
          <w:rFonts w:ascii="Arial" w:hAnsi="Arial" w:cs="Arial"/>
          <w:sz w:val="24"/>
          <w:szCs w:val="24"/>
        </w:rPr>
        <w:fldChar w:fldCharType="end"/>
      </w:r>
      <w:r w:rsidRPr="00E54F86">
        <w:rPr>
          <w:rFonts w:ascii="Arial" w:hAnsi="Arial" w:cs="Arial"/>
          <w:sz w:val="24"/>
          <w:szCs w:val="24"/>
        </w:rPr>
        <w:t xml:space="preserve"> .    </w:t>
      </w:r>
    </w:p>
    <w:p w14:paraId="22F3841C" w14:textId="77777777" w:rsidR="00A53578" w:rsidRPr="00E54F86" w:rsidRDefault="00A53578" w:rsidP="00A53578">
      <w:pPr>
        <w:spacing w:after="60"/>
        <w:rPr>
          <w:rFonts w:ascii="Arial" w:hAnsi="Arial" w:cs="Arial"/>
          <w:sz w:val="24"/>
          <w:szCs w:val="24"/>
        </w:rPr>
      </w:pPr>
    </w:p>
    <w:p w14:paraId="731FE0C3"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The CliniMACS</w:t>
      </w:r>
      <w:r w:rsidRPr="00E54F86">
        <w:rPr>
          <w:rFonts w:ascii="Arial" w:hAnsi="Arial" w:cs="Arial"/>
          <w:sz w:val="24"/>
          <w:szCs w:val="24"/>
          <w:vertAlign w:val="superscript"/>
        </w:rPr>
        <w:t>®</w:t>
      </w:r>
      <w:r w:rsidRPr="00E54F86">
        <w:rPr>
          <w:rFonts w:ascii="Arial" w:hAnsi="Arial" w:cs="Arial"/>
          <w:sz w:val="24"/>
          <w:szCs w:val="24"/>
        </w:rPr>
        <w:t xml:space="preserve"> Prodigy which will be used in this study is a newly developed system for the fully automated selection and isolation of virus-specific T cells. The safety and efficacy of the virus-specific T cells isolated and selected with this method have been described in several publications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36</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37</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39</w:t>
      </w:r>
      <w:r w:rsidRPr="00E54F86">
        <w:rPr>
          <w:rFonts w:ascii="Arial" w:hAnsi="Arial" w:cs="Arial"/>
          <w:sz w:val="24"/>
          <w:szCs w:val="24"/>
        </w:rPr>
        <w:fldChar w:fldCharType="end"/>
      </w:r>
      <w:r w:rsidRPr="00E54F86">
        <w:rPr>
          <w:rFonts w:ascii="Arial" w:hAnsi="Arial" w:cs="Arial"/>
          <w:sz w:val="24"/>
          <w:szCs w:val="24"/>
        </w:rPr>
        <w:t xml:space="preserve">. The virus-specific T cells were used for patients with refractory CMV </w:t>
      </w:r>
      <w:r w:rsidRPr="00E54F86">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48</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49</w:t>
      </w:r>
      <w:r w:rsidRPr="00E54F86">
        <w:rPr>
          <w:rFonts w:ascii="Arial" w:hAnsi="Arial" w:cs="Arial"/>
          <w:sz w:val="24"/>
          <w:szCs w:val="24"/>
        </w:rPr>
        <w:fldChar w:fldCharType="end"/>
      </w:r>
      <w:r w:rsidRPr="00E54F86">
        <w:rPr>
          <w:rFonts w:ascii="Arial" w:hAnsi="Arial" w:cs="Arial"/>
          <w:sz w:val="24"/>
          <w:szCs w:val="24"/>
        </w:rPr>
        <w:t xml:space="preserve">, AdV </w:t>
      </w:r>
      <w:r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43</w:t>
      </w:r>
      <w:r w:rsidRPr="00E54F86">
        <w:rPr>
          <w:rFonts w:ascii="Arial" w:hAnsi="Arial" w:cs="Arial"/>
          <w:sz w:val="24"/>
          <w:szCs w:val="24"/>
        </w:rPr>
        <w:fldChar w:fldCharType="end"/>
      </w:r>
      <w:r w:rsidRPr="00E54F86">
        <w:rPr>
          <w:rFonts w:ascii="Arial" w:hAnsi="Arial" w:cs="Arial"/>
          <w:sz w:val="24"/>
          <w:szCs w:val="24"/>
        </w:rPr>
        <w:t xml:space="preserve"> or EBV infections </w:t>
      </w:r>
      <w:r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44</w:t>
      </w:r>
      <w:r w:rsidRPr="00E54F86">
        <w:rPr>
          <w:rFonts w:ascii="Arial" w:hAnsi="Arial" w:cs="Arial"/>
          <w:sz w:val="24"/>
          <w:szCs w:val="24"/>
        </w:rPr>
        <w:fldChar w:fldCharType="end"/>
      </w:r>
      <w:r w:rsidRPr="00E54F86">
        <w:rPr>
          <w:rFonts w:ascii="Arial" w:hAnsi="Arial" w:cs="Arial"/>
          <w:sz w:val="24"/>
          <w:szCs w:val="24"/>
        </w:rPr>
        <w:t xml:space="preserve"> after HSCT. </w:t>
      </w:r>
    </w:p>
    <w:p w14:paraId="28FE9AB1" w14:textId="77777777" w:rsidR="00A53578" w:rsidRDefault="00A53578" w:rsidP="00A53578">
      <w:pPr>
        <w:spacing w:after="60"/>
        <w:rPr>
          <w:rFonts w:ascii="Arial" w:hAnsi="Arial" w:cs="Arial"/>
          <w:b/>
          <w:sz w:val="24"/>
          <w:szCs w:val="24"/>
        </w:rPr>
      </w:pPr>
    </w:p>
    <w:p w14:paraId="4A8149E6" w14:textId="77777777" w:rsidR="00A53578" w:rsidRDefault="00A53578" w:rsidP="00A53578">
      <w:pPr>
        <w:spacing w:after="60"/>
        <w:rPr>
          <w:rFonts w:ascii="Arial" w:hAnsi="Arial" w:cs="Arial"/>
          <w:b/>
          <w:sz w:val="24"/>
          <w:szCs w:val="24"/>
        </w:rPr>
      </w:pPr>
    </w:p>
    <w:p w14:paraId="5CFCCEF9" w14:textId="706A042C" w:rsidR="00A53578" w:rsidRPr="00A53578" w:rsidRDefault="00EE713C" w:rsidP="00A53578">
      <w:pPr>
        <w:spacing w:after="60"/>
        <w:rPr>
          <w:rFonts w:ascii="Arial" w:hAnsi="Arial" w:cs="Arial"/>
          <w:b/>
          <w:sz w:val="24"/>
          <w:szCs w:val="24"/>
          <w:u w:val="single"/>
        </w:rPr>
      </w:pPr>
      <w:r>
        <w:rPr>
          <w:rFonts w:ascii="Arial" w:hAnsi="Arial" w:cs="Arial"/>
          <w:b/>
          <w:sz w:val="24"/>
          <w:szCs w:val="24"/>
          <w:u w:val="single"/>
        </w:rPr>
        <w:t xml:space="preserve">1.3.2  </w:t>
      </w:r>
      <w:r w:rsidR="00A53578" w:rsidRPr="00A53578">
        <w:rPr>
          <w:rFonts w:ascii="Arial" w:hAnsi="Arial" w:cs="Arial"/>
          <w:b/>
          <w:sz w:val="24"/>
          <w:szCs w:val="24"/>
          <w:u w:val="single"/>
        </w:rPr>
        <w:t>Clinical Studies using the CliniMACS Cytokine Capture System (IFN-</w:t>
      </w:r>
      <w:r w:rsidR="00A53578" w:rsidRPr="00A53578">
        <w:rPr>
          <w:rFonts w:ascii="Symbol" w:hAnsi="Symbol" w:cs="Arial"/>
          <w:b/>
          <w:sz w:val="24"/>
          <w:szCs w:val="24"/>
          <w:u w:val="single"/>
        </w:rPr>
        <w:t></w:t>
      </w:r>
      <w:r w:rsidR="00A53578" w:rsidRPr="00A53578">
        <w:rPr>
          <w:rFonts w:ascii="Arial" w:hAnsi="Arial" w:cs="Arial"/>
          <w:b/>
          <w:sz w:val="24"/>
          <w:szCs w:val="24"/>
          <w:u w:val="single"/>
        </w:rPr>
        <w:t xml:space="preserve">) </w:t>
      </w:r>
    </w:p>
    <w:p w14:paraId="699D1F2A"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Peggs et al. report on the preemptive or prophylactic CMV-treatment of 18 patients after HSCT </w:t>
      </w:r>
      <w:r w:rsidRPr="00E54F86">
        <w:rPr>
          <w:rFonts w:ascii="Arial" w:hAnsi="Arial" w:cs="Arial"/>
          <w:sz w:val="24"/>
          <w:szCs w:val="24"/>
        </w:rPr>
        <w:fldChar w:fldCharType="begin"/>
      </w:r>
      <w:r>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Pr="00E54F86">
        <w:rPr>
          <w:rFonts w:ascii="Arial" w:hAnsi="Arial" w:cs="Arial"/>
          <w:sz w:val="24"/>
          <w:szCs w:val="24"/>
        </w:rPr>
        <w:fldChar w:fldCharType="separate"/>
      </w:r>
      <w:r w:rsidRPr="005E7C68">
        <w:rPr>
          <w:rFonts w:ascii="Arial" w:hAnsi="Arial" w:cs="Arial"/>
          <w:noProof/>
          <w:sz w:val="24"/>
          <w:szCs w:val="24"/>
          <w:vertAlign w:val="superscript"/>
        </w:rPr>
        <w:t>45</w:t>
      </w:r>
      <w:r w:rsidRPr="00E54F86">
        <w:rPr>
          <w:rFonts w:ascii="Arial" w:hAnsi="Arial" w:cs="Arial"/>
          <w:sz w:val="24"/>
          <w:szCs w:val="24"/>
        </w:rPr>
        <w:fldChar w:fldCharType="end"/>
      </w:r>
      <w:r w:rsidRPr="00E54F86">
        <w:rPr>
          <w:rFonts w:ascii="Arial" w:hAnsi="Arial" w:cs="Arial"/>
          <w:sz w:val="24"/>
          <w:szCs w:val="24"/>
        </w:rPr>
        <w:t>. Cell selection was successful in all cases using an older Miltenyi CliniMAC</w:t>
      </w:r>
      <w:r>
        <w:rPr>
          <w:rFonts w:ascii="Arial" w:hAnsi="Arial" w:cs="Arial"/>
          <w:sz w:val="24"/>
          <w:szCs w:val="24"/>
        </w:rPr>
        <w:t>S</w:t>
      </w:r>
      <w:r w:rsidRPr="00E54F86">
        <w:rPr>
          <w:rFonts w:ascii="Arial" w:hAnsi="Arial" w:cs="Arial"/>
          <w:sz w:val="24"/>
          <w:szCs w:val="24"/>
        </w:rPr>
        <w:t xml:space="preserve"> device, and the in vivo-expansion of CMV-specific T cells was observed within days after the adoptive transfer. Six of the seven patients treated prophylactically required no antiviral antibiotics throughout the study, although CMV infection occurred in one patient. Another patient who had been treated prophylactically remained free of infection for six months. Subsequently this patient required systemic steroid treatment for extensive chronic GVHD, and then developed CMV infection which required antiviral treatment. Of the 11 patients treated preemptively, nine received antiviral antibiotics against the initial viremia. Two patients treated preemptively did not need any antiviral antibiotics. Nine patients treated preemptively remained free of new CMV reactivations after clearing the first episode; two of these patients experienced new CMV reactivations subsequently.</w:t>
      </w:r>
      <w:r w:rsidRPr="00E54F86">
        <w:rPr>
          <w:rFonts w:ascii="Arial" w:eastAsia="Times" w:hAnsi="Arial" w:cs="Arial"/>
          <w:sz w:val="24"/>
          <w:szCs w:val="24"/>
          <w:lang w:eastAsia="de-DE"/>
        </w:rPr>
        <w:t xml:space="preserve"> </w:t>
      </w:r>
      <w:r w:rsidRPr="00E54F86">
        <w:rPr>
          <w:rFonts w:ascii="Arial" w:hAnsi="Arial" w:cs="Arial"/>
          <w:sz w:val="24"/>
          <w:szCs w:val="24"/>
        </w:rPr>
        <w:t>All were treated with 10</w:t>
      </w:r>
      <w:r w:rsidRPr="00E54F86">
        <w:rPr>
          <w:rFonts w:ascii="Arial" w:hAnsi="Arial" w:cs="Arial"/>
          <w:sz w:val="24"/>
          <w:szCs w:val="24"/>
          <w:vertAlign w:val="superscript"/>
        </w:rPr>
        <w:t xml:space="preserve">4 </w:t>
      </w:r>
      <w:r w:rsidRPr="00E54F86">
        <w:rPr>
          <w:rFonts w:ascii="Arial" w:hAnsi="Arial" w:cs="Arial"/>
          <w:sz w:val="24"/>
          <w:szCs w:val="24"/>
        </w:rPr>
        <w:t>CMV-specific CD3</w:t>
      </w:r>
      <w:r w:rsidRPr="00E54F86">
        <w:rPr>
          <w:rFonts w:ascii="Arial" w:hAnsi="Arial" w:cs="Arial"/>
          <w:sz w:val="24"/>
          <w:szCs w:val="24"/>
          <w:vertAlign w:val="superscript"/>
        </w:rPr>
        <w:t>+</w:t>
      </w:r>
      <w:r w:rsidRPr="00E54F86">
        <w:rPr>
          <w:rFonts w:ascii="Arial" w:hAnsi="Arial" w:cs="Arial"/>
          <w:sz w:val="24"/>
          <w:szCs w:val="24"/>
        </w:rPr>
        <w:t xml:space="preserve"> cells/kg and followed up for 6 months. No infusional toxicities were observed. Acute GVHD grade 1° occurred in 5/18 patients; GVHD grade 2 was diagnosed in 2/18 patients, and acute GVHD grade 3 appeared in 1 patient, who received a T-cell replete HSC graft. Limited chronic GVHD was diagnosed in 3/18 patients whereas another 3/18 patients experienced extensive chronic GVHD (two of these patients received a T-cell replete transplant).</w:t>
      </w:r>
    </w:p>
    <w:p w14:paraId="4BC18000" w14:textId="77777777" w:rsidR="00A53578" w:rsidRPr="00E54F86" w:rsidRDefault="00A53578" w:rsidP="00A53578">
      <w:pPr>
        <w:spacing w:after="60"/>
        <w:rPr>
          <w:rFonts w:ascii="Arial" w:hAnsi="Arial" w:cs="Arial"/>
          <w:sz w:val="24"/>
          <w:szCs w:val="24"/>
        </w:rPr>
      </w:pPr>
    </w:p>
    <w:p w14:paraId="59584F7F"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Feuchtinger et al.</w:t>
      </w:r>
      <w:r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Pr="00E54F86">
        <w:rPr>
          <w:rFonts w:ascii="Arial" w:hAnsi="Arial" w:cs="Arial"/>
          <w:sz w:val="24"/>
          <w:szCs w:val="24"/>
        </w:rPr>
        <w:instrText xml:space="preserve"> ADDIN EN.CITE </w:instrText>
      </w:r>
      <w:r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Pr="00E54F86">
        <w:rPr>
          <w:rFonts w:ascii="Arial" w:hAnsi="Arial" w:cs="Arial"/>
          <w:sz w:val="24"/>
          <w:szCs w:val="24"/>
        </w:rPr>
        <w:instrText xml:space="preserve"> ADDIN EN.CITE.DATA </w:instrText>
      </w:r>
      <w:r w:rsidRPr="00E54F86">
        <w:rPr>
          <w:rFonts w:ascii="Arial" w:hAnsi="Arial" w:cs="Arial"/>
          <w:sz w:val="24"/>
          <w:szCs w:val="24"/>
        </w:rPr>
      </w:r>
      <w:r w:rsidRPr="00E54F86">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19</w:t>
      </w:r>
      <w:r w:rsidRPr="00E54F86">
        <w:rPr>
          <w:rFonts w:ascii="Arial" w:hAnsi="Arial" w:cs="Arial"/>
          <w:sz w:val="24"/>
          <w:szCs w:val="24"/>
        </w:rPr>
        <w:fldChar w:fldCharType="end"/>
      </w:r>
      <w:r w:rsidRPr="00E54F86">
        <w:rPr>
          <w:rFonts w:ascii="Arial" w:hAnsi="Arial" w:cs="Arial"/>
          <w:sz w:val="24"/>
          <w:szCs w:val="24"/>
        </w:rPr>
        <w:t xml:space="preserve"> reported on the treatment of 18 patients (including 9 children) suffering from antibiotic refractory CMV disease or reactivation after HSCT from </w:t>
      </w:r>
      <w:r w:rsidRPr="00E54F86">
        <w:rPr>
          <w:rFonts w:ascii="Arial" w:hAnsi="Arial" w:cs="Arial"/>
          <w:sz w:val="24"/>
          <w:szCs w:val="24"/>
        </w:rPr>
        <w:lastRenderedPageBreak/>
        <w:t>unrelated donors. Again, cell selection was successful in all cases. However, since the selection was for an extremely rare event, a minimum of 10% purity for IFN-</w:t>
      </w:r>
      <w:r w:rsidRPr="00E54F86">
        <w:rPr>
          <w:rFonts w:ascii="Symbol" w:hAnsi="Symbol" w:cs="Arial"/>
          <w:sz w:val="24"/>
          <w:szCs w:val="24"/>
        </w:rPr>
        <w:t></w:t>
      </w:r>
      <w:r w:rsidRPr="00E54F86">
        <w:rPr>
          <w:rFonts w:ascii="Arial" w:hAnsi="Arial" w:cs="Arial"/>
          <w:sz w:val="24"/>
          <w:szCs w:val="24"/>
        </w:rPr>
        <w:t xml:space="preserve">+ cells was defined for product release. T-cell expansion </w:t>
      </w:r>
      <w:r w:rsidRPr="00E54F86">
        <w:rPr>
          <w:rFonts w:ascii="Arial" w:hAnsi="Arial" w:cs="Arial"/>
          <w:i/>
          <w:sz w:val="24"/>
          <w:szCs w:val="24"/>
        </w:rPr>
        <w:t>in vivo</w:t>
      </w:r>
      <w:r w:rsidRPr="00E54F86">
        <w:rPr>
          <w:rFonts w:ascii="Arial" w:hAnsi="Arial" w:cs="Arial"/>
          <w:sz w:val="24"/>
          <w:szCs w:val="24"/>
        </w:rPr>
        <w:t xml:space="preserve"> was evaluable in 16 patients following the T-cell transfer. In 12 of these patients a successful T-cell response could be demonstrated within 4 weeks after adoptive T-cell transfer. Four patients failed to reach adequate anti-CMV T-cell levels. In contrast to the study described before, which explored prophylactic/preemptive treatment, the patients treated by Feuchtinger and colleagues all suffered from CMV-infections unresponsive to antiviral antibiotics. In 15 of 18 cases clearance of CMV viremia, or at least a 1 log reduction of viral load was observed. Non-responsiveness to the treatment was associated with a lack of T-cell expansion in two patients. The third non-responsive patient died of bacterial sepsis. Four of 18 patients in the study died of possibly CMV-related causes: three of the unresponsive patients who did not achieve an adequate T-cell response and one of the patients with initial successful T-cell expansion. No infusional toxicities were observed, and one case of mild GVHD was reported.</w:t>
      </w:r>
    </w:p>
    <w:p w14:paraId="2BEEB0A0" w14:textId="77777777" w:rsidR="00A53578" w:rsidRPr="00E54F86" w:rsidRDefault="00A53578" w:rsidP="00A53578">
      <w:pPr>
        <w:spacing w:after="60"/>
        <w:rPr>
          <w:rFonts w:ascii="Arial" w:hAnsi="Arial" w:cs="Arial"/>
          <w:sz w:val="24"/>
          <w:szCs w:val="24"/>
        </w:rPr>
      </w:pPr>
    </w:p>
    <w:p w14:paraId="7EFABCC4"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Meij</w:t>
      </w:r>
      <w:r w:rsidRPr="00E54F86">
        <w:rPr>
          <w:rFonts w:ascii="Arial" w:hAnsi="Arial" w:cs="Arial"/>
          <w:b/>
          <w:sz w:val="24"/>
          <w:szCs w:val="24"/>
        </w:rPr>
        <w:t xml:space="preserve"> </w:t>
      </w:r>
      <w:r w:rsidRPr="00E54F86">
        <w:rPr>
          <w:rFonts w:ascii="Arial" w:hAnsi="Arial" w:cs="Arial"/>
          <w:sz w:val="24"/>
          <w:szCs w:val="24"/>
        </w:rPr>
        <w:t xml:space="preserve">et al generated 15 CMV-specific T-cell lines using the CliniMACS Cytokine Capture System </w:t>
      </w:r>
      <w:r w:rsidRPr="00E54F86">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50</w:t>
      </w:r>
      <w:r w:rsidRPr="00E54F86">
        <w:rPr>
          <w:rFonts w:ascii="Arial" w:hAnsi="Arial" w:cs="Arial"/>
          <w:sz w:val="24"/>
          <w:szCs w:val="24"/>
        </w:rPr>
        <w:fldChar w:fldCharType="end"/>
      </w:r>
      <w:r w:rsidRPr="00E54F86">
        <w:rPr>
          <w:rFonts w:ascii="Arial" w:hAnsi="Arial" w:cs="Arial"/>
          <w:sz w:val="24"/>
          <w:szCs w:val="24"/>
        </w:rPr>
        <w:t xml:space="preserve"> . Eight infusions were given to patients with refractory CMV reactivation.  There were no adverse events, no GVHD, and CMV load disappeared.</w:t>
      </w:r>
    </w:p>
    <w:p w14:paraId="7428B8D1" w14:textId="77777777" w:rsidR="00A53578" w:rsidRPr="00E54F86" w:rsidRDefault="00A53578" w:rsidP="00A53578">
      <w:pPr>
        <w:spacing w:after="60"/>
        <w:rPr>
          <w:rFonts w:ascii="Arial" w:hAnsi="Arial" w:cs="Arial"/>
          <w:sz w:val="24"/>
          <w:szCs w:val="24"/>
        </w:rPr>
      </w:pPr>
    </w:p>
    <w:p w14:paraId="59470F74" w14:textId="77777777" w:rsidR="00A53578" w:rsidRPr="00E54F86" w:rsidRDefault="00A53578" w:rsidP="00A53578">
      <w:pPr>
        <w:spacing w:after="60"/>
        <w:rPr>
          <w:rFonts w:ascii="Arial" w:hAnsi="Arial" w:cs="Arial"/>
          <w:sz w:val="24"/>
          <w:szCs w:val="24"/>
        </w:rPr>
      </w:pPr>
      <w:r w:rsidRPr="00E54F86">
        <w:rPr>
          <w:rFonts w:ascii="Arial" w:hAnsi="Arial" w:cs="Arial"/>
          <w:sz w:val="24"/>
          <w:szCs w:val="24"/>
        </w:rPr>
        <w:t xml:space="preserve">In order to ensure rapid initiation of anti-viral T cells, a center in Germany has initiated GMP compliant manufacturing using the CliniMACS </w:t>
      </w:r>
      <w:r>
        <w:rPr>
          <w:rFonts w:ascii="Arial" w:hAnsi="Arial" w:cs="Arial"/>
          <w:sz w:val="24"/>
          <w:szCs w:val="24"/>
        </w:rPr>
        <w:t>C</w:t>
      </w:r>
      <w:r w:rsidRPr="00E54F86">
        <w:rPr>
          <w:rFonts w:ascii="Arial" w:hAnsi="Arial" w:cs="Arial"/>
          <w:sz w:val="24"/>
          <w:szCs w:val="24"/>
        </w:rPr>
        <w:t xml:space="preserve">ytokine </w:t>
      </w:r>
      <w:r>
        <w:rPr>
          <w:rFonts w:ascii="Arial" w:hAnsi="Arial" w:cs="Arial"/>
          <w:sz w:val="24"/>
          <w:szCs w:val="24"/>
        </w:rPr>
        <w:t>C</w:t>
      </w:r>
      <w:r w:rsidRPr="00E54F86">
        <w:rPr>
          <w:rFonts w:ascii="Arial" w:hAnsi="Arial" w:cs="Arial"/>
          <w:sz w:val="24"/>
          <w:szCs w:val="24"/>
        </w:rPr>
        <w:t xml:space="preserve">apture </w:t>
      </w:r>
      <w:r>
        <w:rPr>
          <w:rFonts w:ascii="Arial" w:hAnsi="Arial" w:cs="Arial"/>
          <w:sz w:val="24"/>
          <w:szCs w:val="24"/>
        </w:rPr>
        <w:t>S</w:t>
      </w:r>
      <w:r w:rsidRPr="00E54F86">
        <w:rPr>
          <w:rFonts w:ascii="Arial" w:hAnsi="Arial" w:cs="Arial"/>
          <w:sz w:val="24"/>
          <w:szCs w:val="24"/>
        </w:rPr>
        <w:t xml:space="preserve">ystem </w:t>
      </w:r>
      <w:r w:rsidRPr="00E54F86">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41</w:t>
      </w:r>
      <w:r w:rsidRPr="00E54F86">
        <w:rPr>
          <w:rFonts w:ascii="Arial" w:hAnsi="Arial" w:cs="Arial"/>
          <w:sz w:val="24"/>
          <w:szCs w:val="24"/>
        </w:rPr>
        <w:fldChar w:fldCharType="end"/>
      </w:r>
      <w:r w:rsidRPr="00E54F86">
        <w:rPr>
          <w:rFonts w:ascii="Arial" w:hAnsi="Arial" w:cs="Arial"/>
          <w:sz w:val="24"/>
          <w:szCs w:val="24"/>
        </w:rPr>
        <w:t xml:space="preserve"> .  Clinical data on safety and efficacy was obtained partly, and in the case of AdV infections, completely, from pediatric patients. </w:t>
      </w:r>
    </w:p>
    <w:p w14:paraId="1628B3C7" w14:textId="77777777" w:rsidR="00A53578" w:rsidRPr="00E54F86" w:rsidRDefault="00A53578" w:rsidP="00A53578">
      <w:pPr>
        <w:spacing w:after="60"/>
        <w:rPr>
          <w:rFonts w:ascii="Arial" w:hAnsi="Arial" w:cs="Arial"/>
          <w:sz w:val="24"/>
          <w:szCs w:val="24"/>
        </w:rPr>
      </w:pPr>
    </w:p>
    <w:p w14:paraId="32859C94" w14:textId="77777777" w:rsidR="00A53578" w:rsidRPr="00E54F86" w:rsidRDefault="00A53578" w:rsidP="00A53578">
      <w:pPr>
        <w:rPr>
          <w:rFonts w:ascii="Arial" w:hAnsi="Arial" w:cs="Arial"/>
          <w:sz w:val="24"/>
          <w:szCs w:val="24"/>
        </w:rPr>
      </w:pPr>
      <w:r w:rsidRPr="00E54F86">
        <w:rPr>
          <w:rFonts w:ascii="Arial" w:hAnsi="Arial" w:cs="Arial"/>
          <w:sz w:val="24"/>
          <w:szCs w:val="24"/>
        </w:rPr>
        <w:t xml:space="preserve">In summary, production of CMV cytotoxic T cells using this device has tremendous advantages compared to other methods.  This processing method takes 24 hours following a donor apheresis, in contrast to other methods which take at least 7 days </w:t>
      </w:r>
      <w:r w:rsidRPr="00E54F86">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51</w:t>
      </w:r>
      <w:r w:rsidRPr="00E54F86">
        <w:rPr>
          <w:rFonts w:ascii="Arial" w:hAnsi="Arial" w:cs="Arial"/>
          <w:sz w:val="24"/>
          <w:szCs w:val="24"/>
        </w:rPr>
        <w:fldChar w:fldCharType="end"/>
      </w:r>
      <w:r w:rsidRPr="00E54F86">
        <w:rPr>
          <w:rFonts w:ascii="Arial" w:hAnsi="Arial" w:cs="Arial"/>
          <w:sz w:val="24"/>
          <w:szCs w:val="24"/>
        </w:rPr>
        <w:t xml:space="preserve"> </w:t>
      </w:r>
      <w:r w:rsidRPr="00E54F86">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52</w:t>
      </w:r>
      <w:r w:rsidRPr="00E54F86">
        <w:rPr>
          <w:rFonts w:ascii="Arial" w:hAnsi="Arial" w:cs="Arial"/>
          <w:sz w:val="24"/>
          <w:szCs w:val="24"/>
        </w:rPr>
        <w:fldChar w:fldCharType="end"/>
      </w:r>
      <w:r w:rsidRPr="00E54F86">
        <w:rPr>
          <w:rFonts w:ascii="Arial" w:hAnsi="Arial" w:cs="Arial"/>
          <w:sz w:val="24"/>
          <w:szCs w:val="24"/>
        </w:rPr>
        <w:t>. This product will also contain both CD4 and CD8</w:t>
      </w:r>
      <w:r>
        <w:rPr>
          <w:rFonts w:ascii="Arial" w:hAnsi="Arial" w:cs="Arial"/>
          <w:sz w:val="24"/>
          <w:szCs w:val="24"/>
        </w:rPr>
        <w:t xml:space="preserve"> </w:t>
      </w:r>
      <w:r w:rsidRPr="00E54F86">
        <w:rPr>
          <w:rFonts w:ascii="Arial" w:hAnsi="Arial" w:cs="Arial"/>
          <w:sz w:val="24"/>
          <w:szCs w:val="24"/>
        </w:rPr>
        <w:t xml:space="preserve">T cells, which lowers the risk of viral evasion. </w:t>
      </w:r>
    </w:p>
    <w:p w14:paraId="4AD4B7F3" w14:textId="77777777" w:rsidR="00A53578" w:rsidRDefault="00A53578" w:rsidP="00A53578">
      <w:pPr>
        <w:rPr>
          <w:rFonts w:ascii="Arial" w:hAnsi="Arial" w:cs="Arial"/>
          <w:sz w:val="24"/>
          <w:szCs w:val="24"/>
        </w:rPr>
      </w:pPr>
      <w:r w:rsidRPr="00E54F86">
        <w:rPr>
          <w:rFonts w:ascii="Arial" w:hAnsi="Arial" w:cs="Arial"/>
          <w:sz w:val="24"/>
          <w:szCs w:val="24"/>
        </w:rPr>
        <w:t xml:space="preserve">Cytokine release syndrome has not been reported in any infusion of viral CTLs generated by the Cytokine Capture System.  </w:t>
      </w:r>
    </w:p>
    <w:p w14:paraId="55D57F06" w14:textId="77777777" w:rsidR="00A53578" w:rsidRPr="00E54F86" w:rsidRDefault="00A53578" w:rsidP="00A53578">
      <w:pPr>
        <w:rPr>
          <w:rFonts w:ascii="Arial" w:hAnsi="Arial" w:cs="Arial"/>
          <w:sz w:val="24"/>
          <w:szCs w:val="24"/>
        </w:rPr>
      </w:pPr>
    </w:p>
    <w:p w14:paraId="5DA1CB7A" w14:textId="4BA94384" w:rsidR="00A53578" w:rsidRPr="00E54F86" w:rsidRDefault="00EE713C" w:rsidP="00A53578">
      <w:pPr>
        <w:spacing w:after="120"/>
        <w:rPr>
          <w:rFonts w:ascii="Arial" w:hAnsi="Arial" w:cs="Arial"/>
          <w:b/>
          <w:sz w:val="24"/>
          <w:szCs w:val="24"/>
        </w:rPr>
      </w:pPr>
      <w:r>
        <w:rPr>
          <w:rFonts w:ascii="Arial" w:hAnsi="Arial" w:cs="Arial"/>
          <w:b/>
          <w:sz w:val="24"/>
          <w:szCs w:val="24"/>
        </w:rPr>
        <w:t>1.4</w:t>
      </w:r>
      <w:r w:rsidR="00A53578" w:rsidRPr="00E54F86">
        <w:rPr>
          <w:rFonts w:ascii="Arial" w:hAnsi="Arial" w:cs="Arial"/>
          <w:b/>
          <w:sz w:val="24"/>
          <w:szCs w:val="24"/>
        </w:rPr>
        <w:t xml:space="preserve"> Dose Justification of CMV CTLs</w:t>
      </w:r>
    </w:p>
    <w:p w14:paraId="2307FE3C" w14:textId="77777777" w:rsidR="00A53578" w:rsidRPr="00E54F86" w:rsidRDefault="00A53578" w:rsidP="00A53578">
      <w:pPr>
        <w:spacing w:after="120"/>
        <w:rPr>
          <w:rFonts w:ascii="Arial" w:hAnsi="Arial" w:cs="Arial"/>
          <w:sz w:val="24"/>
          <w:szCs w:val="24"/>
        </w:rPr>
      </w:pPr>
      <w:r w:rsidRPr="00E54F86">
        <w:rPr>
          <w:rFonts w:ascii="Arial" w:hAnsi="Arial" w:cs="Arial"/>
          <w:sz w:val="24"/>
          <w:szCs w:val="24"/>
        </w:rPr>
        <w:t>Maximum dosages were based on previously published data. In a study on prophylactic/pre-emptive treatment of CMV infection patients received a target dose of 1×10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(range: 2.8×10</w:t>
      </w:r>
      <w:r w:rsidRPr="00E54F86">
        <w:rPr>
          <w:rFonts w:ascii="Arial" w:hAnsi="Arial" w:cs="Arial"/>
          <w:sz w:val="24"/>
          <w:szCs w:val="24"/>
          <w:vertAlign w:val="superscript"/>
        </w:rPr>
        <w:t>2</w:t>
      </w:r>
      <w:r w:rsidRPr="00E54F86">
        <w:rPr>
          <w:rFonts w:ascii="Arial" w:hAnsi="Arial" w:cs="Arial"/>
          <w:sz w:val="24"/>
          <w:szCs w:val="24"/>
        </w:rPr>
        <w:t xml:space="preserve"> to 6.88×10</w:t>
      </w:r>
      <w:r w:rsidRPr="00E54F86">
        <w:rPr>
          <w:rFonts w:ascii="Arial" w:hAnsi="Arial" w:cs="Arial"/>
          <w:sz w:val="24"/>
          <w:szCs w:val="24"/>
          <w:vertAlign w:val="superscript"/>
        </w:rPr>
        <w:t>3</w:t>
      </w:r>
      <w:r w:rsidRPr="00E54F86">
        <w:rPr>
          <w:rFonts w:ascii="Arial" w:hAnsi="Arial" w:cs="Arial"/>
          <w:sz w:val="24"/>
          <w:szCs w:val="24"/>
        </w:rPr>
        <w:t> CD4</w:t>
      </w:r>
      <w:r w:rsidRPr="00E54F86">
        <w:rPr>
          <w:rFonts w:ascii="Arial" w:hAnsi="Arial" w:cs="Arial"/>
          <w:sz w:val="24"/>
          <w:szCs w:val="24"/>
          <w:vertAlign w:val="superscript"/>
        </w:rPr>
        <w:t>+</w:t>
      </w:r>
      <w:r w:rsidRPr="00E54F86">
        <w:rPr>
          <w:rFonts w:ascii="Arial" w:hAnsi="Arial" w:cs="Arial"/>
          <w:sz w:val="24"/>
          <w:szCs w:val="24"/>
        </w:rPr>
        <w:t> cells/kg plus 6.0×10</w:t>
      </w:r>
      <w:r w:rsidRPr="00E54F86">
        <w:rPr>
          <w:rFonts w:ascii="Arial" w:hAnsi="Arial" w:cs="Arial"/>
          <w:sz w:val="24"/>
          <w:szCs w:val="24"/>
          <w:vertAlign w:val="superscript"/>
        </w:rPr>
        <w:t>1</w:t>
      </w:r>
      <w:r w:rsidRPr="00E54F86">
        <w:rPr>
          <w:rFonts w:ascii="Arial" w:hAnsi="Arial" w:cs="Arial"/>
          <w:sz w:val="24"/>
          <w:szCs w:val="24"/>
        </w:rPr>
        <w:t xml:space="preserve"> to 3.99×10</w:t>
      </w:r>
      <w:r w:rsidRPr="00E54F86">
        <w:rPr>
          <w:rFonts w:ascii="Arial" w:hAnsi="Arial" w:cs="Arial"/>
          <w:sz w:val="24"/>
          <w:szCs w:val="24"/>
          <w:vertAlign w:val="superscript"/>
        </w:rPr>
        <w:t>3</w:t>
      </w:r>
      <w:r w:rsidRPr="00E54F86">
        <w:rPr>
          <w:rFonts w:ascii="Arial" w:hAnsi="Arial" w:cs="Arial"/>
          <w:sz w:val="24"/>
          <w:szCs w:val="24"/>
        </w:rPr>
        <w:t> CD8</w:t>
      </w:r>
      <w:r w:rsidRPr="00E54F86">
        <w:rPr>
          <w:rFonts w:ascii="Arial" w:hAnsi="Arial" w:cs="Arial"/>
          <w:sz w:val="24"/>
          <w:szCs w:val="24"/>
          <w:vertAlign w:val="superscript"/>
        </w:rPr>
        <w:t>+</w:t>
      </w:r>
      <w:r w:rsidRPr="00E54F86">
        <w:rPr>
          <w:rFonts w:ascii="Arial" w:hAnsi="Arial" w:cs="Arial"/>
          <w:sz w:val="24"/>
          <w:szCs w:val="24"/>
        </w:rPr>
        <w:t> cells/kg)</w:t>
      </w:r>
      <w:r w:rsidRPr="00E54F86">
        <w:rPr>
          <w:rFonts w:ascii="Arial" w:hAnsi="Arial" w:cs="Arial"/>
          <w:sz w:val="24"/>
          <w:szCs w:val="24"/>
          <w:vertAlign w:val="superscript"/>
        </w:rPr>
        <w:t>31</w:t>
      </w:r>
      <w:r w:rsidRPr="00E54F86">
        <w:rPr>
          <w:rFonts w:ascii="Arial" w:hAnsi="Arial" w:cs="Arial"/>
          <w:sz w:val="24"/>
          <w:szCs w:val="24"/>
        </w:rPr>
        <w:t>. Acute GVHD occurred in 8 of 18 patients (grade 3 in 1 patient), limited chronic GVHD occurred in 3 of 18 patients and extensive chronic GVHD also occurred in 3 of 18 patients.</w:t>
      </w:r>
    </w:p>
    <w:p w14:paraId="04B10164" w14:textId="77777777" w:rsidR="00A53578" w:rsidRPr="00E54F86" w:rsidRDefault="00A53578" w:rsidP="00A53578">
      <w:pPr>
        <w:spacing w:after="120"/>
        <w:rPr>
          <w:rFonts w:ascii="Arial" w:hAnsi="Arial" w:cs="Arial"/>
          <w:sz w:val="24"/>
          <w:szCs w:val="24"/>
        </w:rPr>
      </w:pPr>
    </w:p>
    <w:p w14:paraId="158F18A5" w14:textId="77777777" w:rsidR="00A53578" w:rsidRPr="00E54F86" w:rsidRDefault="00A53578" w:rsidP="00A53578">
      <w:pPr>
        <w:spacing w:after="120"/>
        <w:rPr>
          <w:rFonts w:ascii="Arial" w:hAnsi="Arial" w:cs="Arial"/>
          <w:sz w:val="24"/>
          <w:szCs w:val="24"/>
        </w:rPr>
      </w:pPr>
      <w:r w:rsidRPr="00E54F86">
        <w:rPr>
          <w:rFonts w:ascii="Arial" w:hAnsi="Arial" w:cs="Arial"/>
          <w:sz w:val="24"/>
          <w:szCs w:val="24"/>
        </w:rPr>
        <w:t>Feuchtinger et al.</w:t>
      </w:r>
      <w:r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19</w:t>
      </w:r>
      <w:r w:rsidRPr="00E54F86">
        <w:rPr>
          <w:rFonts w:ascii="Arial" w:hAnsi="Arial" w:cs="Arial"/>
          <w:sz w:val="24"/>
          <w:szCs w:val="24"/>
        </w:rPr>
        <w:fldChar w:fldCharType="end"/>
      </w:r>
      <w:r w:rsidRPr="00E54F86">
        <w:rPr>
          <w:rFonts w:ascii="Arial" w:hAnsi="Arial" w:cs="Arial"/>
          <w:sz w:val="24"/>
          <w:szCs w:val="24"/>
        </w:rPr>
        <w:t xml:space="preserve"> treated patients suffering from antibiotic-refractory CMV infection with a mean of 2.13×10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(matched and mismatched donors; range: 0.12×10</w:t>
      </w:r>
      <w:r w:rsidRPr="00E54F86">
        <w:rPr>
          <w:rFonts w:ascii="Arial" w:hAnsi="Arial" w:cs="Arial"/>
          <w:sz w:val="24"/>
          <w:szCs w:val="24"/>
          <w:vertAlign w:val="superscript"/>
        </w:rPr>
        <w:t>4</w:t>
      </w:r>
      <w:r w:rsidRPr="00E54F86">
        <w:rPr>
          <w:rFonts w:ascii="Arial" w:hAnsi="Arial" w:cs="Arial"/>
          <w:sz w:val="24"/>
          <w:szCs w:val="24"/>
        </w:rPr>
        <w:t xml:space="preserve"> to 1.66×10</w:t>
      </w:r>
      <w:r w:rsidRPr="00E54F86">
        <w:rPr>
          <w:rFonts w:ascii="Arial" w:hAnsi="Arial" w:cs="Arial"/>
          <w:sz w:val="24"/>
          <w:szCs w:val="24"/>
          <w:vertAlign w:val="superscript"/>
        </w:rPr>
        <w:t>5</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One patient developed acute GVHD. In this </w:t>
      </w:r>
      <w:r w:rsidRPr="00E54F86">
        <w:rPr>
          <w:rFonts w:ascii="Arial" w:hAnsi="Arial" w:cs="Arial"/>
          <w:sz w:val="24"/>
          <w:szCs w:val="24"/>
        </w:rPr>
        <w:lastRenderedPageBreak/>
        <w:t xml:space="preserve">setting, treatment success in terms of viral clearance was not related to the T-cell dose, and very low doses were sufficient to enable T cell in vivo-expansion. Moosmann et al. </w:t>
      </w:r>
      <w:r w:rsidRPr="00E54F86">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44</w:t>
      </w:r>
      <w:r w:rsidRPr="00E54F86">
        <w:rPr>
          <w:rFonts w:ascii="Arial" w:hAnsi="Arial" w:cs="Arial"/>
          <w:sz w:val="24"/>
          <w:szCs w:val="24"/>
        </w:rPr>
        <w:fldChar w:fldCharType="end"/>
      </w:r>
      <w:r w:rsidRPr="00E54F86">
        <w:rPr>
          <w:rFonts w:ascii="Arial" w:hAnsi="Arial" w:cs="Arial"/>
          <w:sz w:val="24"/>
          <w:szCs w:val="24"/>
        </w:rPr>
        <w:t xml:space="preserve"> used transfer of virus-specific T cells for treatment of patients suffering from EBV PTLD. Patients received a mean of 5.8×10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(range: 0.4×10</w:t>
      </w:r>
      <w:r w:rsidRPr="00E54F86">
        <w:rPr>
          <w:rFonts w:ascii="Arial" w:hAnsi="Arial" w:cs="Arial"/>
          <w:sz w:val="24"/>
          <w:szCs w:val="24"/>
          <w:vertAlign w:val="superscript"/>
        </w:rPr>
        <w:t>4</w:t>
      </w:r>
      <w:r w:rsidRPr="00E54F86">
        <w:rPr>
          <w:rFonts w:ascii="Arial" w:hAnsi="Arial" w:cs="Arial"/>
          <w:sz w:val="24"/>
          <w:szCs w:val="24"/>
        </w:rPr>
        <w:t xml:space="preserve"> to 9.7×10</w:t>
      </w:r>
      <w:r w:rsidRPr="00E54F86">
        <w:rPr>
          <w:rFonts w:ascii="Arial" w:hAnsi="Arial" w:cs="Arial"/>
          <w:sz w:val="24"/>
          <w:szCs w:val="24"/>
          <w:vertAlign w:val="superscript"/>
        </w:rPr>
        <w:t>4</w:t>
      </w:r>
      <w:r w:rsidRPr="00E54F86">
        <w:rPr>
          <w:rFonts w:ascii="Arial" w:hAnsi="Arial" w:cs="Arial"/>
          <w:sz w:val="24"/>
          <w:szCs w:val="24"/>
        </w:rPr>
        <w:t xml:space="preserve"> cells/kg). Three patients with late-stage PTLD at the time of T-cell transfer died despite treatment.  No AEs related to the infused product have been reported for these patients, and possibility of GVHD occurrence cannot be assessed. In three early-stage patients remission of PTLD was observed. No GVHD occurred in these three patients. The mean cell number for adoptive transfer of EBV-specific T cells reported by Icheva et al was 5.8x10</w:t>
      </w:r>
      <w:r w:rsidRPr="00E54F86">
        <w:rPr>
          <w:rFonts w:ascii="Arial" w:hAnsi="Arial" w:cs="Arial"/>
          <w:sz w:val="24"/>
          <w:szCs w:val="24"/>
          <w:vertAlign w:val="superscript"/>
        </w:rPr>
        <w:t>3</w:t>
      </w:r>
      <w:r w:rsidRPr="00E54F86">
        <w:rPr>
          <w:rFonts w:ascii="Arial" w:hAnsi="Arial" w:cs="Arial"/>
          <w:sz w:val="24"/>
          <w:szCs w:val="24"/>
        </w:rPr>
        <w:t xml:space="preserve"> /kg, ranging from 0.15 to 53x10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w:t>
      </w:r>
      <w:r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E54F86">
        <w:rPr>
          <w:rFonts w:ascii="Arial" w:hAnsi="Arial" w:cs="Arial"/>
          <w:noProof/>
          <w:sz w:val="24"/>
          <w:szCs w:val="24"/>
          <w:vertAlign w:val="superscript"/>
        </w:rPr>
        <w:t>18</w:t>
      </w:r>
      <w:r w:rsidRPr="00E54F86">
        <w:rPr>
          <w:rFonts w:ascii="Arial" w:hAnsi="Arial" w:cs="Arial"/>
          <w:sz w:val="24"/>
          <w:szCs w:val="24"/>
        </w:rPr>
        <w:fldChar w:fldCharType="end"/>
      </w:r>
      <w:r w:rsidRPr="00E54F86">
        <w:rPr>
          <w:rFonts w:ascii="Arial" w:hAnsi="Arial" w:cs="Arial"/>
          <w:sz w:val="24"/>
          <w:szCs w:val="24"/>
        </w:rPr>
        <w:t xml:space="preserve"> .  One of the patients responded to the lowest dose of 0.15x10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Patients suffering from systemic AdV infection were treated in another pilot study by Feuchtinger et al. </w:t>
      </w:r>
      <w:r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E54F86">
        <w:rPr>
          <w:rFonts w:ascii="Arial" w:hAnsi="Arial" w:cs="Arial"/>
          <w:sz w:val="24"/>
          <w:szCs w:val="24"/>
        </w:rPr>
      </w:r>
      <w:r w:rsidRPr="00E54F86">
        <w:rPr>
          <w:rFonts w:ascii="Arial" w:hAnsi="Arial" w:cs="Arial"/>
          <w:sz w:val="24"/>
          <w:szCs w:val="24"/>
        </w:rPr>
        <w:fldChar w:fldCharType="separate"/>
      </w:r>
      <w:r w:rsidRPr="005E7C68">
        <w:rPr>
          <w:rFonts w:ascii="Arial" w:hAnsi="Arial" w:cs="Arial"/>
          <w:noProof/>
          <w:sz w:val="24"/>
          <w:szCs w:val="24"/>
          <w:vertAlign w:val="superscript"/>
        </w:rPr>
        <w:t>43</w:t>
      </w:r>
      <w:r w:rsidRPr="00E54F86">
        <w:rPr>
          <w:rFonts w:ascii="Arial" w:hAnsi="Arial" w:cs="Arial"/>
          <w:sz w:val="24"/>
          <w:szCs w:val="24"/>
        </w:rPr>
        <w:fldChar w:fldCharType="end"/>
      </w:r>
      <w:r w:rsidRPr="00E54F86">
        <w:rPr>
          <w:rFonts w:ascii="Arial" w:hAnsi="Arial" w:cs="Arial"/>
          <w:sz w:val="24"/>
          <w:szCs w:val="24"/>
        </w:rPr>
        <w:t xml:space="preserve"> with a mean of 1.4×10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(ranging from 0.12×10</w:t>
      </w:r>
      <w:r w:rsidRPr="00E54F86">
        <w:rPr>
          <w:rFonts w:ascii="Arial" w:hAnsi="Arial" w:cs="Arial"/>
          <w:sz w:val="24"/>
          <w:szCs w:val="24"/>
          <w:vertAlign w:val="superscript"/>
        </w:rPr>
        <w:t>4</w:t>
      </w:r>
      <w:r w:rsidRPr="00E54F86">
        <w:rPr>
          <w:rFonts w:ascii="Arial" w:hAnsi="Arial" w:cs="Arial"/>
          <w:sz w:val="24"/>
          <w:szCs w:val="24"/>
        </w:rPr>
        <w:t xml:space="preserve"> to 5×10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Patients clearing the infection in this study had received remarkable low numbers of virus-specific T cells (range: 0.12 to 0.6×10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In one patient aggravation of pre-existing chronic GVHD of the skin was observed. </w:t>
      </w:r>
    </w:p>
    <w:p w14:paraId="2DB13813" w14:textId="77777777" w:rsidR="00A53578" w:rsidRPr="00E54F86" w:rsidRDefault="00A53578" w:rsidP="00A53578">
      <w:pPr>
        <w:spacing w:after="120"/>
        <w:rPr>
          <w:rFonts w:ascii="Arial" w:hAnsi="Arial" w:cs="Arial"/>
          <w:sz w:val="24"/>
          <w:szCs w:val="24"/>
        </w:rPr>
      </w:pPr>
      <w:r w:rsidRPr="00E54F86">
        <w:rPr>
          <w:rFonts w:ascii="Arial" w:hAnsi="Arial" w:cs="Arial"/>
          <w:sz w:val="24"/>
          <w:szCs w:val="24"/>
        </w:rPr>
        <w:t>Thus, overall, pilot studies in 61 patients suffering from viral infections have shown promising therapeutic results after transfer of comparatively low numbers of specifically selected T cells and a highly satisfactory safety profile for such doses. Therapeutic doses chosen for the CMV-specific T cells are expected to provide the necessary treatment/prophylactic efficacy without raising safety problems. Furthermore, doses are adjusted for matched versus mismatched donors to reduce any risk of inducing GVHD in the latter setting. In this study the maximum dose is set at 2.5 × 10</w:t>
      </w:r>
      <w:r w:rsidRPr="00E54F86">
        <w:rPr>
          <w:rFonts w:ascii="Arial" w:hAnsi="Arial" w:cs="Arial"/>
          <w:sz w:val="24"/>
          <w:szCs w:val="24"/>
          <w:vertAlign w:val="superscript"/>
        </w:rPr>
        <w:t>4</w:t>
      </w:r>
      <w:r w:rsidRPr="00E54F86">
        <w:rPr>
          <w:rFonts w:ascii="Arial" w:hAnsi="Arial" w:cs="Arial"/>
          <w:sz w:val="24"/>
          <w:szCs w:val="24"/>
        </w:rPr>
        <w:t> T cells/kg for the virus-specific T cells from HLA matched donors and 0.5 × 10</w:t>
      </w:r>
      <w:r w:rsidRPr="00E54F86">
        <w:rPr>
          <w:rFonts w:ascii="Arial" w:hAnsi="Arial" w:cs="Arial"/>
          <w:sz w:val="24"/>
          <w:szCs w:val="24"/>
          <w:vertAlign w:val="superscript"/>
        </w:rPr>
        <w:t>4</w:t>
      </w:r>
      <w:r w:rsidRPr="00E54F86">
        <w:rPr>
          <w:rFonts w:ascii="Arial" w:hAnsi="Arial" w:cs="Arial"/>
          <w:sz w:val="24"/>
          <w:szCs w:val="24"/>
        </w:rPr>
        <w:t> T cells/kg for virus-specific T cells from HLA mismatched donors. No minimum thresholds are set. Of note, the threshold for GVHD is around 5 x 10</w:t>
      </w:r>
      <w:r w:rsidRPr="00E54F86">
        <w:rPr>
          <w:rFonts w:ascii="Arial" w:hAnsi="Arial" w:cs="Arial"/>
          <w:sz w:val="24"/>
          <w:szCs w:val="24"/>
          <w:vertAlign w:val="superscript"/>
        </w:rPr>
        <w:t>4</w:t>
      </w:r>
      <w:r w:rsidRPr="00E54F86">
        <w:rPr>
          <w:rFonts w:ascii="Arial" w:hAnsi="Arial" w:cs="Arial"/>
          <w:sz w:val="24"/>
          <w:szCs w:val="24"/>
        </w:rPr>
        <w:t xml:space="preserve">/kg CD3+ so these doses are under this threshold. </w:t>
      </w:r>
    </w:p>
    <w:p w14:paraId="3A5EAC74" w14:textId="77777777" w:rsidR="00A53578" w:rsidRDefault="00A53578"/>
    <w:p w14:paraId="115379F0" w14:textId="45AAA1BF" w:rsidR="00A53578" w:rsidRDefault="00EE713C">
      <w:pPr>
        <w:rPr>
          <w:rFonts w:ascii="Arial" w:hAnsi="Arial" w:cs="Arial"/>
          <w:b/>
          <w:sz w:val="24"/>
          <w:szCs w:val="24"/>
        </w:rPr>
      </w:pPr>
      <w:r>
        <w:rPr>
          <w:rFonts w:ascii="Arial" w:hAnsi="Arial" w:cs="Arial"/>
          <w:b/>
          <w:sz w:val="24"/>
          <w:szCs w:val="24"/>
        </w:rPr>
        <w:t xml:space="preserve">2.0  </w:t>
      </w:r>
      <w:r w:rsidR="00A53578" w:rsidRPr="00A53578">
        <w:rPr>
          <w:rFonts w:ascii="Arial" w:hAnsi="Arial" w:cs="Arial"/>
          <w:b/>
          <w:sz w:val="24"/>
          <w:szCs w:val="24"/>
        </w:rPr>
        <w:t xml:space="preserve">Brief Clinical </w:t>
      </w:r>
      <w:r w:rsidR="00A53578">
        <w:rPr>
          <w:rFonts w:ascii="Arial" w:hAnsi="Arial" w:cs="Arial"/>
          <w:b/>
          <w:sz w:val="24"/>
          <w:szCs w:val="24"/>
        </w:rPr>
        <w:t>History and Rationale for Use in this patient</w:t>
      </w:r>
    </w:p>
    <w:p w14:paraId="6251BF5A" w14:textId="77777777" w:rsidR="00A53578" w:rsidRPr="00A53578" w:rsidRDefault="00A53578">
      <w:pPr>
        <w:rPr>
          <w:rFonts w:ascii="Arial" w:hAnsi="Arial" w:cs="Arial"/>
          <w:sz w:val="24"/>
          <w:szCs w:val="24"/>
        </w:rPr>
      </w:pPr>
    </w:p>
    <w:p w14:paraId="76AC195B" w14:textId="77777777" w:rsidR="00A53578" w:rsidRPr="00A53578" w:rsidRDefault="00A53578" w:rsidP="00A53578">
      <w:pPr>
        <w:rPr>
          <w:rFonts w:ascii="Arial" w:hAnsi="Arial" w:cs="Arial"/>
          <w:sz w:val="24"/>
          <w:szCs w:val="24"/>
        </w:rPr>
      </w:pPr>
      <w:r w:rsidRPr="00A53578">
        <w:rPr>
          <w:rFonts w:ascii="Arial" w:hAnsi="Arial" w:cs="Arial"/>
          <w:b/>
          <w:bCs/>
          <w:sz w:val="24"/>
          <w:szCs w:val="24"/>
        </w:rPr>
        <w:t>Age:</w:t>
      </w:r>
      <w:r w:rsidRPr="00A53578">
        <w:rPr>
          <w:rFonts w:ascii="Arial" w:hAnsi="Arial" w:cs="Arial"/>
          <w:sz w:val="24"/>
          <w:szCs w:val="24"/>
        </w:rPr>
        <w:t xml:space="preserve"> 15 month old </w:t>
      </w:r>
    </w:p>
    <w:p w14:paraId="4355A29B" w14:textId="77777777" w:rsidR="00A53578" w:rsidRPr="00A53578" w:rsidRDefault="00A53578" w:rsidP="00A53578">
      <w:pPr>
        <w:rPr>
          <w:rFonts w:ascii="Arial" w:hAnsi="Arial" w:cs="Arial"/>
          <w:sz w:val="24"/>
          <w:szCs w:val="24"/>
        </w:rPr>
      </w:pPr>
      <w:r w:rsidRPr="00A53578">
        <w:rPr>
          <w:rFonts w:ascii="Arial" w:hAnsi="Arial" w:cs="Arial"/>
          <w:b/>
          <w:bCs/>
          <w:sz w:val="24"/>
          <w:szCs w:val="24"/>
        </w:rPr>
        <w:t>Gender:</w:t>
      </w:r>
      <w:r w:rsidRPr="00A53578">
        <w:rPr>
          <w:rFonts w:ascii="Arial" w:hAnsi="Arial" w:cs="Arial"/>
          <w:sz w:val="24"/>
          <w:szCs w:val="24"/>
        </w:rPr>
        <w:t xml:space="preserve"> Male</w:t>
      </w:r>
    </w:p>
    <w:p w14:paraId="474BF989" w14:textId="77777777" w:rsidR="00A53578" w:rsidRPr="00A53578" w:rsidRDefault="00A53578" w:rsidP="00A53578">
      <w:pPr>
        <w:rPr>
          <w:rFonts w:ascii="Arial" w:hAnsi="Arial" w:cs="Arial"/>
          <w:sz w:val="24"/>
          <w:szCs w:val="24"/>
        </w:rPr>
      </w:pPr>
      <w:r w:rsidRPr="00A53578">
        <w:rPr>
          <w:rFonts w:ascii="Arial" w:hAnsi="Arial" w:cs="Arial"/>
          <w:b/>
          <w:bCs/>
          <w:sz w:val="24"/>
          <w:szCs w:val="24"/>
        </w:rPr>
        <w:t>Weight</w:t>
      </w:r>
      <w:r w:rsidRPr="00A53578">
        <w:rPr>
          <w:rFonts w:ascii="Arial" w:hAnsi="Arial" w:cs="Arial"/>
          <w:sz w:val="24"/>
          <w:szCs w:val="24"/>
        </w:rPr>
        <w:t>: 10.7kg</w:t>
      </w:r>
    </w:p>
    <w:p w14:paraId="48B0E5D2" w14:textId="77777777" w:rsidR="00A53578" w:rsidRPr="00A53578" w:rsidRDefault="00A53578" w:rsidP="00A53578">
      <w:pPr>
        <w:rPr>
          <w:rFonts w:ascii="Arial" w:hAnsi="Arial" w:cs="Arial"/>
          <w:sz w:val="24"/>
          <w:szCs w:val="24"/>
        </w:rPr>
      </w:pPr>
      <w:r w:rsidRPr="00A53578">
        <w:rPr>
          <w:rFonts w:ascii="Arial" w:hAnsi="Arial" w:cs="Arial"/>
          <w:b/>
          <w:bCs/>
          <w:sz w:val="24"/>
          <w:szCs w:val="24"/>
        </w:rPr>
        <w:t>Allergies</w:t>
      </w:r>
      <w:r w:rsidRPr="00A53578">
        <w:rPr>
          <w:rFonts w:ascii="Arial" w:hAnsi="Arial" w:cs="Arial"/>
          <w:sz w:val="24"/>
          <w:szCs w:val="24"/>
        </w:rPr>
        <w:t>: Topical chlorhexidine</w:t>
      </w:r>
    </w:p>
    <w:p w14:paraId="456D7617" w14:textId="77777777" w:rsidR="00A53578" w:rsidRPr="00A53578" w:rsidRDefault="00A53578" w:rsidP="00A53578">
      <w:pPr>
        <w:rPr>
          <w:rFonts w:ascii="Arial" w:hAnsi="Arial" w:cs="Arial"/>
          <w:sz w:val="24"/>
          <w:szCs w:val="24"/>
        </w:rPr>
      </w:pPr>
      <w:r w:rsidRPr="00A53578">
        <w:rPr>
          <w:rFonts w:ascii="Arial" w:hAnsi="Arial" w:cs="Arial"/>
          <w:b/>
          <w:bCs/>
          <w:sz w:val="24"/>
          <w:szCs w:val="24"/>
        </w:rPr>
        <w:t>Diagnosis:</w:t>
      </w:r>
      <w:r w:rsidRPr="00A53578">
        <w:rPr>
          <w:rFonts w:ascii="Arial" w:hAnsi="Arial" w:cs="Arial"/>
          <w:sz w:val="24"/>
          <w:szCs w:val="24"/>
        </w:rPr>
        <w:t xml:space="preserve"> RAG1 mutation, SCID post umbilical cord stem cell transplant (with a prep of now with history of CMV disease now with recurrent CMV viremia</w:t>
      </w:r>
    </w:p>
    <w:p w14:paraId="3B8CE4C2" w14:textId="77777777" w:rsidR="006112F7" w:rsidRDefault="006112F7" w:rsidP="00A53578">
      <w:pPr>
        <w:rPr>
          <w:rFonts w:ascii="Arial" w:hAnsi="Arial" w:cs="Arial"/>
          <w:b/>
          <w:bCs/>
          <w:sz w:val="24"/>
          <w:szCs w:val="24"/>
        </w:rPr>
      </w:pPr>
    </w:p>
    <w:p w14:paraId="1358312A" w14:textId="775CBB5D" w:rsidR="00A53578" w:rsidRPr="00A53578" w:rsidRDefault="00A53578" w:rsidP="00A53578">
      <w:pPr>
        <w:rPr>
          <w:rFonts w:ascii="Arial" w:hAnsi="Arial" w:cs="Arial"/>
          <w:b/>
          <w:bCs/>
          <w:sz w:val="24"/>
          <w:szCs w:val="24"/>
        </w:rPr>
      </w:pPr>
      <w:r w:rsidRPr="00A53578">
        <w:rPr>
          <w:rFonts w:ascii="Arial" w:hAnsi="Arial" w:cs="Arial"/>
          <w:b/>
          <w:bCs/>
          <w:sz w:val="24"/>
          <w:szCs w:val="24"/>
        </w:rPr>
        <w:t xml:space="preserve">Prior Therapy for CMV viremia: </w:t>
      </w:r>
    </w:p>
    <w:p w14:paraId="3962E5CF" w14:textId="77777777" w:rsidR="00A53578" w:rsidRPr="00A53578" w:rsidRDefault="00A53578" w:rsidP="00A53578">
      <w:pPr>
        <w:rPr>
          <w:rFonts w:ascii="Arial" w:hAnsi="Arial" w:cs="Arial"/>
          <w:sz w:val="24"/>
          <w:szCs w:val="24"/>
        </w:rPr>
      </w:pPr>
      <w:r w:rsidRPr="00A53578">
        <w:rPr>
          <w:rFonts w:ascii="Arial" w:hAnsi="Arial" w:cs="Arial"/>
          <w:sz w:val="24"/>
          <w:szCs w:val="24"/>
        </w:rPr>
        <w:t xml:space="preserve">This patient had retinitis and pneumonitis, treated with IV Ganciclovir for 21 days, then transitioned to PO valganciclovir with continued fluctuation of CMV viremia. It was decided to proceed to stem cell transplant and IV ganciclovir was restarted to suppress viral load prior to stem cell transplant until Day 0. Prior to day 0, he had liver transaminitis which was thought to be a side effect of ganciclovir and was then transitioned to IV foscarnet during preparative regimen with improvement of transaminitis. He transitioned back to IV ganciclovir briefly for a week prior to Day 0 due to rise in CMV levels, however since his stem cell transplant (day 0) he has been on </w:t>
      </w:r>
      <w:r w:rsidRPr="00A53578">
        <w:rPr>
          <w:rFonts w:ascii="Arial" w:hAnsi="Arial" w:cs="Arial"/>
          <w:sz w:val="24"/>
          <w:szCs w:val="24"/>
        </w:rPr>
        <w:lastRenderedPageBreak/>
        <w:t xml:space="preserve">foscarnet IV, which is his current therapy. He is unable to be on IV ganciclovir due to his recent stem cell transplant and concern for myelosuppression and engraftment failure. </w:t>
      </w:r>
    </w:p>
    <w:p w14:paraId="3EB1B47B" w14:textId="77777777" w:rsidR="006112F7" w:rsidRDefault="006112F7" w:rsidP="00A53578">
      <w:pPr>
        <w:rPr>
          <w:rFonts w:ascii="Arial" w:hAnsi="Arial" w:cs="Arial"/>
          <w:b/>
          <w:bCs/>
          <w:sz w:val="24"/>
          <w:szCs w:val="24"/>
        </w:rPr>
      </w:pPr>
    </w:p>
    <w:p w14:paraId="22170FF7" w14:textId="53354C01" w:rsidR="00A53578" w:rsidRPr="00A53578" w:rsidRDefault="00A53578" w:rsidP="00A53578">
      <w:pPr>
        <w:rPr>
          <w:rFonts w:ascii="Arial" w:hAnsi="Arial" w:cs="Arial"/>
          <w:b/>
          <w:bCs/>
          <w:sz w:val="24"/>
          <w:szCs w:val="24"/>
        </w:rPr>
      </w:pPr>
      <w:r w:rsidRPr="00A53578">
        <w:rPr>
          <w:rFonts w:ascii="Arial" w:hAnsi="Arial" w:cs="Arial"/>
          <w:b/>
          <w:bCs/>
          <w:sz w:val="24"/>
          <w:szCs w:val="24"/>
        </w:rPr>
        <w:t xml:space="preserve">Response to therapy (please reference table below):  </w:t>
      </w:r>
    </w:p>
    <w:p w14:paraId="69CC416F" w14:textId="77777777" w:rsidR="00A53578" w:rsidRPr="00A53578" w:rsidRDefault="00A53578" w:rsidP="00A53578">
      <w:pPr>
        <w:rPr>
          <w:rFonts w:ascii="Arial" w:hAnsi="Arial" w:cs="Arial"/>
          <w:sz w:val="24"/>
          <w:szCs w:val="24"/>
        </w:rPr>
      </w:pPr>
      <w:r w:rsidRPr="00A53578">
        <w:rPr>
          <w:rFonts w:ascii="Arial" w:hAnsi="Arial" w:cs="Arial"/>
          <w:sz w:val="24"/>
          <w:szCs w:val="24"/>
        </w:rPr>
        <w:t>Initial CMV diagnosis in May 2023, he had serum CMB levels of up to 10,600 IU/ml. At this time he had retinitis and CMV pneumonitis. BAL revealed approximately 620,000 IU/ml of CMV. After 21 days of ganciclovir he was transitioned to PO valganciclovir and his serum CMV PCR levels ranged from 186 to 550IU/ml. When he was admitted for IV Ganciclovir prior to SCT his serum PCR level was 66 and ranged from 66 to 365 IU/ml prior to day 0. After he received his stem cell infusion his serum CMV PCR levels increased from 666 IU/ml on Day +2 post stem cell transplant, 11,600 IU/ml on day +6 and 5,070 IU/ml on Day +9. His CMV retinitis was diagnosed in May 2023, on his next ophthalmology exam in October 2023 and again on November 21, 2023 were negative for active CMV retinitis. His BAL was not repeated from his initial diagnosis in May 2023, but his respiratory symptoms improved from May and were at baseline prior to stem cell transplant. He currently has mild hypoxia and tachypnea which is likely related to fluid overload and mucositis post his stem cell transplant.</w:t>
      </w:r>
    </w:p>
    <w:p w14:paraId="5BF71CD5" w14:textId="77777777" w:rsidR="00A53578" w:rsidRPr="00A53578" w:rsidRDefault="00A53578" w:rsidP="00A53578">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3113"/>
        <w:gridCol w:w="3114"/>
        <w:gridCol w:w="3113"/>
      </w:tblGrid>
      <w:tr w:rsidR="00A53578" w:rsidRPr="00A53578" w14:paraId="0F38F912" w14:textId="77777777" w:rsidTr="00305657">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1A0B98"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Date Range (Inpatient Admissions) </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B957F"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Drug </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2E35C" w14:textId="77777777" w:rsidR="00A53578" w:rsidRPr="00A53578" w:rsidRDefault="00A53578" w:rsidP="00305657">
            <w:pPr>
              <w:rPr>
                <w:rFonts w:ascii="Arial" w:hAnsi="Arial" w:cs="Arial"/>
                <w:sz w:val="24"/>
                <w:szCs w:val="24"/>
              </w:rPr>
            </w:pPr>
            <w:r w:rsidRPr="00A53578">
              <w:rPr>
                <w:rFonts w:ascii="Arial" w:hAnsi="Arial" w:cs="Arial"/>
                <w:sz w:val="24"/>
                <w:szCs w:val="24"/>
              </w:rPr>
              <w:t>Viral Copies of CMV (range) IU/ml</w:t>
            </w:r>
          </w:p>
        </w:tc>
      </w:tr>
      <w:tr w:rsidR="00A53578" w:rsidRPr="00A53578" w14:paraId="410F03EF"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E74E" w14:textId="77777777" w:rsidR="00A53578" w:rsidRPr="00A53578" w:rsidRDefault="00A53578" w:rsidP="00305657">
            <w:pPr>
              <w:rPr>
                <w:rFonts w:ascii="Arial" w:hAnsi="Arial" w:cs="Arial"/>
                <w:sz w:val="24"/>
                <w:szCs w:val="24"/>
              </w:rPr>
            </w:pPr>
            <w:r w:rsidRPr="00A53578">
              <w:rPr>
                <w:rFonts w:ascii="Arial" w:hAnsi="Arial" w:cs="Arial"/>
                <w:sz w:val="24"/>
                <w:szCs w:val="24"/>
              </w:rPr>
              <w:t>5/13/23-6/6/23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53164EB" w14:textId="77777777" w:rsidR="00A53578" w:rsidRPr="00A53578" w:rsidRDefault="00A53578" w:rsidP="00305657">
            <w:pPr>
              <w:rPr>
                <w:rFonts w:ascii="Arial" w:hAnsi="Arial" w:cs="Arial"/>
                <w:sz w:val="24"/>
                <w:szCs w:val="24"/>
              </w:rPr>
            </w:pPr>
            <w:r w:rsidRPr="00A53578">
              <w:rPr>
                <w:rFonts w:ascii="Arial" w:hAnsi="Arial" w:cs="Arial"/>
                <w:sz w:val="24"/>
                <w:szCs w:val="24"/>
              </w:rPr>
              <w:t>IV Ganciclovir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F94D15" w14:textId="77777777" w:rsidR="00A53578" w:rsidRPr="00A53578" w:rsidRDefault="00A53578" w:rsidP="00305657">
            <w:pPr>
              <w:rPr>
                <w:rFonts w:ascii="Arial" w:hAnsi="Arial" w:cs="Arial"/>
                <w:sz w:val="24"/>
                <w:szCs w:val="24"/>
              </w:rPr>
            </w:pPr>
            <w:r w:rsidRPr="00A53578">
              <w:rPr>
                <w:rFonts w:ascii="Arial" w:hAnsi="Arial" w:cs="Arial"/>
                <w:sz w:val="24"/>
                <w:szCs w:val="24"/>
              </w:rPr>
              <w:t>455-10,600</w:t>
            </w:r>
          </w:p>
        </w:tc>
      </w:tr>
      <w:tr w:rsidR="00A53578" w:rsidRPr="00A53578" w14:paraId="44ABE7DD"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6B17A" w14:textId="77777777" w:rsidR="00A53578" w:rsidRPr="00A53578" w:rsidRDefault="00A53578" w:rsidP="00305657">
            <w:pPr>
              <w:rPr>
                <w:rFonts w:ascii="Arial" w:hAnsi="Arial" w:cs="Arial"/>
                <w:sz w:val="24"/>
                <w:szCs w:val="24"/>
              </w:rPr>
            </w:pPr>
            <w:r w:rsidRPr="00A53578">
              <w:rPr>
                <w:rFonts w:ascii="Arial" w:hAnsi="Arial" w:cs="Arial"/>
                <w:sz w:val="24"/>
                <w:szCs w:val="24"/>
              </w:rPr>
              <w:t>6/6-6/8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9A3845E"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PO Valganciclovir à DC home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119C51E" w14:textId="77777777" w:rsidR="00A53578" w:rsidRPr="00A53578" w:rsidRDefault="00A53578" w:rsidP="00305657">
            <w:pPr>
              <w:rPr>
                <w:rFonts w:ascii="Arial" w:hAnsi="Arial" w:cs="Arial"/>
                <w:sz w:val="24"/>
                <w:szCs w:val="24"/>
              </w:rPr>
            </w:pPr>
            <w:r w:rsidRPr="00A53578">
              <w:rPr>
                <w:rFonts w:ascii="Arial" w:hAnsi="Arial" w:cs="Arial"/>
                <w:sz w:val="24"/>
                <w:szCs w:val="24"/>
              </w:rPr>
              <w:t>243</w:t>
            </w:r>
          </w:p>
        </w:tc>
      </w:tr>
      <w:tr w:rsidR="00A53578" w:rsidRPr="00A53578" w14:paraId="042424DA"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AEC91" w14:textId="77777777" w:rsidR="00A53578" w:rsidRPr="00A53578" w:rsidRDefault="00A53578" w:rsidP="00305657">
            <w:pPr>
              <w:rPr>
                <w:rFonts w:ascii="Arial" w:hAnsi="Arial" w:cs="Arial"/>
                <w:sz w:val="24"/>
                <w:szCs w:val="24"/>
              </w:rPr>
            </w:pPr>
            <w:r w:rsidRPr="00A53578">
              <w:rPr>
                <w:rFonts w:ascii="Arial" w:hAnsi="Arial" w:cs="Arial"/>
                <w:sz w:val="24"/>
                <w:szCs w:val="24"/>
              </w:rPr>
              <w:t>6/21-6/27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C824400" w14:textId="77777777" w:rsidR="00A53578" w:rsidRPr="00A53578" w:rsidRDefault="00A53578" w:rsidP="00305657">
            <w:pPr>
              <w:rPr>
                <w:rFonts w:ascii="Arial" w:hAnsi="Arial" w:cs="Arial"/>
                <w:sz w:val="24"/>
                <w:szCs w:val="24"/>
              </w:rPr>
            </w:pPr>
            <w:r w:rsidRPr="00A53578">
              <w:rPr>
                <w:rFonts w:ascii="Arial" w:hAnsi="Arial" w:cs="Arial"/>
                <w:sz w:val="24"/>
                <w:szCs w:val="24"/>
              </w:rPr>
              <w:t>PO Valganciclovir à DC home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C779F39" w14:textId="77777777" w:rsidR="00A53578" w:rsidRPr="00A53578" w:rsidRDefault="00A53578" w:rsidP="00305657">
            <w:pPr>
              <w:rPr>
                <w:rFonts w:ascii="Arial" w:hAnsi="Arial" w:cs="Arial"/>
                <w:sz w:val="24"/>
                <w:szCs w:val="24"/>
              </w:rPr>
            </w:pPr>
            <w:r w:rsidRPr="00A53578">
              <w:rPr>
                <w:rFonts w:ascii="Arial" w:hAnsi="Arial" w:cs="Arial"/>
                <w:sz w:val="24"/>
                <w:szCs w:val="24"/>
              </w:rPr>
              <w:t>186-550</w:t>
            </w:r>
          </w:p>
        </w:tc>
      </w:tr>
      <w:tr w:rsidR="00A53578" w:rsidRPr="00A53578" w14:paraId="76A68295"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67C2F" w14:textId="77777777" w:rsidR="00A53578" w:rsidRPr="00A53578" w:rsidRDefault="00A53578" w:rsidP="00305657">
            <w:pPr>
              <w:rPr>
                <w:rFonts w:ascii="Arial" w:hAnsi="Arial" w:cs="Arial"/>
                <w:sz w:val="24"/>
                <w:szCs w:val="24"/>
              </w:rPr>
            </w:pPr>
            <w:r w:rsidRPr="00A53578">
              <w:rPr>
                <w:rFonts w:ascii="Arial" w:hAnsi="Arial" w:cs="Arial"/>
                <w:sz w:val="24"/>
                <w:szCs w:val="24"/>
              </w:rPr>
              <w:t>10/2-10/19; admit for IV therapy due to lack of response and protective isolation pre-HSCT workup, switched due to LFT elevation to IV Foscarnet below</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2F711BC" w14:textId="77777777" w:rsidR="00A53578" w:rsidRPr="00A53578" w:rsidRDefault="00A53578" w:rsidP="00305657">
            <w:pPr>
              <w:rPr>
                <w:rFonts w:ascii="Arial" w:hAnsi="Arial" w:cs="Arial"/>
                <w:sz w:val="24"/>
                <w:szCs w:val="24"/>
              </w:rPr>
            </w:pPr>
            <w:r w:rsidRPr="00A53578">
              <w:rPr>
                <w:rFonts w:ascii="Arial" w:hAnsi="Arial" w:cs="Arial"/>
                <w:sz w:val="24"/>
                <w:szCs w:val="24"/>
              </w:rPr>
              <w:t>IV Ganciclovir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701A1C" w14:textId="77777777" w:rsidR="00A53578" w:rsidRPr="00A53578" w:rsidRDefault="00A53578" w:rsidP="00305657">
            <w:pPr>
              <w:rPr>
                <w:rFonts w:ascii="Arial" w:hAnsi="Arial" w:cs="Arial"/>
                <w:sz w:val="24"/>
                <w:szCs w:val="24"/>
              </w:rPr>
            </w:pPr>
            <w:r w:rsidRPr="00A53578">
              <w:rPr>
                <w:rFonts w:ascii="Arial" w:hAnsi="Arial" w:cs="Arial"/>
                <w:sz w:val="24"/>
                <w:szCs w:val="24"/>
              </w:rPr>
              <w:t>66-204</w:t>
            </w:r>
          </w:p>
        </w:tc>
      </w:tr>
      <w:tr w:rsidR="00A53578" w:rsidRPr="00A53578" w14:paraId="6A3B978E"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C79E0" w14:textId="77777777" w:rsidR="00A53578" w:rsidRPr="00A53578" w:rsidRDefault="00A53578" w:rsidP="00305657">
            <w:pPr>
              <w:rPr>
                <w:rFonts w:ascii="Arial" w:hAnsi="Arial" w:cs="Arial"/>
                <w:sz w:val="24"/>
                <w:szCs w:val="24"/>
              </w:rPr>
            </w:pPr>
            <w:r w:rsidRPr="00A53578">
              <w:rPr>
                <w:rFonts w:ascii="Arial" w:hAnsi="Arial" w:cs="Arial"/>
                <w:sz w:val="24"/>
                <w:szCs w:val="24"/>
              </w:rPr>
              <w:t>10/19-11/7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70C6802" w14:textId="77777777" w:rsidR="00A53578" w:rsidRPr="00A53578" w:rsidRDefault="00A53578" w:rsidP="00305657">
            <w:pPr>
              <w:rPr>
                <w:rFonts w:ascii="Arial" w:hAnsi="Arial" w:cs="Arial"/>
                <w:sz w:val="24"/>
                <w:szCs w:val="24"/>
              </w:rPr>
            </w:pPr>
            <w:r w:rsidRPr="00A53578">
              <w:rPr>
                <w:rFonts w:ascii="Arial" w:hAnsi="Arial" w:cs="Arial"/>
                <w:sz w:val="24"/>
                <w:szCs w:val="24"/>
              </w:rPr>
              <w:t>IV Foscarnet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1FEE247" w14:textId="77777777" w:rsidR="00A53578" w:rsidRPr="00A53578" w:rsidRDefault="00A53578" w:rsidP="00305657">
            <w:pPr>
              <w:rPr>
                <w:rFonts w:ascii="Arial" w:hAnsi="Arial" w:cs="Arial"/>
                <w:sz w:val="24"/>
                <w:szCs w:val="24"/>
              </w:rPr>
            </w:pPr>
            <w:r w:rsidRPr="00A53578">
              <w:rPr>
                <w:rFonts w:ascii="Arial" w:hAnsi="Arial" w:cs="Arial"/>
                <w:sz w:val="24"/>
                <w:szCs w:val="24"/>
              </w:rPr>
              <w:t>73-365</w:t>
            </w:r>
          </w:p>
        </w:tc>
      </w:tr>
      <w:tr w:rsidR="00A53578" w:rsidRPr="00A53578" w14:paraId="439C7096"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213A8"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11/7-11/14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B28CB2E" w14:textId="77777777" w:rsidR="00A53578" w:rsidRPr="00A53578" w:rsidRDefault="00A53578" w:rsidP="00305657">
            <w:pPr>
              <w:rPr>
                <w:rFonts w:ascii="Arial" w:hAnsi="Arial" w:cs="Arial"/>
                <w:sz w:val="24"/>
                <w:szCs w:val="24"/>
              </w:rPr>
            </w:pPr>
            <w:r w:rsidRPr="00A53578">
              <w:rPr>
                <w:rFonts w:ascii="Arial" w:hAnsi="Arial" w:cs="Arial"/>
                <w:sz w:val="24"/>
                <w:szCs w:val="24"/>
              </w:rPr>
              <w:t>IV Ganciclovir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7077191" w14:textId="77777777" w:rsidR="00A53578" w:rsidRPr="00A53578" w:rsidRDefault="00A53578" w:rsidP="00305657">
            <w:pPr>
              <w:rPr>
                <w:rFonts w:ascii="Arial" w:hAnsi="Arial" w:cs="Arial"/>
                <w:sz w:val="24"/>
                <w:szCs w:val="24"/>
              </w:rPr>
            </w:pPr>
            <w:r w:rsidRPr="00A53578">
              <w:rPr>
                <w:rFonts w:ascii="Arial" w:hAnsi="Arial" w:cs="Arial"/>
                <w:sz w:val="24"/>
                <w:szCs w:val="24"/>
              </w:rPr>
              <w:t>296-311</w:t>
            </w:r>
          </w:p>
        </w:tc>
      </w:tr>
      <w:tr w:rsidR="00A53578" w:rsidRPr="00A53578" w14:paraId="426AEB82" w14:textId="77777777" w:rsidTr="0030565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0B13"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11/14- CURRENT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AEDB6E9" w14:textId="77777777" w:rsidR="00A53578" w:rsidRPr="00A53578" w:rsidRDefault="00A53578" w:rsidP="00305657">
            <w:pPr>
              <w:rPr>
                <w:rFonts w:ascii="Arial" w:hAnsi="Arial" w:cs="Arial"/>
                <w:sz w:val="24"/>
                <w:szCs w:val="24"/>
              </w:rPr>
            </w:pPr>
            <w:r w:rsidRPr="00A53578">
              <w:rPr>
                <w:rFonts w:ascii="Arial" w:hAnsi="Arial" w:cs="Arial"/>
                <w:sz w:val="24"/>
                <w:szCs w:val="24"/>
              </w:rPr>
              <w:t xml:space="preserve">IV Foscarnet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8EEEC5" w14:textId="77777777" w:rsidR="00A53578" w:rsidRPr="00A53578" w:rsidRDefault="00A53578" w:rsidP="00305657">
            <w:pPr>
              <w:rPr>
                <w:rFonts w:ascii="Arial" w:hAnsi="Arial" w:cs="Arial"/>
                <w:sz w:val="24"/>
                <w:szCs w:val="24"/>
              </w:rPr>
            </w:pPr>
            <w:r w:rsidRPr="00A53578">
              <w:rPr>
                <w:rFonts w:ascii="Arial" w:hAnsi="Arial" w:cs="Arial"/>
                <w:sz w:val="24"/>
                <w:szCs w:val="24"/>
              </w:rPr>
              <w:t>666 – 11,600</w:t>
            </w:r>
          </w:p>
        </w:tc>
      </w:tr>
    </w:tbl>
    <w:p w14:paraId="1AD9C274" w14:textId="77777777" w:rsidR="00A53578" w:rsidRPr="00A53578" w:rsidRDefault="00A53578" w:rsidP="00A53578">
      <w:pPr>
        <w:rPr>
          <w:rFonts w:ascii="Arial" w:hAnsi="Arial" w:cs="Arial"/>
          <w:sz w:val="24"/>
          <w:szCs w:val="24"/>
        </w:rPr>
      </w:pPr>
    </w:p>
    <w:p w14:paraId="2F05A905" w14:textId="77777777" w:rsidR="00A53578" w:rsidRPr="00A53578" w:rsidRDefault="00A53578" w:rsidP="00A53578">
      <w:pPr>
        <w:rPr>
          <w:rFonts w:ascii="Arial" w:hAnsi="Arial" w:cs="Arial"/>
          <w:sz w:val="24"/>
          <w:szCs w:val="24"/>
        </w:rPr>
      </w:pPr>
      <w:r w:rsidRPr="00A53578">
        <w:rPr>
          <w:rFonts w:ascii="Arial" w:hAnsi="Arial" w:cs="Arial"/>
          <w:b/>
          <w:bCs/>
          <w:sz w:val="24"/>
          <w:szCs w:val="24"/>
        </w:rPr>
        <w:t>Reason for request:</w:t>
      </w:r>
    </w:p>
    <w:p w14:paraId="0731E63C" w14:textId="6A5EE259" w:rsidR="00A53578" w:rsidRDefault="00A53578" w:rsidP="00A53578">
      <w:pPr>
        <w:rPr>
          <w:rFonts w:ascii="Arial" w:hAnsi="Arial" w:cs="Arial"/>
          <w:sz w:val="24"/>
          <w:szCs w:val="24"/>
        </w:rPr>
      </w:pPr>
      <w:r w:rsidRPr="00A53578">
        <w:rPr>
          <w:rFonts w:ascii="Arial" w:hAnsi="Arial" w:cs="Arial"/>
          <w:sz w:val="24"/>
          <w:szCs w:val="24"/>
        </w:rPr>
        <w:t xml:space="preserve">I am requesting compassionate use of CMV viral specific T Cells due to this patient’s severe immunocompromised state, worsening of CMV viremia, the lack of current treatment options, and the risk of CMV dissemination, organ toxicity and even death. The two current FDA approved therapeutic options for patient’s this age are IV ganciclovir and IV foscarnet. He is not currently a candidate for IV ganciclovir at this time due to his recent stem cell transplant and the risk of engraftment failure and severe myelosuppression. Therefore, IV foscarnet is our only current treatment option, which he has been receiving. We are also giving him IVIG to potentially prevent dissemination of his current CMV viremia. This may help but is not expected to cure him. Resistance </w:t>
      </w:r>
      <w:r w:rsidRPr="00A53578">
        <w:rPr>
          <w:rFonts w:ascii="Arial" w:hAnsi="Arial" w:cs="Arial"/>
          <w:sz w:val="24"/>
          <w:szCs w:val="24"/>
        </w:rPr>
        <w:lastRenderedPageBreak/>
        <w:t>testing has been sent and is pending. If CMV resistance is detected the next therapeutic option would be Maribavir. Pediatric dosing of Maribavir has not been established and is not currently FDA indicated for a patients less than the age of 12 and less than 35kg.</w:t>
      </w:r>
      <w:r w:rsidR="000C1DDC">
        <w:rPr>
          <w:rFonts w:ascii="Arial" w:hAnsi="Arial" w:cs="Arial"/>
          <w:sz w:val="24"/>
          <w:szCs w:val="24"/>
        </w:rPr>
        <w:t xml:space="preserve"> He does not qualify for this CMV viral specific TCell product on the clinical trial using this product given his history of CMV retinitis, even though it is not currently active based on his most recent ophthalmology exam. This CMV viral specific T Cell protocol is a derivation of a current clinical trial that has been approved, and my ask is for this product to be given as compassionate use.</w:t>
      </w:r>
      <w:r w:rsidRPr="00A53578">
        <w:rPr>
          <w:rFonts w:ascii="Arial" w:hAnsi="Arial" w:cs="Arial"/>
          <w:sz w:val="24"/>
          <w:szCs w:val="24"/>
        </w:rPr>
        <w:t xml:space="preserve"> Therefore, in my professional opinion, CMV targeted viral specific T Cells are indicated to treat this patient’s CMV viremia and prevent worsening of his disease and potentially prevent mortality associated with his CMV viremia post stem cell transplant. </w:t>
      </w:r>
    </w:p>
    <w:p w14:paraId="24AE7240" w14:textId="77777777" w:rsidR="00A53578" w:rsidRDefault="00A53578" w:rsidP="00A53578">
      <w:pPr>
        <w:rPr>
          <w:rFonts w:ascii="Arial" w:hAnsi="Arial" w:cs="Arial"/>
          <w:sz w:val="24"/>
          <w:szCs w:val="24"/>
        </w:rPr>
      </w:pPr>
    </w:p>
    <w:p w14:paraId="71A5A7B2" w14:textId="2F9E4255" w:rsidR="00A53578" w:rsidRPr="00E54F86" w:rsidRDefault="00EE713C" w:rsidP="00A53578">
      <w:pPr>
        <w:pStyle w:val="Heading2"/>
        <w:tabs>
          <w:tab w:val="num" w:pos="851"/>
        </w:tabs>
        <w:spacing w:after="0" w:line="276" w:lineRule="auto"/>
        <w:rPr>
          <w:rFonts w:cs="Arial"/>
          <w:i w:val="0"/>
          <w:szCs w:val="24"/>
          <w:lang w:val="en-US"/>
        </w:rPr>
      </w:pPr>
      <w:r>
        <w:rPr>
          <w:rFonts w:cs="Arial"/>
          <w:i w:val="0"/>
          <w:szCs w:val="24"/>
          <w:lang w:val="en-US"/>
        </w:rPr>
        <w:t xml:space="preserve">3.0  </w:t>
      </w:r>
      <w:r w:rsidR="00A53578" w:rsidRPr="00E54F86">
        <w:rPr>
          <w:rFonts w:cs="Arial"/>
          <w:i w:val="0"/>
          <w:szCs w:val="24"/>
          <w:lang w:val="en-US"/>
        </w:rPr>
        <w:t>Patient and Donor Eligibility</w:t>
      </w:r>
    </w:p>
    <w:p w14:paraId="7B1F49C7" w14:textId="378FF0A0" w:rsidR="00A53578" w:rsidRPr="00E54F86" w:rsidRDefault="00EE713C" w:rsidP="00A53578">
      <w:pPr>
        <w:tabs>
          <w:tab w:val="left" w:pos="4140"/>
        </w:tabs>
        <w:spacing w:after="60"/>
        <w:rPr>
          <w:rFonts w:ascii="Arial" w:hAnsi="Arial" w:cs="Arial"/>
          <w:sz w:val="24"/>
          <w:szCs w:val="24"/>
        </w:rPr>
      </w:pPr>
      <w:r>
        <w:rPr>
          <w:rFonts w:ascii="Arial" w:hAnsi="Arial" w:cs="Arial"/>
          <w:b/>
          <w:sz w:val="24"/>
          <w:szCs w:val="24"/>
        </w:rPr>
        <w:t>3.</w:t>
      </w:r>
      <w:r w:rsidR="00A53578">
        <w:rPr>
          <w:rFonts w:ascii="Arial" w:hAnsi="Arial" w:cs="Arial"/>
          <w:b/>
          <w:sz w:val="24"/>
          <w:szCs w:val="24"/>
        </w:rPr>
        <w:t>1</w:t>
      </w:r>
      <w:r w:rsidR="00A53578" w:rsidRPr="00E54F86">
        <w:rPr>
          <w:rFonts w:ascii="Arial" w:hAnsi="Arial" w:cs="Arial"/>
          <w:b/>
          <w:sz w:val="24"/>
          <w:szCs w:val="24"/>
        </w:rPr>
        <w:t xml:space="preserve"> Patient Eligibility</w:t>
      </w:r>
    </w:p>
    <w:p w14:paraId="7A5E49B5" w14:textId="3FD695C4" w:rsidR="00A53578" w:rsidRPr="00E54F86" w:rsidRDefault="00EE713C" w:rsidP="00A53578">
      <w:pPr>
        <w:tabs>
          <w:tab w:val="left" w:pos="4140"/>
        </w:tabs>
        <w:spacing w:after="60"/>
        <w:rPr>
          <w:rFonts w:ascii="Arial" w:hAnsi="Arial" w:cs="Arial"/>
          <w:sz w:val="24"/>
          <w:szCs w:val="24"/>
        </w:rPr>
      </w:pPr>
      <w:r>
        <w:rPr>
          <w:rFonts w:ascii="Arial" w:hAnsi="Arial" w:cs="Arial"/>
          <w:sz w:val="24"/>
          <w:szCs w:val="24"/>
        </w:rPr>
        <w:t xml:space="preserve">3.1.1  </w:t>
      </w:r>
      <w:r w:rsidR="00A53578" w:rsidRPr="00E54F86">
        <w:rPr>
          <w:rFonts w:ascii="Arial" w:hAnsi="Arial" w:cs="Arial"/>
          <w:sz w:val="24"/>
          <w:szCs w:val="24"/>
        </w:rPr>
        <w:t>Patients with refractory CMV infection post allogeneic HSCT</w:t>
      </w:r>
    </w:p>
    <w:p w14:paraId="0E3E8CAF" w14:textId="77777777" w:rsidR="00A53578" w:rsidRPr="00E54F86" w:rsidRDefault="00A53578" w:rsidP="00A53578">
      <w:pPr>
        <w:tabs>
          <w:tab w:val="left" w:pos="4140"/>
        </w:tabs>
        <w:spacing w:after="60"/>
        <w:rPr>
          <w:rFonts w:ascii="Arial" w:hAnsi="Arial" w:cs="Arial"/>
          <w:sz w:val="24"/>
          <w:szCs w:val="24"/>
        </w:rPr>
      </w:pPr>
      <w:r w:rsidRPr="00E54F86">
        <w:rPr>
          <w:rFonts w:ascii="Arial" w:hAnsi="Arial" w:cs="Arial"/>
          <w:sz w:val="24"/>
          <w:szCs w:val="24"/>
        </w:rPr>
        <w:t xml:space="preserve">- Increasing </w:t>
      </w:r>
      <w:r>
        <w:rPr>
          <w:rFonts w:ascii="Arial" w:hAnsi="Arial" w:cs="Arial"/>
          <w:sz w:val="24"/>
          <w:szCs w:val="24"/>
        </w:rPr>
        <w:t xml:space="preserve">CMV RT-PCR DNA (from baseline) after 7 days </w:t>
      </w:r>
      <w:r w:rsidRPr="00E54F86">
        <w:rPr>
          <w:rFonts w:ascii="Arial" w:hAnsi="Arial" w:cs="Arial"/>
          <w:sz w:val="24"/>
          <w:szCs w:val="24"/>
        </w:rPr>
        <w:t xml:space="preserve">or persistent quantitative qRT-PCR DNA copies </w:t>
      </w:r>
      <w:r>
        <w:rPr>
          <w:rFonts w:ascii="Arial" w:hAnsi="Arial" w:cs="Arial"/>
          <w:sz w:val="24"/>
          <w:szCs w:val="24"/>
        </w:rPr>
        <w:t xml:space="preserve">after 14 days </w:t>
      </w:r>
      <w:r w:rsidRPr="00E54F86">
        <w:rPr>
          <w:rFonts w:ascii="Arial" w:hAnsi="Arial" w:cs="Arial"/>
          <w:sz w:val="24"/>
          <w:szCs w:val="24"/>
        </w:rPr>
        <w:t xml:space="preserve">despite two weeks of appropriate anti-viral therapy </w:t>
      </w:r>
    </w:p>
    <w:p w14:paraId="0CB93593" w14:textId="07230B38" w:rsidR="00A53578" w:rsidRPr="00E54F86" w:rsidRDefault="00A53578" w:rsidP="00A53578">
      <w:pPr>
        <w:tabs>
          <w:tab w:val="left" w:pos="4140"/>
        </w:tabs>
        <w:spacing w:after="60"/>
        <w:rPr>
          <w:rFonts w:ascii="Arial" w:hAnsi="Arial" w:cs="Arial"/>
          <w:sz w:val="24"/>
          <w:szCs w:val="24"/>
        </w:rPr>
      </w:pPr>
      <w:r w:rsidRPr="00E54F86">
        <w:rPr>
          <w:rFonts w:ascii="Arial" w:hAnsi="Arial" w:cs="Arial"/>
          <w:sz w:val="24"/>
          <w:szCs w:val="24"/>
        </w:rPr>
        <w:t>AND/OR</w:t>
      </w:r>
    </w:p>
    <w:p w14:paraId="661B7411" w14:textId="280F0384" w:rsidR="00A53578" w:rsidRPr="00E54F86" w:rsidRDefault="00EE713C" w:rsidP="00A53578">
      <w:pPr>
        <w:tabs>
          <w:tab w:val="left" w:pos="4140"/>
        </w:tabs>
        <w:spacing w:after="60"/>
        <w:rPr>
          <w:rFonts w:ascii="Arial" w:hAnsi="Arial" w:cs="Arial"/>
          <w:sz w:val="24"/>
          <w:szCs w:val="24"/>
        </w:rPr>
      </w:pPr>
      <w:r>
        <w:rPr>
          <w:rFonts w:ascii="Arial" w:hAnsi="Arial" w:cs="Arial"/>
          <w:sz w:val="24"/>
          <w:szCs w:val="24"/>
        </w:rPr>
        <w:t xml:space="preserve">3.1.2  </w:t>
      </w:r>
      <w:r w:rsidR="00A53578" w:rsidRPr="00E54F86">
        <w:rPr>
          <w:rFonts w:ascii="Arial" w:hAnsi="Arial" w:cs="Arial"/>
          <w:sz w:val="24"/>
          <w:szCs w:val="24"/>
        </w:rPr>
        <w:t>Consent</w:t>
      </w:r>
      <w:r w:rsidR="00A53578" w:rsidRPr="00E54F86">
        <w:rPr>
          <w:rFonts w:ascii="Arial" w:hAnsi="Arial" w:cs="Arial"/>
          <w:i/>
          <w:sz w:val="24"/>
          <w:szCs w:val="24"/>
        </w:rPr>
        <w:t>:</w:t>
      </w:r>
      <w:r w:rsidR="00A53578" w:rsidRPr="00E54F86">
        <w:rPr>
          <w:rFonts w:ascii="Arial" w:hAnsi="Arial" w:cs="Arial"/>
          <w:sz w:val="24"/>
          <w:szCs w:val="24"/>
        </w:rPr>
        <w:t xml:space="preserve"> Written informed consent given (by patient or legal representative) prior to any study-related procedures.</w:t>
      </w:r>
    </w:p>
    <w:p w14:paraId="3998F7F9" w14:textId="122E8977" w:rsidR="00A53578" w:rsidRDefault="00EE713C" w:rsidP="00A53578">
      <w:pPr>
        <w:tabs>
          <w:tab w:val="left" w:pos="4140"/>
        </w:tabs>
        <w:spacing w:after="60"/>
        <w:rPr>
          <w:rFonts w:ascii="Arial" w:hAnsi="Arial" w:cs="Arial"/>
          <w:sz w:val="24"/>
          <w:szCs w:val="24"/>
        </w:rPr>
      </w:pPr>
      <w:r>
        <w:rPr>
          <w:rFonts w:ascii="Arial" w:hAnsi="Arial" w:cs="Arial"/>
          <w:sz w:val="24"/>
          <w:szCs w:val="24"/>
        </w:rPr>
        <w:t xml:space="preserve">3.1.3  </w:t>
      </w:r>
      <w:r w:rsidR="00A53578" w:rsidRPr="00E54F86">
        <w:rPr>
          <w:rFonts w:ascii="Arial" w:hAnsi="Arial" w:cs="Arial"/>
          <w:sz w:val="24"/>
          <w:szCs w:val="24"/>
        </w:rPr>
        <w:t>Age: 0.1 to 30</w:t>
      </w:r>
      <w:r w:rsidR="00A53578">
        <w:rPr>
          <w:rFonts w:ascii="Arial" w:hAnsi="Arial" w:cs="Arial"/>
          <w:sz w:val="24"/>
          <w:szCs w:val="24"/>
        </w:rPr>
        <w:t>.99</w:t>
      </w:r>
      <w:r w:rsidR="00A53578" w:rsidRPr="00E54F86">
        <w:rPr>
          <w:rFonts w:ascii="Arial" w:hAnsi="Arial" w:cs="Arial"/>
          <w:sz w:val="24"/>
          <w:szCs w:val="24"/>
        </w:rPr>
        <w:t xml:space="preserve"> years</w:t>
      </w:r>
    </w:p>
    <w:p w14:paraId="6D146A27" w14:textId="1E5C6636" w:rsidR="00A53578" w:rsidRDefault="00EE713C" w:rsidP="00A53578">
      <w:pPr>
        <w:tabs>
          <w:tab w:val="left" w:pos="4140"/>
        </w:tabs>
        <w:spacing w:after="60"/>
        <w:rPr>
          <w:rFonts w:ascii="Arial" w:hAnsi="Arial" w:cs="Arial"/>
          <w:sz w:val="24"/>
          <w:szCs w:val="24"/>
        </w:rPr>
      </w:pPr>
      <w:r>
        <w:rPr>
          <w:rFonts w:ascii="Arial" w:hAnsi="Arial" w:cs="Arial"/>
          <w:sz w:val="24"/>
          <w:szCs w:val="24"/>
        </w:rPr>
        <w:t xml:space="preserve">3.1.4  </w:t>
      </w:r>
      <w:r w:rsidR="00A53578">
        <w:rPr>
          <w:rFonts w:ascii="Arial" w:hAnsi="Arial" w:cs="Arial"/>
          <w:sz w:val="24"/>
          <w:szCs w:val="24"/>
        </w:rPr>
        <w:t>&gt;14 days from last ATG dose and &gt;14 days from Stem cell infusion</w:t>
      </w:r>
    </w:p>
    <w:p w14:paraId="5E13D104" w14:textId="77777777" w:rsidR="00A53578" w:rsidRPr="00E54F86" w:rsidRDefault="00A53578" w:rsidP="00A53578">
      <w:pPr>
        <w:tabs>
          <w:tab w:val="left" w:pos="426"/>
        </w:tabs>
        <w:rPr>
          <w:rFonts w:ascii="Arial" w:hAnsi="Arial" w:cs="Arial"/>
          <w:b/>
          <w:sz w:val="24"/>
          <w:szCs w:val="24"/>
        </w:rPr>
      </w:pPr>
    </w:p>
    <w:p w14:paraId="39465C9F" w14:textId="59C9E023" w:rsidR="00A53578" w:rsidRPr="00E54F86" w:rsidRDefault="006B4FA9" w:rsidP="00A53578">
      <w:pPr>
        <w:tabs>
          <w:tab w:val="left" w:pos="426"/>
        </w:tabs>
        <w:rPr>
          <w:rFonts w:ascii="Arial" w:hAnsi="Arial" w:cs="Arial"/>
          <w:b/>
          <w:sz w:val="24"/>
          <w:szCs w:val="24"/>
        </w:rPr>
      </w:pPr>
      <w:r>
        <w:rPr>
          <w:rFonts w:ascii="Arial" w:hAnsi="Arial" w:cs="Arial"/>
          <w:b/>
          <w:sz w:val="24"/>
          <w:szCs w:val="24"/>
        </w:rPr>
        <w:t>3.</w:t>
      </w:r>
      <w:r w:rsidR="00A53578">
        <w:rPr>
          <w:rFonts w:ascii="Arial" w:hAnsi="Arial" w:cs="Arial"/>
          <w:b/>
          <w:sz w:val="24"/>
          <w:szCs w:val="24"/>
        </w:rPr>
        <w:t>2</w:t>
      </w:r>
      <w:r w:rsidR="00A53578" w:rsidRPr="00E54F86">
        <w:rPr>
          <w:rFonts w:ascii="Arial" w:hAnsi="Arial" w:cs="Arial"/>
          <w:b/>
          <w:sz w:val="24"/>
          <w:szCs w:val="24"/>
        </w:rPr>
        <w:t xml:space="preserve"> Donor Eligibility</w:t>
      </w:r>
    </w:p>
    <w:p w14:paraId="5B5C1541" w14:textId="49599A71" w:rsidR="00A53578" w:rsidRPr="00E54F86" w:rsidRDefault="006B4FA9" w:rsidP="00A53578">
      <w:pPr>
        <w:tabs>
          <w:tab w:val="left" w:pos="4140"/>
        </w:tabs>
        <w:spacing w:after="60"/>
        <w:rPr>
          <w:rFonts w:ascii="Arial" w:hAnsi="Arial" w:cs="Arial"/>
          <w:sz w:val="24"/>
          <w:szCs w:val="24"/>
        </w:rPr>
      </w:pPr>
      <w:r>
        <w:rPr>
          <w:rFonts w:ascii="Arial" w:hAnsi="Arial" w:cs="Arial"/>
          <w:sz w:val="24"/>
          <w:szCs w:val="24"/>
        </w:rPr>
        <w:t>3.2.1</w:t>
      </w:r>
      <w:r w:rsidR="00A53578" w:rsidRPr="00E54F86">
        <w:rPr>
          <w:rFonts w:ascii="Arial" w:hAnsi="Arial" w:cs="Arial"/>
          <w:sz w:val="24"/>
          <w:szCs w:val="24"/>
        </w:rPr>
        <w:t xml:space="preserve"> Related donor available with a T-cell response </w:t>
      </w:r>
      <w:r w:rsidR="00A53578">
        <w:rPr>
          <w:rFonts w:ascii="Arial" w:hAnsi="Arial" w:cs="Arial"/>
          <w:sz w:val="24"/>
          <w:szCs w:val="24"/>
        </w:rPr>
        <w:t>CMV</w:t>
      </w:r>
      <w:r w:rsidR="00A53578" w:rsidRPr="002E6816">
        <w:rPr>
          <w:rFonts w:ascii="Arial" w:hAnsi="Arial" w:cs="Arial"/>
          <w:sz w:val="24"/>
          <w:szCs w:val="24"/>
        </w:rPr>
        <w:t xml:space="preserve"> MACS</w:t>
      </w:r>
      <w:r w:rsidR="00A53578" w:rsidRPr="002E6816">
        <w:rPr>
          <w:rFonts w:ascii="Arial" w:hAnsi="Arial" w:cs="Arial"/>
          <w:sz w:val="24"/>
          <w:szCs w:val="24"/>
          <w:vertAlign w:val="superscript"/>
        </w:rPr>
        <w:t>®</w:t>
      </w:r>
      <w:r w:rsidR="00A53578" w:rsidRPr="002E6816">
        <w:rPr>
          <w:rFonts w:ascii="Arial" w:hAnsi="Arial" w:cs="Arial"/>
          <w:sz w:val="24"/>
          <w:szCs w:val="24"/>
        </w:rPr>
        <w:t xml:space="preserve"> PepTivator</w:t>
      </w:r>
      <w:r w:rsidR="00A53578">
        <w:rPr>
          <w:rFonts w:ascii="Arial" w:hAnsi="Arial" w:cs="Arial"/>
          <w:sz w:val="24"/>
          <w:szCs w:val="24"/>
        </w:rPr>
        <w:t xml:space="preserve">s.  As defined in Appendix </w:t>
      </w:r>
      <w:r w:rsidR="009842FF">
        <w:rPr>
          <w:rFonts w:ascii="Arial" w:hAnsi="Arial" w:cs="Arial"/>
          <w:sz w:val="24"/>
          <w:szCs w:val="24"/>
        </w:rPr>
        <w:t>2</w:t>
      </w:r>
      <w:r w:rsidR="00A53578">
        <w:rPr>
          <w:rFonts w:ascii="Arial" w:hAnsi="Arial" w:cs="Arial"/>
          <w:sz w:val="24"/>
          <w:szCs w:val="24"/>
        </w:rPr>
        <w:t>, B., 8.2, the donor is considered suitable if the percentage of IFN</w:t>
      </w:r>
      <w:r w:rsidR="00A53578" w:rsidRPr="005101AF">
        <w:rPr>
          <w:rFonts w:ascii="Symbol" w:hAnsi="Symbol" w:cs="Arial"/>
          <w:sz w:val="24"/>
          <w:szCs w:val="24"/>
        </w:rPr>
        <w:t></w:t>
      </w:r>
      <w:r w:rsidR="00A53578">
        <w:rPr>
          <w:rFonts w:ascii="Arial" w:hAnsi="Arial" w:cs="Arial"/>
          <w:sz w:val="24"/>
          <w:szCs w:val="24"/>
        </w:rPr>
        <w:t>+ T cells is &gt;0.01% after stimulation with PepTivators.</w:t>
      </w:r>
    </w:p>
    <w:p w14:paraId="76A8421D" w14:textId="028647FB" w:rsidR="00A53578" w:rsidRPr="00E54F86" w:rsidRDefault="00A53578" w:rsidP="00573A31">
      <w:pPr>
        <w:tabs>
          <w:tab w:val="left" w:pos="426"/>
        </w:tabs>
        <w:ind w:left="720"/>
        <w:rPr>
          <w:rFonts w:ascii="Arial" w:hAnsi="Arial" w:cs="Arial"/>
          <w:sz w:val="24"/>
          <w:szCs w:val="24"/>
        </w:rPr>
      </w:pPr>
      <w:r>
        <w:rPr>
          <w:rFonts w:ascii="Arial" w:hAnsi="Arial" w:cs="Arial"/>
          <w:sz w:val="24"/>
          <w:szCs w:val="24"/>
        </w:rPr>
        <w:t>a</w:t>
      </w:r>
      <w:r w:rsidRPr="00E54F86">
        <w:rPr>
          <w:rFonts w:ascii="Arial" w:hAnsi="Arial" w:cs="Arial"/>
          <w:sz w:val="24"/>
          <w:szCs w:val="24"/>
        </w:rPr>
        <w:t>. Third Party Allogeneic Donor: If original donor is not available or does not have a T-cell response</w:t>
      </w:r>
      <w:r>
        <w:rPr>
          <w:rFonts w:ascii="Arial" w:hAnsi="Arial" w:cs="Arial"/>
          <w:sz w:val="24"/>
          <w:szCs w:val="24"/>
        </w:rPr>
        <w:t xml:space="preserve"> to CMV MACS</w:t>
      </w:r>
      <w:r w:rsidRPr="002E6816">
        <w:rPr>
          <w:rFonts w:ascii="Arial" w:hAnsi="Arial" w:cs="Arial"/>
          <w:sz w:val="24"/>
          <w:szCs w:val="24"/>
          <w:vertAlign w:val="superscript"/>
        </w:rPr>
        <w:t>®</w:t>
      </w:r>
      <w:r>
        <w:rPr>
          <w:rFonts w:ascii="Arial" w:hAnsi="Arial" w:cs="Arial"/>
          <w:sz w:val="24"/>
          <w:szCs w:val="24"/>
          <w:vertAlign w:val="superscript"/>
        </w:rPr>
        <w:t xml:space="preserve"> </w:t>
      </w:r>
      <w:r w:rsidRPr="00F75C75">
        <w:rPr>
          <w:rFonts w:ascii="Arial" w:hAnsi="Arial" w:cs="Arial"/>
          <w:sz w:val="24"/>
          <w:szCs w:val="24"/>
        </w:rPr>
        <w:t>PepTivators</w:t>
      </w:r>
      <w:r w:rsidRPr="00E54F86">
        <w:rPr>
          <w:rFonts w:ascii="Arial" w:hAnsi="Arial" w:cs="Arial"/>
          <w:sz w:val="24"/>
          <w:szCs w:val="24"/>
        </w:rPr>
        <w:t xml:space="preserve">: </w:t>
      </w:r>
      <w:r w:rsidRPr="00E54F86">
        <w:rPr>
          <w:rFonts w:ascii="Arial" w:hAnsi="Arial" w:cs="Arial"/>
          <w:b/>
          <w:sz w:val="24"/>
          <w:szCs w:val="24"/>
        </w:rPr>
        <w:t>third party related allogeneic donor</w:t>
      </w:r>
      <w:r w:rsidRPr="00E54F86">
        <w:rPr>
          <w:rFonts w:ascii="Arial" w:hAnsi="Arial" w:cs="Arial"/>
          <w:sz w:val="24"/>
          <w:szCs w:val="24"/>
        </w:rPr>
        <w:t xml:space="preserve"> (family donor </w:t>
      </w:r>
      <w:r w:rsidRPr="00E54F86">
        <w:rPr>
          <w:rFonts w:ascii="Arial" w:hAnsi="Arial" w:cs="Arial"/>
          <w:sz w:val="24"/>
          <w:szCs w:val="24"/>
          <w:u w:val="single"/>
        </w:rPr>
        <w:t>&gt;</w:t>
      </w:r>
      <w:r w:rsidRPr="00E54F86">
        <w:rPr>
          <w:rFonts w:ascii="Arial" w:hAnsi="Arial" w:cs="Arial"/>
          <w:sz w:val="24"/>
          <w:szCs w:val="24"/>
        </w:rPr>
        <w:t xml:space="preserve"> </w:t>
      </w:r>
      <w:r>
        <w:rPr>
          <w:rFonts w:ascii="Arial" w:hAnsi="Arial" w:cs="Arial"/>
          <w:sz w:val="24"/>
          <w:szCs w:val="24"/>
        </w:rPr>
        <w:t>3</w:t>
      </w:r>
      <w:r w:rsidRPr="00E54F86">
        <w:rPr>
          <w:rFonts w:ascii="Arial" w:hAnsi="Arial" w:cs="Arial"/>
          <w:sz w:val="24"/>
          <w:szCs w:val="24"/>
        </w:rPr>
        <w:t xml:space="preserve"> HLA A, B, DR match to recipient) with IgG positive to CMV and/or a T-cell response to the CMV MACS</w:t>
      </w:r>
      <w:r w:rsidRPr="00E54F86">
        <w:rPr>
          <w:rFonts w:ascii="Arial" w:hAnsi="Arial" w:cs="Arial"/>
          <w:sz w:val="24"/>
          <w:szCs w:val="24"/>
          <w:vertAlign w:val="superscript"/>
        </w:rPr>
        <w:t>®</w:t>
      </w:r>
      <w:r w:rsidRPr="00E54F86">
        <w:rPr>
          <w:rFonts w:ascii="Arial" w:hAnsi="Arial" w:cs="Arial"/>
          <w:sz w:val="24"/>
          <w:szCs w:val="24"/>
        </w:rPr>
        <w:t xml:space="preserve"> PepTivator.</w:t>
      </w:r>
    </w:p>
    <w:p w14:paraId="2FFD5B21" w14:textId="77777777" w:rsidR="00A53578" w:rsidRPr="00E54F86" w:rsidRDefault="00A53578" w:rsidP="00573A31">
      <w:pPr>
        <w:tabs>
          <w:tab w:val="left" w:pos="426"/>
        </w:tabs>
        <w:ind w:left="720"/>
        <w:rPr>
          <w:rFonts w:ascii="Arial" w:hAnsi="Arial" w:cs="Arial"/>
          <w:sz w:val="24"/>
          <w:szCs w:val="24"/>
        </w:rPr>
      </w:pPr>
      <w:r w:rsidRPr="00E54F86">
        <w:rPr>
          <w:rFonts w:ascii="Arial" w:hAnsi="Arial" w:cs="Arial"/>
          <w:sz w:val="24"/>
          <w:szCs w:val="24"/>
        </w:rPr>
        <w:t>AND</w:t>
      </w:r>
    </w:p>
    <w:p w14:paraId="259DDFED" w14:textId="77777777" w:rsidR="00A53578" w:rsidRPr="00E54F86" w:rsidRDefault="00A53578" w:rsidP="00573A31">
      <w:pPr>
        <w:tabs>
          <w:tab w:val="left" w:pos="426"/>
        </w:tabs>
        <w:ind w:left="720"/>
        <w:rPr>
          <w:rFonts w:ascii="Arial" w:hAnsi="Arial" w:cs="Arial"/>
          <w:sz w:val="24"/>
          <w:szCs w:val="24"/>
        </w:rPr>
      </w:pPr>
      <w:r w:rsidRPr="00E54F86">
        <w:rPr>
          <w:rFonts w:ascii="Arial" w:hAnsi="Arial" w:cs="Arial"/>
          <w:sz w:val="24"/>
          <w:szCs w:val="24"/>
        </w:rPr>
        <w:t xml:space="preserve">Allogeneic donor disease screening is complete similar to hematopoietic stem cell donors (Appendix 1). </w:t>
      </w:r>
    </w:p>
    <w:p w14:paraId="34A43FE5" w14:textId="77777777" w:rsidR="00A53578" w:rsidRPr="00E54F86" w:rsidRDefault="00A53578" w:rsidP="00573A31">
      <w:pPr>
        <w:tabs>
          <w:tab w:val="left" w:pos="426"/>
        </w:tabs>
        <w:ind w:left="720"/>
        <w:rPr>
          <w:rFonts w:ascii="Arial" w:hAnsi="Arial" w:cs="Arial"/>
          <w:sz w:val="24"/>
          <w:szCs w:val="24"/>
        </w:rPr>
      </w:pPr>
      <w:r w:rsidRPr="00E54F86">
        <w:rPr>
          <w:rFonts w:ascii="Arial" w:hAnsi="Arial" w:cs="Arial"/>
          <w:sz w:val="24"/>
          <w:szCs w:val="24"/>
        </w:rPr>
        <w:t>AND</w:t>
      </w:r>
    </w:p>
    <w:p w14:paraId="1C3401E5" w14:textId="7484216D" w:rsidR="00A53578" w:rsidRDefault="00A53578" w:rsidP="00573A31">
      <w:pPr>
        <w:tabs>
          <w:tab w:val="left" w:pos="426"/>
        </w:tabs>
        <w:ind w:left="720"/>
        <w:rPr>
          <w:rFonts w:ascii="Arial" w:hAnsi="Arial" w:cs="Arial"/>
          <w:sz w:val="24"/>
          <w:szCs w:val="24"/>
        </w:rPr>
      </w:pPr>
      <w:r w:rsidRPr="00E54F86">
        <w:rPr>
          <w:rFonts w:ascii="Arial" w:hAnsi="Arial" w:cs="Arial"/>
          <w:sz w:val="24"/>
          <w:szCs w:val="24"/>
        </w:rPr>
        <w:t>Obtained informed consents by donor.</w:t>
      </w:r>
    </w:p>
    <w:p w14:paraId="2B43406E" w14:textId="77777777" w:rsidR="00493FD3" w:rsidRDefault="00493FD3" w:rsidP="00A53578">
      <w:pPr>
        <w:tabs>
          <w:tab w:val="left" w:pos="426"/>
        </w:tabs>
        <w:rPr>
          <w:rFonts w:ascii="Arial" w:hAnsi="Arial" w:cs="Arial"/>
          <w:sz w:val="24"/>
          <w:szCs w:val="24"/>
        </w:rPr>
      </w:pPr>
    </w:p>
    <w:p w14:paraId="5604405C" w14:textId="6368F524" w:rsidR="00493FD3" w:rsidRPr="00E54F86" w:rsidRDefault="006B4FA9" w:rsidP="00493FD3">
      <w:pPr>
        <w:pStyle w:val="Heading2"/>
        <w:tabs>
          <w:tab w:val="num" w:pos="851"/>
        </w:tabs>
        <w:spacing w:after="0" w:line="276" w:lineRule="auto"/>
        <w:rPr>
          <w:rFonts w:cs="Arial"/>
          <w:i w:val="0"/>
          <w:szCs w:val="24"/>
          <w:lang w:val="en-US"/>
        </w:rPr>
      </w:pPr>
      <w:r>
        <w:rPr>
          <w:rFonts w:cs="Arial"/>
          <w:i w:val="0"/>
          <w:szCs w:val="24"/>
          <w:lang w:val="en-US"/>
        </w:rPr>
        <w:t xml:space="preserve">4.0  </w:t>
      </w:r>
      <w:r w:rsidR="00493FD3" w:rsidRPr="00E54F86">
        <w:rPr>
          <w:rFonts w:cs="Arial"/>
          <w:i w:val="0"/>
          <w:szCs w:val="24"/>
          <w:lang w:val="en-US"/>
        </w:rPr>
        <w:t xml:space="preserve">Treatment </w:t>
      </w:r>
    </w:p>
    <w:p w14:paraId="7C25E0C9" w14:textId="0C034A1D" w:rsidR="00493FD3" w:rsidRPr="00E54F86" w:rsidRDefault="006B4FA9" w:rsidP="00493FD3">
      <w:pPr>
        <w:pStyle w:val="Heading2"/>
        <w:tabs>
          <w:tab w:val="num" w:pos="851"/>
        </w:tabs>
        <w:spacing w:before="120" w:after="80" w:line="276" w:lineRule="auto"/>
        <w:rPr>
          <w:rFonts w:cs="Arial"/>
          <w:i w:val="0"/>
          <w:szCs w:val="24"/>
          <w:lang w:val="en-US"/>
        </w:rPr>
      </w:pPr>
      <w:r>
        <w:rPr>
          <w:rFonts w:cs="Arial"/>
          <w:i w:val="0"/>
          <w:szCs w:val="24"/>
        </w:rPr>
        <w:t>4.</w:t>
      </w:r>
      <w:r w:rsidR="00493FD3">
        <w:rPr>
          <w:rFonts w:cs="Arial"/>
          <w:i w:val="0"/>
          <w:szCs w:val="24"/>
        </w:rPr>
        <w:t>1</w:t>
      </w:r>
      <w:r w:rsidR="00493FD3" w:rsidRPr="00E54F86">
        <w:rPr>
          <w:rFonts w:cs="Arial"/>
          <w:i w:val="0"/>
          <w:szCs w:val="24"/>
        </w:rPr>
        <w:t xml:space="preserve"> </w:t>
      </w:r>
      <w:bookmarkStart w:id="0" w:name="_Toc343872885"/>
      <w:bookmarkStart w:id="1" w:name="_Toc20825131"/>
      <w:r w:rsidR="00493FD3" w:rsidRPr="00E54F86">
        <w:rPr>
          <w:rFonts w:cs="Arial"/>
          <w:i w:val="0"/>
          <w:szCs w:val="24"/>
          <w:lang w:val="en-US"/>
        </w:rPr>
        <w:t>Study Overview</w:t>
      </w:r>
      <w:bookmarkEnd w:id="0"/>
    </w:p>
    <w:p w14:paraId="542D7747" w14:textId="3488F4DB" w:rsidR="00493FD3" w:rsidRPr="00E54F86" w:rsidRDefault="00493FD3" w:rsidP="00493FD3">
      <w:pPr>
        <w:tabs>
          <w:tab w:val="left" w:pos="4140"/>
        </w:tabs>
        <w:spacing w:after="60"/>
        <w:rPr>
          <w:rFonts w:ascii="Arial" w:hAnsi="Arial" w:cs="Arial"/>
          <w:sz w:val="24"/>
          <w:szCs w:val="24"/>
        </w:rPr>
      </w:pPr>
      <w:r>
        <w:rPr>
          <w:rFonts w:ascii="Arial" w:hAnsi="Arial" w:cs="Arial"/>
          <w:sz w:val="24"/>
          <w:szCs w:val="24"/>
        </w:rPr>
        <w:t>This protocol will use the</w:t>
      </w:r>
      <w:r w:rsidRPr="00E54F86">
        <w:rPr>
          <w:rFonts w:ascii="Arial" w:hAnsi="Arial" w:cs="Arial"/>
          <w:sz w:val="24"/>
          <w:szCs w:val="24"/>
        </w:rPr>
        <w:t xml:space="preserve"> CMV-specific CTLs isolated from whole blood or leukapheresis products. The CMV-specific CTLs will be generated automatically by the </w:t>
      </w:r>
      <w:r w:rsidRPr="00E54F86">
        <w:rPr>
          <w:rFonts w:ascii="Arial" w:hAnsi="Arial" w:cs="Arial"/>
          <w:sz w:val="24"/>
          <w:szCs w:val="24"/>
        </w:rPr>
        <w:lastRenderedPageBreak/>
        <w:t>CliniMACS</w:t>
      </w:r>
      <w:r w:rsidRPr="00E54F86">
        <w:rPr>
          <w:rFonts w:ascii="Arial" w:hAnsi="Arial" w:cs="Arial"/>
          <w:sz w:val="24"/>
          <w:szCs w:val="24"/>
          <w:vertAlign w:val="superscript"/>
        </w:rPr>
        <w:t>®</w:t>
      </w:r>
      <w:r w:rsidRPr="00E54F86">
        <w:rPr>
          <w:rFonts w:ascii="Arial" w:hAnsi="Arial" w:cs="Arial"/>
          <w:sz w:val="24"/>
          <w:szCs w:val="24"/>
        </w:rPr>
        <w:t xml:space="preserve"> Prodigy using the CliniMACS Cytokine Capture System (IFN</w:t>
      </w:r>
      <w:r>
        <w:rPr>
          <w:rFonts w:ascii="Arial" w:hAnsi="Arial" w:cs="Arial"/>
          <w:sz w:val="24"/>
          <w:szCs w:val="24"/>
        </w:rPr>
        <w:t>-</w:t>
      </w:r>
      <w:r w:rsidRPr="00E54F86">
        <w:rPr>
          <w:rFonts w:ascii="Arial" w:hAnsi="Arial" w:cs="Arial"/>
          <w:sz w:val="24"/>
          <w:szCs w:val="24"/>
        </w:rPr>
        <w:t>gamma) after incubation with MACS GMP PepTivator</w:t>
      </w:r>
      <w:r w:rsidRPr="00E54F86">
        <w:rPr>
          <w:rFonts w:ascii="Arial" w:hAnsi="Arial" w:cs="Arial"/>
          <w:sz w:val="24"/>
          <w:szCs w:val="24"/>
          <w:vertAlign w:val="superscript"/>
        </w:rPr>
        <w:t>®</w:t>
      </w:r>
      <w:r w:rsidRPr="00E54F86">
        <w:rPr>
          <w:rFonts w:ascii="Arial" w:hAnsi="Arial" w:cs="Arial"/>
          <w:sz w:val="24"/>
          <w:szCs w:val="24"/>
        </w:rPr>
        <w:t xml:space="preserve"> Peptide Pools of pp65 (CMV)</w:t>
      </w:r>
      <w:bookmarkEnd w:id="1"/>
      <w:r w:rsidRPr="00E54F86">
        <w:rPr>
          <w:rFonts w:ascii="Arial" w:hAnsi="Arial" w:cs="Arial"/>
          <w:sz w:val="24"/>
          <w:szCs w:val="24"/>
        </w:rPr>
        <w:t>.</w:t>
      </w:r>
    </w:p>
    <w:p w14:paraId="6F45CD29" w14:textId="6FF9D25C" w:rsidR="00493FD3" w:rsidRPr="00573A31" w:rsidRDefault="006B4FA9" w:rsidP="00493FD3">
      <w:pPr>
        <w:pStyle w:val="Heading1"/>
        <w:keepLines w:val="0"/>
        <w:spacing w:before="360"/>
        <w:rPr>
          <w:rFonts w:ascii="Arial" w:hAnsi="Arial" w:cs="Arial"/>
          <w:b/>
          <w:bCs/>
          <w:color w:val="auto"/>
          <w:sz w:val="24"/>
          <w:szCs w:val="24"/>
        </w:rPr>
      </w:pPr>
      <w:r w:rsidRPr="00573A31">
        <w:rPr>
          <w:rFonts w:ascii="Arial" w:hAnsi="Arial" w:cs="Arial"/>
          <w:b/>
          <w:bCs/>
          <w:color w:val="auto"/>
          <w:sz w:val="24"/>
          <w:szCs w:val="24"/>
        </w:rPr>
        <w:t xml:space="preserve">4.2  </w:t>
      </w:r>
      <w:r w:rsidR="00493FD3" w:rsidRPr="00573A31">
        <w:rPr>
          <w:rFonts w:ascii="Arial" w:hAnsi="Arial" w:cs="Arial"/>
          <w:b/>
          <w:bCs/>
          <w:color w:val="auto"/>
          <w:sz w:val="24"/>
          <w:szCs w:val="24"/>
        </w:rPr>
        <w:t>CMV CTLs: Dose and Administration:</w:t>
      </w:r>
    </w:p>
    <w:p w14:paraId="63DC8D16" w14:textId="77777777" w:rsidR="00493FD3" w:rsidRDefault="00493FD3" w:rsidP="00493FD3">
      <w:pPr>
        <w:jc w:val="center"/>
        <w:rPr>
          <w:b/>
          <w:bCs/>
          <w:sz w:val="28"/>
          <w:szCs w:val="28"/>
          <w:u w:val="single"/>
        </w:rPr>
      </w:pPr>
      <w:r w:rsidRPr="002700A2">
        <w:rPr>
          <w:b/>
          <w:bCs/>
          <w:sz w:val="28"/>
          <w:szCs w:val="28"/>
          <w:u w:val="single"/>
        </w:rPr>
        <w:t xml:space="preserve">*ALL PATIENTS MUST RECEIVE </w:t>
      </w:r>
      <w:r>
        <w:rPr>
          <w:b/>
          <w:bCs/>
          <w:sz w:val="28"/>
          <w:szCs w:val="28"/>
          <w:u w:val="single"/>
        </w:rPr>
        <w:t xml:space="preserve">the FIRST </w:t>
      </w:r>
      <w:r w:rsidRPr="002700A2">
        <w:rPr>
          <w:b/>
          <w:bCs/>
          <w:sz w:val="28"/>
          <w:szCs w:val="28"/>
          <w:u w:val="single"/>
        </w:rPr>
        <w:t xml:space="preserve">CTL INFUSION AS AN INPATIENT AND BE MONITORED INPATIENT FOR ADVERSE EVENTS FOR </w:t>
      </w:r>
      <w:r>
        <w:rPr>
          <w:b/>
          <w:bCs/>
          <w:sz w:val="28"/>
          <w:szCs w:val="28"/>
          <w:u w:val="single"/>
        </w:rPr>
        <w:t>A MINIMUM OF 24 HOURS</w:t>
      </w:r>
      <w:r w:rsidRPr="002700A2">
        <w:rPr>
          <w:b/>
          <w:bCs/>
          <w:sz w:val="28"/>
          <w:szCs w:val="28"/>
          <w:u w:val="single"/>
        </w:rPr>
        <w:t xml:space="preserve"> FOLLOWING </w:t>
      </w:r>
      <w:r>
        <w:rPr>
          <w:b/>
          <w:bCs/>
          <w:sz w:val="28"/>
          <w:szCs w:val="28"/>
          <w:u w:val="single"/>
        </w:rPr>
        <w:t>the</w:t>
      </w:r>
      <w:r w:rsidRPr="002700A2">
        <w:rPr>
          <w:b/>
          <w:bCs/>
          <w:sz w:val="28"/>
          <w:szCs w:val="28"/>
          <w:u w:val="single"/>
        </w:rPr>
        <w:t xml:space="preserve"> CTL INFUSION*</w:t>
      </w:r>
    </w:p>
    <w:p w14:paraId="1F1D741D" w14:textId="753EFA25" w:rsidR="00493FD3" w:rsidRDefault="00493FD3" w:rsidP="00493FD3">
      <w:pPr>
        <w:jc w:val="center"/>
        <w:rPr>
          <w:b/>
          <w:bCs/>
          <w:sz w:val="28"/>
          <w:szCs w:val="28"/>
          <w:u w:val="single"/>
        </w:rPr>
      </w:pPr>
      <w:r>
        <w:rPr>
          <w:b/>
          <w:bCs/>
          <w:sz w:val="28"/>
          <w:szCs w:val="28"/>
          <w:u w:val="single"/>
        </w:rPr>
        <w:t>The patient may</w:t>
      </w:r>
      <w:r w:rsidR="005F5640">
        <w:rPr>
          <w:b/>
          <w:bCs/>
          <w:sz w:val="28"/>
          <w:szCs w:val="28"/>
          <w:u w:val="single"/>
        </w:rPr>
        <w:t xml:space="preserve"> </w:t>
      </w:r>
      <w:r>
        <w:rPr>
          <w:b/>
          <w:bCs/>
          <w:sz w:val="28"/>
          <w:szCs w:val="28"/>
          <w:u w:val="single"/>
        </w:rPr>
        <w:t>be discharged if afebrile and has normal heart rate, respiratory rate, blood pressure and is on room air.  The patient will need to be seen daily for 5 more days as an outpatient to be observed for toxicity or adverse events.</w:t>
      </w:r>
    </w:p>
    <w:p w14:paraId="47FC3E52" w14:textId="77777777" w:rsidR="00493FD3" w:rsidRDefault="00493FD3" w:rsidP="00493FD3">
      <w:pPr>
        <w:jc w:val="center"/>
        <w:rPr>
          <w:b/>
          <w:bCs/>
          <w:sz w:val="28"/>
          <w:szCs w:val="28"/>
          <w:u w:val="single"/>
        </w:rPr>
      </w:pPr>
    </w:p>
    <w:p w14:paraId="32EFBC10" w14:textId="311DFA82" w:rsidR="00493FD3" w:rsidRPr="002700A2" w:rsidRDefault="00493FD3" w:rsidP="00493FD3">
      <w:pPr>
        <w:jc w:val="center"/>
        <w:rPr>
          <w:b/>
          <w:bCs/>
          <w:sz w:val="28"/>
          <w:szCs w:val="28"/>
          <w:u w:val="single"/>
        </w:rPr>
      </w:pPr>
      <w:r>
        <w:rPr>
          <w:b/>
          <w:bCs/>
          <w:sz w:val="28"/>
          <w:szCs w:val="28"/>
          <w:u w:val="single"/>
        </w:rPr>
        <w:t xml:space="preserve">If subsequent CTL infusions are needed, no adverse effects were experienced with the first CTL infusion and infusion criteria are met (see protocol sections </w:t>
      </w:r>
      <w:r w:rsidR="00D02307">
        <w:rPr>
          <w:b/>
          <w:bCs/>
          <w:sz w:val="28"/>
          <w:szCs w:val="28"/>
          <w:u w:val="single"/>
        </w:rPr>
        <w:t>4</w:t>
      </w:r>
      <w:r>
        <w:rPr>
          <w:b/>
          <w:bCs/>
          <w:sz w:val="28"/>
          <w:szCs w:val="28"/>
          <w:u w:val="single"/>
        </w:rPr>
        <w:t xml:space="preserve">.2.4 and </w:t>
      </w:r>
      <w:r w:rsidR="00CB392A">
        <w:rPr>
          <w:b/>
          <w:bCs/>
          <w:sz w:val="28"/>
          <w:szCs w:val="28"/>
          <w:u w:val="single"/>
        </w:rPr>
        <w:t>4</w:t>
      </w:r>
      <w:r>
        <w:rPr>
          <w:b/>
          <w:bCs/>
          <w:sz w:val="28"/>
          <w:szCs w:val="28"/>
          <w:u w:val="single"/>
        </w:rPr>
        <w:t xml:space="preserve">.5) they may be administered outpatient per physician discretion  monitoring per section </w:t>
      </w:r>
      <w:r w:rsidR="0084206A">
        <w:rPr>
          <w:b/>
          <w:bCs/>
          <w:sz w:val="28"/>
          <w:szCs w:val="28"/>
          <w:u w:val="single"/>
        </w:rPr>
        <w:t>4</w:t>
      </w:r>
      <w:r>
        <w:rPr>
          <w:b/>
          <w:bCs/>
          <w:sz w:val="28"/>
          <w:szCs w:val="28"/>
          <w:u w:val="single"/>
        </w:rPr>
        <w:t>.4 and observation up to 4 hours after the start of the infusion.</w:t>
      </w:r>
    </w:p>
    <w:p w14:paraId="320E7759" w14:textId="77777777" w:rsidR="00493FD3" w:rsidRPr="00254138" w:rsidRDefault="00493FD3" w:rsidP="00493FD3">
      <w:pPr>
        <w:jc w:val="center"/>
        <w:rPr>
          <w:b/>
          <w:bCs/>
          <w:sz w:val="28"/>
          <w:szCs w:val="28"/>
          <w:u w:val="single"/>
        </w:rPr>
      </w:pPr>
    </w:p>
    <w:p w14:paraId="70055A62" w14:textId="7928D89F" w:rsidR="00493FD3" w:rsidRPr="00E54F86" w:rsidRDefault="00493FD3" w:rsidP="00493FD3">
      <w:pPr>
        <w:tabs>
          <w:tab w:val="left" w:pos="1440"/>
        </w:tabs>
        <w:spacing w:after="60"/>
        <w:ind w:hanging="873"/>
        <w:rPr>
          <w:rFonts w:ascii="Arial" w:hAnsi="Arial" w:cs="Arial"/>
          <w:sz w:val="24"/>
          <w:szCs w:val="24"/>
        </w:rPr>
      </w:pPr>
      <w:r w:rsidRPr="00E54F86">
        <w:rPr>
          <w:rFonts w:ascii="Arial" w:hAnsi="Arial" w:cs="Arial"/>
          <w:sz w:val="24"/>
          <w:szCs w:val="24"/>
        </w:rPr>
        <w:tab/>
      </w:r>
      <w:r w:rsidR="00B06EF7">
        <w:rPr>
          <w:rFonts w:ascii="Arial" w:hAnsi="Arial" w:cs="Arial"/>
          <w:sz w:val="24"/>
          <w:szCs w:val="24"/>
        </w:rPr>
        <w:t xml:space="preserve">4.2.1  </w:t>
      </w:r>
      <w:r w:rsidRPr="00E54F86">
        <w:rPr>
          <w:rFonts w:ascii="Arial" w:hAnsi="Arial" w:cs="Arial"/>
          <w:sz w:val="24"/>
          <w:szCs w:val="24"/>
        </w:rPr>
        <w:t xml:space="preserve">Suspension of CMV-specific T cells in 10 mL of 0.9% NaCl with human serum albumin (HSA) given by IV bolus injection </w:t>
      </w:r>
    </w:p>
    <w:p w14:paraId="186965A1" w14:textId="5FF80E45"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4.2.2  </w:t>
      </w:r>
      <w:r w:rsidR="00493FD3" w:rsidRPr="00E54F86">
        <w:rPr>
          <w:rFonts w:ascii="Arial" w:hAnsi="Arial" w:cs="Arial"/>
          <w:sz w:val="24"/>
          <w:szCs w:val="24"/>
        </w:rPr>
        <w:t>HLA-</w:t>
      </w:r>
      <w:r w:rsidR="00493FD3">
        <w:rPr>
          <w:rFonts w:ascii="Arial" w:hAnsi="Arial" w:cs="Arial"/>
          <w:sz w:val="24"/>
          <w:szCs w:val="24"/>
        </w:rPr>
        <w:t>identical</w:t>
      </w:r>
      <w:r w:rsidR="00493FD3" w:rsidRPr="00E54F86">
        <w:rPr>
          <w:rFonts w:ascii="Arial" w:hAnsi="Arial" w:cs="Arial"/>
          <w:sz w:val="24"/>
          <w:szCs w:val="24"/>
        </w:rPr>
        <w:t xml:space="preserve"> </w:t>
      </w:r>
      <w:r w:rsidR="00493FD3">
        <w:rPr>
          <w:rFonts w:ascii="Arial" w:hAnsi="Arial" w:cs="Arial"/>
          <w:sz w:val="24"/>
          <w:szCs w:val="24"/>
        </w:rPr>
        <w:t>related</w:t>
      </w:r>
      <w:r w:rsidR="00493FD3" w:rsidRPr="00E54F86">
        <w:rPr>
          <w:rFonts w:ascii="Arial" w:hAnsi="Arial" w:cs="Arial"/>
          <w:sz w:val="24"/>
          <w:szCs w:val="24"/>
        </w:rPr>
        <w:t xml:space="preserve"> donors: Dose 2.5 ×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recipient weight.  </w:t>
      </w:r>
    </w:p>
    <w:p w14:paraId="1E6C8710" w14:textId="51E9230C"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4.2.3  </w:t>
      </w:r>
      <w:r w:rsidR="00493FD3" w:rsidRPr="00E54F86">
        <w:rPr>
          <w:rFonts w:ascii="Arial" w:hAnsi="Arial" w:cs="Arial"/>
          <w:sz w:val="24"/>
          <w:szCs w:val="24"/>
        </w:rPr>
        <w:t>HLA mismatched related donors (mismatch at 1-5 antigens/alleles) Dose 0.5 ×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recipient weight.  </w:t>
      </w:r>
    </w:p>
    <w:p w14:paraId="448645C8" w14:textId="294A0F8D"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4.2.4  </w:t>
      </w:r>
      <w:r w:rsidR="00493FD3" w:rsidRPr="00E54F86">
        <w:rPr>
          <w:rFonts w:ascii="Arial" w:hAnsi="Arial" w:cs="Arial"/>
          <w:sz w:val="24"/>
          <w:szCs w:val="24"/>
        </w:rPr>
        <w:t xml:space="preserve">Additional doses of CMV CTLs </w:t>
      </w:r>
      <w:r w:rsidR="00493FD3">
        <w:rPr>
          <w:rFonts w:ascii="Arial" w:hAnsi="Arial" w:cs="Arial"/>
          <w:sz w:val="24"/>
          <w:szCs w:val="24"/>
        </w:rPr>
        <w:t xml:space="preserve">a minimum of </w:t>
      </w:r>
      <w:r w:rsidR="00493FD3" w:rsidRPr="00E54F86">
        <w:rPr>
          <w:rFonts w:ascii="Arial" w:hAnsi="Arial" w:cs="Arial"/>
          <w:sz w:val="24"/>
          <w:szCs w:val="24"/>
        </w:rPr>
        <w:t>every 2 weeks (maximum 5 doses total)</w:t>
      </w:r>
    </w:p>
    <w:p w14:paraId="6E2FE2BE" w14:textId="19436DC4"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4.2.4.1  </w:t>
      </w:r>
      <w:r w:rsidR="00493FD3" w:rsidRPr="00E54F86">
        <w:rPr>
          <w:rFonts w:ascii="Arial" w:hAnsi="Arial" w:cs="Arial"/>
          <w:sz w:val="24"/>
          <w:szCs w:val="24"/>
        </w:rPr>
        <w:t>If recipients fail to respond to the first dose of CMV CTLs (qRT-PCR over the institutional level of upper normal) and have no acute or chronic GVHD and no persistent toxicities related to the past CTL infusions</w:t>
      </w:r>
    </w:p>
    <w:p w14:paraId="3E1A921A" w14:textId="28DE1FE0"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4.2.5  </w:t>
      </w:r>
      <w:r w:rsidR="00493FD3" w:rsidRPr="00E54F86">
        <w:rPr>
          <w:rFonts w:ascii="Arial" w:hAnsi="Arial" w:cs="Arial"/>
          <w:sz w:val="24"/>
          <w:szCs w:val="24"/>
        </w:rPr>
        <w:t>Dose in HLA related matched donors: Max dose with each infusion 2.5 x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until a max combined dose of 12.5 x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(5 total doses)</w:t>
      </w:r>
    </w:p>
    <w:p w14:paraId="1C63CBAF" w14:textId="11263C4A" w:rsidR="00493FD3" w:rsidRPr="00E54F86" w:rsidRDefault="00B06EF7" w:rsidP="00493FD3">
      <w:pPr>
        <w:tabs>
          <w:tab w:val="left" w:pos="851"/>
        </w:tabs>
        <w:rPr>
          <w:rFonts w:ascii="Arial" w:hAnsi="Arial" w:cs="Arial"/>
          <w:sz w:val="24"/>
          <w:szCs w:val="24"/>
        </w:rPr>
      </w:pPr>
      <w:r>
        <w:rPr>
          <w:rFonts w:ascii="Arial" w:hAnsi="Arial" w:cs="Arial"/>
          <w:sz w:val="24"/>
          <w:szCs w:val="24"/>
        </w:rPr>
        <w:t xml:space="preserve">4.2.6  </w:t>
      </w:r>
      <w:r w:rsidR="00493FD3" w:rsidRPr="00E54F86">
        <w:rPr>
          <w:rFonts w:ascii="Arial" w:hAnsi="Arial" w:cs="Arial"/>
          <w:sz w:val="24"/>
          <w:szCs w:val="24"/>
        </w:rPr>
        <w:t>Dose in HLA related Mismatched donors: Max dose with each infusion of 0.5 x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with a max combined dose of 2.5 x 10</w:t>
      </w:r>
      <w:r w:rsidR="00493FD3" w:rsidRPr="00E54F86">
        <w:rPr>
          <w:rFonts w:ascii="Arial" w:hAnsi="Arial" w:cs="Arial"/>
          <w:sz w:val="24"/>
          <w:szCs w:val="24"/>
          <w:vertAlign w:val="superscript"/>
        </w:rPr>
        <w:t>4</w:t>
      </w:r>
      <w:r w:rsidR="00493FD3" w:rsidRPr="00E54F86">
        <w:rPr>
          <w:rFonts w:ascii="Arial" w:hAnsi="Arial" w:cs="Arial"/>
          <w:sz w:val="24"/>
          <w:szCs w:val="24"/>
        </w:rPr>
        <w:t xml:space="preserve"> CD3/kg (5 total doses).</w:t>
      </w:r>
    </w:p>
    <w:p w14:paraId="4C8599BC" w14:textId="77777777" w:rsidR="006112F7" w:rsidRDefault="006112F7" w:rsidP="00493FD3">
      <w:pPr>
        <w:pStyle w:val="Heading2"/>
        <w:spacing w:before="120" w:after="120" w:line="276" w:lineRule="auto"/>
        <w:rPr>
          <w:rFonts w:cs="Arial"/>
          <w:i w:val="0"/>
          <w:szCs w:val="24"/>
          <w:lang w:val="en-US"/>
        </w:rPr>
      </w:pPr>
    </w:p>
    <w:p w14:paraId="3B89C30E" w14:textId="6C712AD8" w:rsidR="00493FD3" w:rsidRPr="00E54F86" w:rsidRDefault="00E27831" w:rsidP="00493FD3">
      <w:pPr>
        <w:pStyle w:val="Heading2"/>
        <w:spacing w:before="120" w:after="120" w:line="276" w:lineRule="auto"/>
        <w:rPr>
          <w:rFonts w:cs="Arial"/>
          <w:i w:val="0"/>
          <w:szCs w:val="24"/>
          <w:lang w:val="en-US"/>
        </w:rPr>
      </w:pPr>
      <w:r>
        <w:rPr>
          <w:rFonts w:cs="Arial"/>
          <w:i w:val="0"/>
          <w:szCs w:val="24"/>
          <w:lang w:val="en-US"/>
        </w:rPr>
        <w:t>4.3</w:t>
      </w:r>
      <w:r w:rsidR="00493FD3" w:rsidRPr="00E54F86">
        <w:rPr>
          <w:rFonts w:cs="Arial"/>
          <w:i w:val="0"/>
          <w:szCs w:val="24"/>
          <w:lang w:val="en-US"/>
        </w:rPr>
        <w:t xml:space="preserve"> Concomitant Medications</w:t>
      </w:r>
    </w:p>
    <w:p w14:paraId="2F0CB8B1" w14:textId="7552E80C" w:rsidR="00493FD3" w:rsidRPr="00E54F86" w:rsidRDefault="00E27831" w:rsidP="00493FD3">
      <w:pPr>
        <w:spacing w:after="120"/>
        <w:rPr>
          <w:rFonts w:ascii="Arial" w:hAnsi="Arial" w:cs="Arial"/>
          <w:sz w:val="24"/>
          <w:szCs w:val="24"/>
        </w:rPr>
      </w:pPr>
      <w:r>
        <w:rPr>
          <w:rFonts w:ascii="Arial" w:hAnsi="Arial" w:cs="Arial"/>
          <w:sz w:val="24"/>
          <w:szCs w:val="24"/>
        </w:rPr>
        <w:t xml:space="preserve">4.3.1  </w:t>
      </w:r>
      <w:r w:rsidR="00493FD3" w:rsidRPr="00E54F86">
        <w:rPr>
          <w:rFonts w:ascii="Arial" w:hAnsi="Arial" w:cs="Arial"/>
          <w:sz w:val="24"/>
          <w:szCs w:val="24"/>
        </w:rPr>
        <w:t>Antiviral Treatment</w:t>
      </w:r>
    </w:p>
    <w:p w14:paraId="16163884" w14:textId="64B32E72" w:rsidR="00493FD3" w:rsidRPr="00E54F86" w:rsidRDefault="00493FD3" w:rsidP="00493FD3">
      <w:pPr>
        <w:spacing w:after="60"/>
        <w:rPr>
          <w:rFonts w:ascii="Arial" w:hAnsi="Arial" w:cs="Arial"/>
          <w:sz w:val="24"/>
          <w:szCs w:val="24"/>
        </w:rPr>
      </w:pPr>
      <w:r w:rsidRPr="00E54F86">
        <w:rPr>
          <w:rFonts w:ascii="Arial" w:hAnsi="Arial" w:cs="Arial"/>
          <w:sz w:val="24"/>
          <w:szCs w:val="24"/>
        </w:rPr>
        <w:t xml:space="preserve">All patients will be additionally treated with antiviral chemotherapy as per local institutional standards: ganciclovir, foscarnet or valganciclovir. </w:t>
      </w:r>
    </w:p>
    <w:p w14:paraId="6D82EE1A" w14:textId="65D2CB5B" w:rsidR="00493FD3" w:rsidRPr="00E54F86" w:rsidRDefault="00E27831" w:rsidP="00493FD3">
      <w:pPr>
        <w:pStyle w:val="ListParagraph"/>
        <w:spacing w:after="60"/>
        <w:ind w:left="0"/>
        <w:rPr>
          <w:rFonts w:ascii="Arial" w:hAnsi="Arial" w:cs="Arial"/>
          <w:sz w:val="24"/>
          <w:szCs w:val="24"/>
        </w:rPr>
      </w:pPr>
      <w:r>
        <w:rPr>
          <w:rFonts w:ascii="Arial" w:hAnsi="Arial" w:cs="Arial"/>
          <w:sz w:val="24"/>
          <w:szCs w:val="24"/>
        </w:rPr>
        <w:t xml:space="preserve">4.3.2  </w:t>
      </w:r>
      <w:r w:rsidR="00493FD3" w:rsidRPr="00E54F86">
        <w:rPr>
          <w:rFonts w:ascii="Arial" w:hAnsi="Arial" w:cs="Arial"/>
          <w:sz w:val="24"/>
          <w:szCs w:val="24"/>
        </w:rPr>
        <w:t>Prohibited medication and procedures</w:t>
      </w:r>
    </w:p>
    <w:p w14:paraId="52F54698" w14:textId="42CCF9C4" w:rsidR="00493FD3" w:rsidRDefault="00493FD3" w:rsidP="00493FD3">
      <w:pPr>
        <w:spacing w:after="60"/>
        <w:rPr>
          <w:rFonts w:ascii="Arial" w:hAnsi="Arial" w:cs="Arial"/>
          <w:sz w:val="24"/>
          <w:szCs w:val="24"/>
        </w:rPr>
      </w:pPr>
      <w:r w:rsidRPr="00E54F86">
        <w:rPr>
          <w:rFonts w:ascii="Arial" w:hAnsi="Arial" w:cs="Arial"/>
          <w:sz w:val="24"/>
          <w:szCs w:val="24"/>
        </w:rPr>
        <w:t>During the study, treatment with other investigational anti-CMV agents and treatment with donor lymphocyte infusions (DLIs) are prohibited in patients treated with the CMV-</w:t>
      </w:r>
      <w:r w:rsidRPr="00E54F86">
        <w:rPr>
          <w:rFonts w:ascii="Arial" w:hAnsi="Arial" w:cs="Arial"/>
          <w:sz w:val="24"/>
          <w:szCs w:val="24"/>
        </w:rPr>
        <w:lastRenderedPageBreak/>
        <w:t>CTLs until Week 12 and will be considered off study if new systemic antiviral therapy is initiated</w:t>
      </w:r>
      <w:r w:rsidR="00D519D8">
        <w:rPr>
          <w:rFonts w:ascii="Arial" w:hAnsi="Arial" w:cs="Arial"/>
          <w:sz w:val="24"/>
          <w:szCs w:val="24"/>
        </w:rPr>
        <w:t>.</w:t>
      </w:r>
    </w:p>
    <w:p w14:paraId="4C969DEF" w14:textId="77777777" w:rsidR="00D519D8" w:rsidRPr="00E54F86" w:rsidRDefault="00D519D8" w:rsidP="00493FD3">
      <w:pPr>
        <w:spacing w:after="60"/>
        <w:rPr>
          <w:rFonts w:ascii="Arial" w:hAnsi="Arial" w:cs="Arial"/>
          <w:sz w:val="24"/>
          <w:szCs w:val="24"/>
        </w:rPr>
      </w:pPr>
    </w:p>
    <w:p w14:paraId="26A20578" w14:textId="2D6E2E74" w:rsidR="00493FD3" w:rsidRPr="00573A31" w:rsidRDefault="00CB392A" w:rsidP="00573A31">
      <w:pPr>
        <w:spacing w:after="60"/>
        <w:rPr>
          <w:rFonts w:ascii="Arial" w:hAnsi="Arial" w:cs="Arial"/>
          <w:sz w:val="24"/>
          <w:szCs w:val="24"/>
        </w:rPr>
      </w:pPr>
      <w:r>
        <w:rPr>
          <w:rFonts w:ascii="Arial" w:hAnsi="Arial" w:cs="Arial"/>
          <w:b/>
          <w:sz w:val="24"/>
          <w:szCs w:val="24"/>
        </w:rPr>
        <w:t xml:space="preserve">4.4  </w:t>
      </w:r>
      <w:r w:rsidR="00493FD3" w:rsidRPr="00573A31">
        <w:rPr>
          <w:rFonts w:ascii="Arial" w:hAnsi="Arial" w:cs="Arial"/>
          <w:b/>
          <w:sz w:val="24"/>
          <w:szCs w:val="24"/>
        </w:rPr>
        <w:t>Vital Signs</w:t>
      </w:r>
      <w:r w:rsidR="00493FD3" w:rsidRPr="00573A31">
        <w:rPr>
          <w:rFonts w:ascii="Arial" w:hAnsi="Arial" w:cs="Arial"/>
          <w:sz w:val="24"/>
          <w:szCs w:val="24"/>
        </w:rPr>
        <w:t>: temperature, blood pressure and heart rate will be obtained at 15, 30 60 and 120 minutes after each CMV CTL infusion.</w:t>
      </w:r>
    </w:p>
    <w:p w14:paraId="30B894AD" w14:textId="77777777" w:rsidR="00493FD3" w:rsidRPr="00E54F86" w:rsidRDefault="00493FD3" w:rsidP="00493FD3">
      <w:pPr>
        <w:pStyle w:val="ListParagraph"/>
        <w:spacing w:after="60"/>
        <w:ind w:left="540"/>
        <w:rPr>
          <w:rFonts w:ascii="Arial" w:hAnsi="Arial" w:cs="Arial"/>
          <w:sz w:val="24"/>
          <w:szCs w:val="24"/>
        </w:rPr>
      </w:pPr>
    </w:p>
    <w:p w14:paraId="342C80A6" w14:textId="4FDF2CB9" w:rsidR="00493FD3" w:rsidRPr="00573A31" w:rsidRDefault="00CB392A" w:rsidP="00573A31">
      <w:pPr>
        <w:spacing w:after="60"/>
        <w:rPr>
          <w:rFonts w:ascii="Arial" w:hAnsi="Arial" w:cs="Arial"/>
          <w:sz w:val="24"/>
          <w:szCs w:val="24"/>
        </w:rPr>
      </w:pPr>
      <w:r>
        <w:rPr>
          <w:rFonts w:ascii="Arial" w:hAnsi="Arial" w:cs="Arial"/>
          <w:b/>
          <w:sz w:val="24"/>
          <w:szCs w:val="24"/>
        </w:rPr>
        <w:t xml:space="preserve">4.5  </w:t>
      </w:r>
      <w:r w:rsidR="00493FD3" w:rsidRPr="00573A31">
        <w:rPr>
          <w:rFonts w:ascii="Arial" w:hAnsi="Arial" w:cs="Arial"/>
          <w:b/>
          <w:sz w:val="24"/>
          <w:szCs w:val="24"/>
        </w:rPr>
        <w:t>CTL infusion will be held</w:t>
      </w:r>
      <w:r w:rsidR="00493FD3" w:rsidRPr="00573A31">
        <w:rPr>
          <w:rFonts w:ascii="Arial" w:hAnsi="Arial" w:cs="Arial"/>
          <w:sz w:val="24"/>
          <w:szCs w:val="24"/>
        </w:rPr>
        <w:t xml:space="preserve"> if any one of the following is present:</w:t>
      </w:r>
    </w:p>
    <w:p w14:paraId="2A5024F1" w14:textId="46258A6E" w:rsidR="00493FD3" w:rsidRPr="00E54F86" w:rsidRDefault="00493FD3" w:rsidP="00493FD3">
      <w:pPr>
        <w:ind w:left="720"/>
        <w:rPr>
          <w:rFonts w:ascii="Arial" w:hAnsi="Arial" w:cs="Arial"/>
          <w:sz w:val="24"/>
          <w:szCs w:val="24"/>
        </w:rPr>
      </w:pPr>
      <w:r w:rsidRPr="00E54F86">
        <w:rPr>
          <w:rFonts w:ascii="Arial" w:hAnsi="Arial" w:cs="Arial"/>
          <w:sz w:val="24"/>
          <w:szCs w:val="24"/>
        </w:rPr>
        <w:t>A) ATG</w:t>
      </w:r>
      <w:r>
        <w:rPr>
          <w:rFonts w:ascii="Arial" w:hAnsi="Arial" w:cs="Arial"/>
          <w:sz w:val="24"/>
          <w:szCs w:val="24"/>
        </w:rPr>
        <w:t xml:space="preserve"> and/or </w:t>
      </w:r>
      <w:r w:rsidRPr="00E54F86">
        <w:rPr>
          <w:rFonts w:ascii="Arial" w:hAnsi="Arial" w:cs="Arial"/>
          <w:sz w:val="24"/>
          <w:szCs w:val="24"/>
        </w:rPr>
        <w:t xml:space="preserve">alemtuzumab within </w:t>
      </w:r>
      <w:r>
        <w:rPr>
          <w:rFonts w:ascii="Arial" w:hAnsi="Arial" w:cs="Arial"/>
          <w:sz w:val="24"/>
          <w:szCs w:val="24"/>
        </w:rPr>
        <w:t>14 days</w:t>
      </w:r>
      <w:r w:rsidRPr="00E54F86">
        <w:rPr>
          <w:rFonts w:ascii="Arial" w:hAnsi="Arial" w:cs="Arial"/>
          <w:sz w:val="24"/>
          <w:szCs w:val="24"/>
        </w:rPr>
        <w:t xml:space="preserve"> </w:t>
      </w:r>
    </w:p>
    <w:p w14:paraId="5FA5F3B6" w14:textId="77777777" w:rsidR="00493FD3" w:rsidRPr="00E54F86" w:rsidRDefault="00493FD3" w:rsidP="00493FD3">
      <w:pPr>
        <w:ind w:left="720"/>
        <w:rPr>
          <w:rFonts w:ascii="Arial" w:hAnsi="Arial" w:cs="Arial"/>
          <w:sz w:val="24"/>
          <w:szCs w:val="24"/>
        </w:rPr>
      </w:pPr>
      <w:r w:rsidRPr="00E54F86">
        <w:rPr>
          <w:rFonts w:ascii="Arial" w:hAnsi="Arial" w:cs="Arial"/>
          <w:sz w:val="24"/>
          <w:szCs w:val="24"/>
        </w:rPr>
        <w:t>B) DLI within last 30 days</w:t>
      </w:r>
    </w:p>
    <w:p w14:paraId="7C8375DD" w14:textId="77777777" w:rsidR="00493FD3" w:rsidRPr="00E54F86" w:rsidRDefault="00493FD3" w:rsidP="00493FD3">
      <w:pPr>
        <w:ind w:left="720"/>
        <w:rPr>
          <w:rFonts w:ascii="Arial" w:hAnsi="Arial" w:cs="Arial"/>
          <w:sz w:val="24"/>
          <w:szCs w:val="24"/>
        </w:rPr>
      </w:pPr>
      <w:r w:rsidRPr="00E54F86">
        <w:rPr>
          <w:rFonts w:ascii="Arial" w:hAnsi="Arial" w:cs="Arial"/>
          <w:sz w:val="24"/>
          <w:szCs w:val="24"/>
        </w:rPr>
        <w:t>C) &gt;grade II AGVHD</w:t>
      </w:r>
    </w:p>
    <w:p w14:paraId="5A4D9CF0" w14:textId="77777777" w:rsidR="00493FD3" w:rsidRPr="00E54F86" w:rsidRDefault="00493FD3" w:rsidP="00493FD3">
      <w:pPr>
        <w:ind w:left="720"/>
        <w:rPr>
          <w:rFonts w:ascii="Arial" w:hAnsi="Arial" w:cs="Arial"/>
          <w:sz w:val="24"/>
          <w:szCs w:val="24"/>
        </w:rPr>
      </w:pPr>
      <w:r w:rsidRPr="00E54F86">
        <w:rPr>
          <w:rFonts w:ascii="Arial" w:hAnsi="Arial" w:cs="Arial"/>
          <w:sz w:val="24"/>
          <w:szCs w:val="24"/>
        </w:rPr>
        <w:t xml:space="preserve">D) </w:t>
      </w:r>
      <w:r w:rsidRPr="00813A55">
        <w:rPr>
          <w:rFonts w:ascii="Arial" w:hAnsi="Arial" w:cs="Arial"/>
        </w:rPr>
        <w:t>Patient receiving steroids (&gt;0.5 mg/kg prednisone equivalent) at the time of CTL infusion</w:t>
      </w:r>
      <w:r>
        <w:rPr>
          <w:rFonts w:ascii="Arial" w:hAnsi="Arial" w:cs="Arial"/>
        </w:rPr>
        <w:t>.</w:t>
      </w:r>
    </w:p>
    <w:p w14:paraId="6E8A948D" w14:textId="6ED5A70F" w:rsidR="00493FD3" w:rsidRPr="00E54F86" w:rsidRDefault="00493FD3" w:rsidP="00493FD3">
      <w:pPr>
        <w:ind w:left="720"/>
        <w:rPr>
          <w:rFonts w:ascii="Arial" w:hAnsi="Arial" w:cs="Arial"/>
          <w:color w:val="548DD4"/>
          <w:sz w:val="24"/>
          <w:szCs w:val="24"/>
        </w:rPr>
      </w:pPr>
      <w:r w:rsidRPr="00E54F86">
        <w:rPr>
          <w:rFonts w:ascii="Arial" w:hAnsi="Arial" w:cs="Arial"/>
          <w:sz w:val="24"/>
          <w:szCs w:val="24"/>
        </w:rPr>
        <w:t xml:space="preserve">E) Any dose limiting toxicity event (see </w:t>
      </w:r>
      <w:r w:rsidR="001F6117">
        <w:rPr>
          <w:rFonts w:ascii="Arial" w:hAnsi="Arial" w:cs="Arial"/>
          <w:sz w:val="24"/>
          <w:szCs w:val="24"/>
        </w:rPr>
        <w:t>7.0</w:t>
      </w:r>
      <w:r w:rsidRPr="00E54F86">
        <w:rPr>
          <w:rFonts w:ascii="Arial" w:hAnsi="Arial" w:cs="Arial"/>
          <w:sz w:val="24"/>
          <w:szCs w:val="24"/>
        </w:rPr>
        <w:t>) possibly, probably or definitely related to any CMV CTL prior infusion</w:t>
      </w:r>
    </w:p>
    <w:p w14:paraId="5571DE9B" w14:textId="77777777" w:rsidR="00493FD3" w:rsidRPr="00E54F86" w:rsidRDefault="00493FD3" w:rsidP="00493FD3">
      <w:pPr>
        <w:ind w:left="720"/>
        <w:rPr>
          <w:rFonts w:ascii="Arial" w:hAnsi="Arial" w:cs="Arial"/>
          <w:sz w:val="24"/>
          <w:szCs w:val="24"/>
        </w:rPr>
      </w:pPr>
      <w:r w:rsidRPr="00E54F86">
        <w:rPr>
          <w:rFonts w:ascii="Arial" w:hAnsi="Arial" w:cs="Arial"/>
          <w:sz w:val="24"/>
          <w:szCs w:val="24"/>
        </w:rPr>
        <w:t>F) Any grade 3-5 infusion-reaction, as graded by the NCI CTCAE v</w:t>
      </w:r>
      <w:r>
        <w:rPr>
          <w:rFonts w:ascii="Arial" w:hAnsi="Arial" w:cs="Arial"/>
          <w:sz w:val="24"/>
          <w:szCs w:val="24"/>
        </w:rPr>
        <w:t>5</w:t>
      </w:r>
      <w:r w:rsidRPr="00E54F86">
        <w:rPr>
          <w:rFonts w:ascii="Arial" w:hAnsi="Arial" w:cs="Arial"/>
          <w:sz w:val="24"/>
          <w:szCs w:val="24"/>
        </w:rPr>
        <w:t xml:space="preserve">.0, possibly, probably or definitely related to any CMV CTL prior infusion </w:t>
      </w:r>
    </w:p>
    <w:p w14:paraId="0C75C40B" w14:textId="1576DAEC" w:rsidR="00493FD3" w:rsidRPr="00E54F86" w:rsidRDefault="00493FD3" w:rsidP="00493FD3">
      <w:pPr>
        <w:ind w:left="720"/>
        <w:rPr>
          <w:rFonts w:ascii="Arial" w:hAnsi="Arial" w:cs="Arial"/>
          <w:sz w:val="24"/>
          <w:szCs w:val="24"/>
        </w:rPr>
      </w:pPr>
      <w:r w:rsidRPr="00E54F86">
        <w:rPr>
          <w:rFonts w:ascii="Arial" w:hAnsi="Arial" w:cs="Arial"/>
          <w:sz w:val="24"/>
          <w:szCs w:val="24"/>
        </w:rPr>
        <w:t>G) Recipient seroconversion to any FDA-listed relevant communicable diseases which upon investigation, is determined to be caused or potentially caused by the CMV CTL infused.</w:t>
      </w:r>
    </w:p>
    <w:p w14:paraId="1CEE8468" w14:textId="0BB94C81" w:rsidR="00493FD3" w:rsidRDefault="00493FD3" w:rsidP="00493FD3">
      <w:pPr>
        <w:ind w:left="720"/>
        <w:rPr>
          <w:rFonts w:ascii="Arial" w:hAnsi="Arial" w:cs="Arial"/>
          <w:sz w:val="24"/>
          <w:szCs w:val="24"/>
        </w:rPr>
      </w:pPr>
      <w:r w:rsidRPr="00E54F86">
        <w:rPr>
          <w:rFonts w:ascii="Arial" w:hAnsi="Arial" w:cs="Arial"/>
          <w:sz w:val="24"/>
          <w:szCs w:val="24"/>
        </w:rPr>
        <w:t>H) Recipient septicemia is determined to be caused or potentially caused by contaminated CMV CTL infusion</w:t>
      </w:r>
    </w:p>
    <w:p w14:paraId="055A5C48" w14:textId="5EB8B040" w:rsidR="00493FD3" w:rsidRPr="00E54F86" w:rsidRDefault="00493FD3" w:rsidP="00493FD3">
      <w:pPr>
        <w:ind w:left="720"/>
        <w:rPr>
          <w:rFonts w:ascii="Arial" w:hAnsi="Arial" w:cs="Arial"/>
          <w:sz w:val="24"/>
          <w:szCs w:val="24"/>
        </w:rPr>
      </w:pPr>
      <w:r>
        <w:rPr>
          <w:rFonts w:ascii="Arial" w:hAnsi="Arial" w:cs="Arial"/>
          <w:sz w:val="24"/>
          <w:szCs w:val="24"/>
        </w:rPr>
        <w:t>I) Performance status less than 30%</w:t>
      </w:r>
    </w:p>
    <w:p w14:paraId="7692E91B" w14:textId="77777777" w:rsidR="00493FD3" w:rsidRPr="00E54F86" w:rsidRDefault="00493FD3" w:rsidP="00493FD3">
      <w:pPr>
        <w:rPr>
          <w:rFonts w:ascii="Arial" w:hAnsi="Arial" w:cs="Arial"/>
          <w:sz w:val="24"/>
          <w:szCs w:val="24"/>
        </w:rPr>
      </w:pPr>
      <w:r w:rsidRPr="00E54F86">
        <w:rPr>
          <w:rFonts w:ascii="Arial" w:hAnsi="Arial" w:cs="Arial"/>
          <w:sz w:val="24"/>
          <w:szCs w:val="24"/>
        </w:rPr>
        <w:t xml:space="preserve">If none of these criteria exist CMV-specific CTLs will be administered. Patients may be premedicated with diphenhydramine up to 1mg/kg (max 50 mg) IV and acetaminophen 10mg/kg (max 650 mg) PO 30-60 minutes prior to infusion. </w:t>
      </w:r>
    </w:p>
    <w:p w14:paraId="7D059E6D" w14:textId="77777777" w:rsidR="00493FD3" w:rsidRPr="00E54F86" w:rsidRDefault="00493FD3" w:rsidP="00493FD3">
      <w:pPr>
        <w:rPr>
          <w:rFonts w:ascii="Arial" w:hAnsi="Arial" w:cs="Arial"/>
          <w:b/>
          <w:sz w:val="24"/>
          <w:szCs w:val="24"/>
        </w:rPr>
      </w:pPr>
    </w:p>
    <w:p w14:paraId="5B9BB1E8" w14:textId="53C694CC" w:rsidR="00493FD3" w:rsidRPr="00E54F86" w:rsidRDefault="00544A5E" w:rsidP="00493FD3">
      <w:pPr>
        <w:rPr>
          <w:rFonts w:ascii="Arial" w:hAnsi="Arial" w:cs="Arial"/>
          <w:sz w:val="24"/>
          <w:szCs w:val="24"/>
        </w:rPr>
      </w:pPr>
      <w:r>
        <w:rPr>
          <w:rFonts w:ascii="Arial" w:hAnsi="Arial" w:cs="Arial"/>
          <w:b/>
          <w:sz w:val="24"/>
          <w:szCs w:val="24"/>
        </w:rPr>
        <w:t>4.6</w:t>
      </w:r>
      <w:r w:rsidR="00493FD3" w:rsidRPr="00E54F86">
        <w:rPr>
          <w:rFonts w:ascii="Arial" w:hAnsi="Arial" w:cs="Arial"/>
          <w:b/>
          <w:sz w:val="24"/>
          <w:szCs w:val="24"/>
        </w:rPr>
        <w:t xml:space="preserve"> </w:t>
      </w:r>
      <w:r w:rsidR="00493FD3" w:rsidRPr="00E54F86">
        <w:rPr>
          <w:rFonts w:ascii="Arial" w:hAnsi="Arial" w:cs="Arial"/>
          <w:sz w:val="24"/>
          <w:szCs w:val="24"/>
        </w:rPr>
        <w:t xml:space="preserve">Management of Toxicity probably or definitely related to CMV CTLs </w:t>
      </w:r>
      <w:r w:rsidR="00493FD3" w:rsidRPr="00E54F86">
        <w:rPr>
          <w:rFonts w:ascii="Arial" w:hAnsi="Arial" w:cs="Arial"/>
          <w:sz w:val="24"/>
          <w:szCs w:val="24"/>
        </w:rPr>
        <w:tab/>
      </w:r>
    </w:p>
    <w:p w14:paraId="7F050A49" w14:textId="77777777" w:rsidR="00493FD3" w:rsidRDefault="00493FD3" w:rsidP="00493FD3">
      <w:pPr>
        <w:rPr>
          <w:rFonts w:ascii="Arial" w:hAnsi="Arial" w:cs="Arial"/>
          <w:sz w:val="24"/>
          <w:szCs w:val="24"/>
        </w:rPr>
      </w:pPr>
      <w:r w:rsidRPr="00E54F86">
        <w:rPr>
          <w:rFonts w:ascii="Arial" w:hAnsi="Arial" w:cs="Arial"/>
          <w:sz w:val="24"/>
          <w:szCs w:val="24"/>
        </w:rPr>
        <w:t>Patients with grade III-IV infusional toxicity probably or definitely attributable to CMV-specific CTLs- will receive solumedrol or prednisone at 2mg/kg/D. Other supportive care will be administered per institutional practice.</w:t>
      </w:r>
    </w:p>
    <w:p w14:paraId="49A30B89" w14:textId="77777777" w:rsidR="00493FD3" w:rsidRDefault="00493FD3" w:rsidP="00493FD3">
      <w:pPr>
        <w:rPr>
          <w:rFonts w:ascii="Arial" w:hAnsi="Arial" w:cs="Arial"/>
          <w:sz w:val="24"/>
          <w:szCs w:val="24"/>
        </w:rPr>
      </w:pPr>
    </w:p>
    <w:p w14:paraId="49BC90F6" w14:textId="4AC4FFEA" w:rsidR="00493FD3" w:rsidRPr="00E54F86" w:rsidRDefault="00431BC2" w:rsidP="00493FD3">
      <w:pPr>
        <w:spacing w:after="60"/>
        <w:rPr>
          <w:rFonts w:ascii="Arial" w:hAnsi="Arial" w:cs="Arial"/>
          <w:b/>
          <w:sz w:val="24"/>
          <w:szCs w:val="24"/>
        </w:rPr>
      </w:pPr>
      <w:r>
        <w:rPr>
          <w:rFonts w:ascii="Arial" w:hAnsi="Arial" w:cs="Arial"/>
          <w:b/>
          <w:sz w:val="24"/>
          <w:szCs w:val="24"/>
        </w:rPr>
        <w:t xml:space="preserve">5.0  </w:t>
      </w:r>
      <w:r w:rsidR="00493FD3" w:rsidRPr="00E54F86">
        <w:rPr>
          <w:rFonts w:ascii="Arial" w:hAnsi="Arial" w:cs="Arial"/>
          <w:b/>
          <w:sz w:val="24"/>
          <w:szCs w:val="24"/>
        </w:rPr>
        <w:t>Pre-Study Observations</w:t>
      </w:r>
      <w:bookmarkStart w:id="2" w:name="_Toc129776850"/>
      <w:bookmarkStart w:id="3" w:name="_Toc343872936"/>
    </w:p>
    <w:p w14:paraId="62121704" w14:textId="3B773E65" w:rsidR="00493FD3" w:rsidRPr="00E54F86" w:rsidRDefault="00431BC2" w:rsidP="00493FD3">
      <w:pPr>
        <w:spacing w:after="60"/>
        <w:rPr>
          <w:rFonts w:ascii="Arial" w:hAnsi="Arial" w:cs="Arial"/>
          <w:b/>
          <w:sz w:val="24"/>
          <w:szCs w:val="24"/>
        </w:rPr>
      </w:pPr>
      <w:r>
        <w:rPr>
          <w:rFonts w:ascii="Arial" w:hAnsi="Arial" w:cs="Arial"/>
          <w:b/>
          <w:sz w:val="24"/>
          <w:szCs w:val="24"/>
        </w:rPr>
        <w:t>5.</w:t>
      </w:r>
      <w:r w:rsidR="00493FD3">
        <w:rPr>
          <w:rFonts w:ascii="Arial" w:hAnsi="Arial" w:cs="Arial"/>
          <w:b/>
          <w:sz w:val="24"/>
          <w:szCs w:val="24"/>
        </w:rPr>
        <w:t>1</w:t>
      </w:r>
      <w:r w:rsidR="00493FD3" w:rsidRPr="00E54F86">
        <w:rPr>
          <w:rFonts w:ascii="Arial" w:hAnsi="Arial" w:cs="Arial"/>
          <w:b/>
          <w:sz w:val="24"/>
          <w:szCs w:val="24"/>
        </w:rPr>
        <w:t xml:space="preserve"> Visit I: Screening </w:t>
      </w:r>
      <w:bookmarkStart w:id="4" w:name="_Toc53823674"/>
      <w:bookmarkStart w:id="5" w:name="_Toc53993265"/>
      <w:bookmarkStart w:id="6" w:name="_Toc58831234"/>
      <w:bookmarkStart w:id="7" w:name="_Toc69103269"/>
      <w:bookmarkStart w:id="8" w:name="_Toc71016806"/>
      <w:bookmarkStart w:id="9" w:name="_Toc93223619"/>
      <w:bookmarkEnd w:id="2"/>
      <w:bookmarkEnd w:id="3"/>
    </w:p>
    <w:p w14:paraId="6B09D2A3" w14:textId="77777777" w:rsidR="00493FD3" w:rsidRPr="00E54F86" w:rsidRDefault="00493FD3" w:rsidP="00493FD3">
      <w:pPr>
        <w:pStyle w:val="Heading3"/>
        <w:keepLines w:val="0"/>
        <w:spacing w:before="240" w:after="120"/>
        <w:rPr>
          <w:rFonts w:ascii="Arial" w:hAnsi="Arial" w:cs="Arial"/>
          <w:b/>
          <w:color w:val="auto"/>
        </w:rPr>
      </w:pPr>
      <w:r w:rsidRPr="00E54F86">
        <w:rPr>
          <w:rFonts w:ascii="Arial" w:hAnsi="Arial" w:cs="Arial"/>
          <w:color w:val="auto"/>
        </w:rPr>
        <w:t>Patients will be informed by the investigator about the study at the screening visit; this will be recorded and documented appropriately. Written informed consent has to be obtained at the screening visit. No study related procedures will be performed before written consent has been obtained.</w:t>
      </w:r>
    </w:p>
    <w:p w14:paraId="72E29D6A" w14:textId="19E039D7" w:rsidR="00493FD3" w:rsidRPr="00573A31" w:rsidRDefault="00431BC2" w:rsidP="00573A31">
      <w:pPr>
        <w:tabs>
          <w:tab w:val="left" w:pos="0"/>
        </w:tabs>
        <w:rPr>
          <w:rFonts w:ascii="Arial" w:hAnsi="Arial" w:cs="Arial"/>
          <w:b/>
          <w:sz w:val="24"/>
          <w:szCs w:val="24"/>
        </w:rPr>
      </w:pPr>
      <w:bookmarkStart w:id="10" w:name="_Toc343872938"/>
      <w:r>
        <w:rPr>
          <w:rFonts w:ascii="Arial" w:hAnsi="Arial" w:cs="Arial"/>
          <w:b/>
          <w:sz w:val="24"/>
          <w:szCs w:val="24"/>
        </w:rPr>
        <w:t xml:space="preserve">5.2  </w:t>
      </w:r>
      <w:r w:rsidR="00493FD3" w:rsidRPr="00573A31">
        <w:rPr>
          <w:rFonts w:ascii="Arial" w:hAnsi="Arial" w:cs="Arial"/>
          <w:b/>
          <w:sz w:val="24"/>
          <w:szCs w:val="24"/>
        </w:rPr>
        <w:t>Pre CTL Infusion Observations</w:t>
      </w:r>
    </w:p>
    <w:p w14:paraId="7ABDE26A" w14:textId="68A18BAB" w:rsidR="00493FD3" w:rsidRPr="00493FD3" w:rsidRDefault="00431BC2" w:rsidP="00493FD3">
      <w:pPr>
        <w:tabs>
          <w:tab w:val="left" w:pos="0"/>
        </w:tabs>
        <w:rPr>
          <w:rFonts w:ascii="Arial" w:hAnsi="Arial" w:cs="Arial"/>
          <w:sz w:val="24"/>
          <w:szCs w:val="24"/>
        </w:rPr>
      </w:pPr>
      <w:r>
        <w:rPr>
          <w:rFonts w:ascii="Arial" w:hAnsi="Arial" w:cs="Arial"/>
          <w:sz w:val="24"/>
          <w:szCs w:val="24"/>
        </w:rPr>
        <w:t xml:space="preserve">5.2.1  </w:t>
      </w:r>
      <w:r w:rsidR="00493FD3" w:rsidRPr="00493FD3">
        <w:rPr>
          <w:rFonts w:ascii="Arial" w:hAnsi="Arial" w:cs="Arial"/>
          <w:sz w:val="24"/>
          <w:szCs w:val="24"/>
        </w:rPr>
        <w:t>History and physical examination: A complete history and physical examination including weight, height, BSA.</w:t>
      </w:r>
    </w:p>
    <w:p w14:paraId="61A406E6" w14:textId="18781D4E" w:rsidR="00493FD3" w:rsidRPr="00493FD3" w:rsidRDefault="00431BC2" w:rsidP="00493FD3">
      <w:pPr>
        <w:tabs>
          <w:tab w:val="left" w:pos="0"/>
        </w:tabs>
        <w:rPr>
          <w:rFonts w:ascii="Arial" w:hAnsi="Arial" w:cs="Arial"/>
          <w:sz w:val="24"/>
          <w:szCs w:val="24"/>
        </w:rPr>
      </w:pPr>
      <w:r>
        <w:rPr>
          <w:rFonts w:ascii="Arial" w:hAnsi="Arial" w:cs="Arial"/>
          <w:sz w:val="24"/>
          <w:szCs w:val="24"/>
        </w:rPr>
        <w:t xml:space="preserve">5.2.2  </w:t>
      </w:r>
      <w:r w:rsidR="00493FD3" w:rsidRPr="00493FD3">
        <w:rPr>
          <w:rFonts w:ascii="Arial" w:hAnsi="Arial" w:cs="Arial"/>
          <w:sz w:val="24"/>
          <w:szCs w:val="24"/>
        </w:rPr>
        <w:t>Hematology (must be within one week prior to starting therapy): WBC, differential, platelet count.</w:t>
      </w:r>
    </w:p>
    <w:p w14:paraId="6CA99246" w14:textId="5308E851" w:rsidR="00493FD3" w:rsidRPr="00493FD3" w:rsidRDefault="00431BC2" w:rsidP="00493FD3">
      <w:pPr>
        <w:rPr>
          <w:rFonts w:ascii="Arial" w:hAnsi="Arial" w:cs="Arial"/>
          <w:sz w:val="24"/>
          <w:szCs w:val="24"/>
        </w:rPr>
      </w:pPr>
      <w:r>
        <w:rPr>
          <w:rFonts w:ascii="Arial" w:hAnsi="Arial" w:cs="Arial"/>
          <w:sz w:val="24"/>
          <w:szCs w:val="24"/>
        </w:rPr>
        <w:lastRenderedPageBreak/>
        <w:t xml:space="preserve">5.2.3  </w:t>
      </w:r>
      <w:r w:rsidR="00493FD3" w:rsidRPr="00493FD3">
        <w:rPr>
          <w:rFonts w:ascii="Arial" w:hAnsi="Arial" w:cs="Arial"/>
          <w:sz w:val="24"/>
          <w:szCs w:val="24"/>
        </w:rPr>
        <w:t>Chemistry: Electrolytes, serum creatinine, BUN, total and direct bilirubin, SGPT(ALT), SGOT (AST), albumin, calcium, phosphorus, uric acid and magnesium, LDH.</w:t>
      </w:r>
    </w:p>
    <w:p w14:paraId="405D76C6" w14:textId="17C540FF" w:rsidR="00493FD3" w:rsidRPr="00493FD3" w:rsidRDefault="00431BC2" w:rsidP="00493FD3">
      <w:pPr>
        <w:rPr>
          <w:rFonts w:ascii="Arial" w:hAnsi="Arial" w:cs="Arial"/>
          <w:sz w:val="24"/>
          <w:szCs w:val="24"/>
        </w:rPr>
      </w:pPr>
      <w:r>
        <w:rPr>
          <w:rFonts w:ascii="Arial" w:hAnsi="Arial" w:cs="Arial"/>
          <w:sz w:val="24"/>
          <w:szCs w:val="24"/>
        </w:rPr>
        <w:t xml:space="preserve">5.2.4  </w:t>
      </w:r>
      <w:r w:rsidR="00493FD3" w:rsidRPr="00493FD3">
        <w:rPr>
          <w:rFonts w:ascii="Arial" w:hAnsi="Arial" w:cs="Arial"/>
          <w:sz w:val="24"/>
          <w:szCs w:val="24"/>
        </w:rPr>
        <w:t>Performance Status: Karnofsky or Lansky (age appropriate)</w:t>
      </w:r>
    </w:p>
    <w:p w14:paraId="5CA260C5" w14:textId="055B3AC0" w:rsidR="00493FD3" w:rsidRPr="00493FD3" w:rsidRDefault="00431BC2" w:rsidP="00493FD3">
      <w:pPr>
        <w:ind w:left="90" w:hanging="90"/>
        <w:rPr>
          <w:rFonts w:ascii="Arial" w:hAnsi="Arial" w:cs="Arial"/>
          <w:sz w:val="24"/>
          <w:szCs w:val="24"/>
        </w:rPr>
      </w:pPr>
      <w:r>
        <w:rPr>
          <w:rFonts w:ascii="Arial" w:hAnsi="Arial" w:cs="Arial"/>
          <w:sz w:val="24"/>
          <w:szCs w:val="24"/>
        </w:rPr>
        <w:t xml:space="preserve">5.2.5  </w:t>
      </w:r>
      <w:r w:rsidR="00493FD3" w:rsidRPr="00493FD3">
        <w:rPr>
          <w:rFonts w:ascii="Arial" w:hAnsi="Arial" w:cs="Arial"/>
          <w:sz w:val="24"/>
          <w:szCs w:val="24"/>
        </w:rPr>
        <w:t>Baseline Chimerism Study: on CTL donor and recipient</w:t>
      </w:r>
    </w:p>
    <w:p w14:paraId="5C675369" w14:textId="17E98F80" w:rsidR="00493FD3" w:rsidRPr="00493FD3" w:rsidRDefault="00431BC2" w:rsidP="00493FD3">
      <w:pPr>
        <w:rPr>
          <w:rFonts w:ascii="Arial" w:hAnsi="Arial" w:cs="Arial"/>
          <w:sz w:val="24"/>
          <w:szCs w:val="24"/>
        </w:rPr>
      </w:pPr>
      <w:r>
        <w:rPr>
          <w:rFonts w:ascii="Arial" w:hAnsi="Arial" w:cs="Arial"/>
          <w:sz w:val="24"/>
          <w:szCs w:val="24"/>
        </w:rPr>
        <w:t xml:space="preserve">5.2.6  </w:t>
      </w:r>
      <w:r w:rsidR="00493FD3" w:rsidRPr="00493FD3">
        <w:rPr>
          <w:rFonts w:ascii="Arial" w:hAnsi="Arial" w:cs="Arial"/>
          <w:sz w:val="24"/>
          <w:szCs w:val="24"/>
        </w:rPr>
        <w:t>Plasma or Serum CMV qRT-PCR</w:t>
      </w:r>
    </w:p>
    <w:p w14:paraId="02F7C7ED" w14:textId="7632DA5E" w:rsidR="00493FD3" w:rsidRPr="00493FD3" w:rsidRDefault="00431BC2" w:rsidP="00493FD3">
      <w:pPr>
        <w:rPr>
          <w:rFonts w:ascii="Arial" w:hAnsi="Arial" w:cs="Arial"/>
          <w:sz w:val="24"/>
          <w:szCs w:val="24"/>
        </w:rPr>
      </w:pPr>
      <w:r>
        <w:rPr>
          <w:rFonts w:ascii="Arial" w:hAnsi="Arial" w:cs="Arial"/>
          <w:sz w:val="24"/>
          <w:szCs w:val="24"/>
        </w:rPr>
        <w:t xml:space="preserve">5.2.7  </w:t>
      </w:r>
      <w:r w:rsidR="00493FD3" w:rsidRPr="00493FD3">
        <w:rPr>
          <w:rFonts w:ascii="Arial" w:hAnsi="Arial" w:cs="Arial"/>
          <w:sz w:val="24"/>
          <w:szCs w:val="24"/>
        </w:rPr>
        <w:t>HLA typing: HLA A and B by intermediate resolution; DRB1 by high resolution on donor and recipient</w:t>
      </w:r>
    </w:p>
    <w:p w14:paraId="610A5EC5" w14:textId="17F0432F" w:rsidR="00493FD3" w:rsidRPr="00493FD3" w:rsidRDefault="00431BC2" w:rsidP="00493FD3">
      <w:pPr>
        <w:jc w:val="both"/>
        <w:rPr>
          <w:rFonts w:ascii="Arial" w:hAnsi="Arial" w:cs="Arial"/>
          <w:sz w:val="24"/>
          <w:szCs w:val="24"/>
        </w:rPr>
      </w:pPr>
      <w:r>
        <w:rPr>
          <w:rFonts w:ascii="Arial" w:hAnsi="Arial" w:cs="Arial"/>
          <w:sz w:val="24"/>
          <w:szCs w:val="24"/>
        </w:rPr>
        <w:t xml:space="preserve">5.2.8  </w:t>
      </w:r>
      <w:r w:rsidR="00493FD3" w:rsidRPr="00493FD3">
        <w:rPr>
          <w:rFonts w:ascii="Arial" w:hAnsi="Arial" w:cs="Arial"/>
          <w:sz w:val="24"/>
          <w:szCs w:val="24"/>
        </w:rPr>
        <w:t>Characterization on Validations product of CMV-CTLs (Appendix 3) (Minimum 3 validations per site) (only on manufacturing validations)</w:t>
      </w:r>
    </w:p>
    <w:p w14:paraId="424C489A" w14:textId="4EA70D56" w:rsidR="00493FD3" w:rsidRPr="00493FD3" w:rsidRDefault="00431BC2" w:rsidP="00493FD3">
      <w:pPr>
        <w:jc w:val="both"/>
        <w:rPr>
          <w:rFonts w:ascii="Arial" w:hAnsi="Arial" w:cs="Arial"/>
          <w:sz w:val="24"/>
          <w:szCs w:val="24"/>
        </w:rPr>
      </w:pPr>
      <w:r>
        <w:rPr>
          <w:rFonts w:ascii="Arial" w:hAnsi="Arial" w:cs="Arial"/>
          <w:bCs/>
          <w:sz w:val="24"/>
          <w:szCs w:val="24"/>
        </w:rPr>
        <w:t xml:space="preserve">5.2.9  </w:t>
      </w:r>
      <w:r w:rsidR="00493FD3" w:rsidRPr="00493FD3">
        <w:rPr>
          <w:rFonts w:ascii="Arial" w:hAnsi="Arial" w:cs="Arial"/>
          <w:bCs/>
          <w:sz w:val="24"/>
          <w:szCs w:val="24"/>
        </w:rPr>
        <w:t>Characterization and Functional Assessment of the CMV CTL Clinical Grade Product</w:t>
      </w:r>
      <w:r w:rsidR="00493FD3" w:rsidRPr="00493FD3">
        <w:rPr>
          <w:rFonts w:ascii="Arial" w:hAnsi="Arial" w:cs="Arial"/>
          <w:b/>
          <w:sz w:val="24"/>
          <w:szCs w:val="24"/>
        </w:rPr>
        <w:t xml:space="preserve"> </w:t>
      </w:r>
      <w:r w:rsidR="00493FD3" w:rsidRPr="00493FD3">
        <w:rPr>
          <w:rFonts w:ascii="Arial" w:hAnsi="Arial" w:cs="Arial"/>
          <w:sz w:val="24"/>
          <w:szCs w:val="24"/>
        </w:rPr>
        <w:t>(Appendix 4) (only on clinical product)</w:t>
      </w:r>
    </w:p>
    <w:p w14:paraId="038A1F14" w14:textId="5C6024B5" w:rsidR="00493FD3" w:rsidRPr="00493FD3" w:rsidRDefault="00431BC2" w:rsidP="00493FD3">
      <w:pPr>
        <w:jc w:val="both"/>
        <w:rPr>
          <w:rFonts w:ascii="Arial" w:hAnsi="Arial" w:cs="Arial"/>
          <w:sz w:val="24"/>
          <w:szCs w:val="24"/>
        </w:rPr>
      </w:pPr>
      <w:r>
        <w:rPr>
          <w:rFonts w:ascii="Arial" w:hAnsi="Arial" w:cs="Arial"/>
          <w:sz w:val="24"/>
          <w:szCs w:val="24"/>
        </w:rPr>
        <w:t>5.2.1</w:t>
      </w:r>
      <w:r w:rsidR="000C1DDC">
        <w:rPr>
          <w:rFonts w:ascii="Arial" w:hAnsi="Arial" w:cs="Arial"/>
          <w:sz w:val="24"/>
          <w:szCs w:val="24"/>
        </w:rPr>
        <w:t>0</w:t>
      </w:r>
      <w:r>
        <w:rPr>
          <w:rFonts w:ascii="Arial" w:hAnsi="Arial" w:cs="Arial"/>
          <w:sz w:val="24"/>
          <w:szCs w:val="24"/>
        </w:rPr>
        <w:t xml:space="preserve">  </w:t>
      </w:r>
      <w:r w:rsidR="00493FD3" w:rsidRPr="00493FD3">
        <w:rPr>
          <w:rFonts w:ascii="Arial" w:hAnsi="Arial" w:cs="Arial"/>
          <w:sz w:val="24"/>
          <w:szCs w:val="24"/>
        </w:rPr>
        <w:t xml:space="preserve">Pre-existing HLA Antibodies (Appendix </w:t>
      </w:r>
      <w:r w:rsidR="000C5C92">
        <w:rPr>
          <w:rFonts w:ascii="Arial" w:hAnsi="Arial" w:cs="Arial"/>
          <w:sz w:val="24"/>
          <w:szCs w:val="24"/>
        </w:rPr>
        <w:t>8</w:t>
      </w:r>
      <w:r w:rsidR="00493FD3" w:rsidRPr="00493FD3">
        <w:rPr>
          <w:rFonts w:ascii="Arial" w:hAnsi="Arial" w:cs="Arial"/>
          <w:sz w:val="24"/>
          <w:szCs w:val="24"/>
        </w:rPr>
        <w:t>)</w:t>
      </w:r>
    </w:p>
    <w:p w14:paraId="64D701A7" w14:textId="4994C504" w:rsidR="00493FD3" w:rsidRPr="00493FD3" w:rsidRDefault="00431BC2" w:rsidP="00493FD3">
      <w:pPr>
        <w:jc w:val="both"/>
        <w:rPr>
          <w:rFonts w:ascii="Arial" w:hAnsi="Arial" w:cs="Arial"/>
          <w:sz w:val="24"/>
          <w:szCs w:val="24"/>
        </w:rPr>
      </w:pPr>
      <w:r>
        <w:rPr>
          <w:rFonts w:ascii="Arial" w:hAnsi="Arial" w:cs="Arial"/>
          <w:sz w:val="24"/>
          <w:szCs w:val="24"/>
        </w:rPr>
        <w:t>5.2.1</w:t>
      </w:r>
      <w:r w:rsidR="000C1DDC">
        <w:rPr>
          <w:rFonts w:ascii="Arial" w:hAnsi="Arial" w:cs="Arial"/>
          <w:sz w:val="24"/>
          <w:szCs w:val="24"/>
        </w:rPr>
        <w:t>1</w:t>
      </w:r>
      <w:r>
        <w:rPr>
          <w:rFonts w:ascii="Arial" w:hAnsi="Arial" w:cs="Arial"/>
          <w:sz w:val="24"/>
          <w:szCs w:val="24"/>
        </w:rPr>
        <w:t xml:space="preserve">  </w:t>
      </w:r>
      <w:r w:rsidR="00493FD3" w:rsidRPr="00493FD3">
        <w:rPr>
          <w:rFonts w:ascii="Arial" w:hAnsi="Arial" w:cs="Arial"/>
          <w:sz w:val="24"/>
          <w:szCs w:val="24"/>
        </w:rPr>
        <w:t>All other laboratory monitoring according to the treating physician/standard of care</w:t>
      </w:r>
    </w:p>
    <w:p w14:paraId="27675722" w14:textId="77777777" w:rsidR="00493FD3" w:rsidRPr="000B3347" w:rsidRDefault="00493FD3" w:rsidP="00493FD3">
      <w:pPr>
        <w:pStyle w:val="ListParagraph"/>
        <w:spacing w:after="0" w:line="240" w:lineRule="auto"/>
        <w:rPr>
          <w:rFonts w:ascii="Arial" w:hAnsi="Arial" w:cs="Arial"/>
          <w:sz w:val="24"/>
          <w:szCs w:val="24"/>
        </w:rPr>
      </w:pPr>
    </w:p>
    <w:p w14:paraId="428689AB" w14:textId="6B56F95A" w:rsidR="00493FD3" w:rsidRPr="00493FD3" w:rsidRDefault="00DB1ACF" w:rsidP="00493FD3">
      <w:pPr>
        <w:tabs>
          <w:tab w:val="left" w:pos="0"/>
        </w:tabs>
        <w:rPr>
          <w:rFonts w:ascii="Arial" w:hAnsi="Arial" w:cs="Arial"/>
          <w:b/>
          <w:sz w:val="24"/>
          <w:szCs w:val="24"/>
        </w:rPr>
      </w:pPr>
      <w:r>
        <w:rPr>
          <w:rFonts w:ascii="Arial" w:hAnsi="Arial" w:cs="Arial"/>
          <w:b/>
          <w:sz w:val="24"/>
          <w:szCs w:val="24"/>
        </w:rPr>
        <w:t>5.</w:t>
      </w:r>
      <w:r w:rsidR="00493FD3">
        <w:rPr>
          <w:rFonts w:ascii="Arial" w:hAnsi="Arial" w:cs="Arial"/>
          <w:b/>
          <w:sz w:val="24"/>
          <w:szCs w:val="24"/>
        </w:rPr>
        <w:t xml:space="preserve">3 </w:t>
      </w:r>
      <w:r w:rsidR="00493FD3" w:rsidRPr="00493FD3">
        <w:rPr>
          <w:rFonts w:ascii="Arial" w:hAnsi="Arial" w:cs="Arial"/>
          <w:b/>
          <w:sz w:val="24"/>
          <w:szCs w:val="24"/>
        </w:rPr>
        <w:t>Post CMV CTLs Infusions Observations</w:t>
      </w:r>
    </w:p>
    <w:p w14:paraId="3E5C488D" w14:textId="02A8D5CE" w:rsidR="00493FD3" w:rsidRPr="00493FD3" w:rsidRDefault="008C35D3" w:rsidP="00BB6DF5">
      <w:pPr>
        <w:tabs>
          <w:tab w:val="left" w:pos="0"/>
        </w:tabs>
        <w:rPr>
          <w:rFonts w:ascii="Arial" w:hAnsi="Arial" w:cs="Arial"/>
          <w:sz w:val="24"/>
          <w:szCs w:val="24"/>
        </w:rPr>
      </w:pPr>
      <w:r>
        <w:rPr>
          <w:rFonts w:ascii="Arial" w:hAnsi="Arial" w:cs="Arial"/>
          <w:sz w:val="24"/>
          <w:szCs w:val="24"/>
        </w:rPr>
        <w:t xml:space="preserve">5.3.1  </w:t>
      </w:r>
      <w:r w:rsidR="00493FD3" w:rsidRPr="00493FD3">
        <w:rPr>
          <w:rFonts w:ascii="Arial" w:hAnsi="Arial" w:cs="Arial"/>
          <w:sz w:val="24"/>
          <w:szCs w:val="24"/>
        </w:rPr>
        <w:t>CBC with manual differential, platelet count weekly (±3 days) through week 12 post last CTL infusion</w:t>
      </w:r>
    </w:p>
    <w:p w14:paraId="7558247B" w14:textId="343E400F" w:rsidR="00493FD3" w:rsidRPr="00493FD3" w:rsidRDefault="008C35D3" w:rsidP="00BB6DF5">
      <w:pPr>
        <w:tabs>
          <w:tab w:val="left" w:pos="0"/>
        </w:tabs>
        <w:rPr>
          <w:rFonts w:ascii="Arial" w:hAnsi="Arial" w:cs="Arial"/>
          <w:sz w:val="24"/>
          <w:szCs w:val="24"/>
        </w:rPr>
      </w:pPr>
      <w:r>
        <w:rPr>
          <w:rFonts w:ascii="Arial" w:hAnsi="Arial" w:cs="Arial"/>
          <w:sz w:val="24"/>
          <w:szCs w:val="24"/>
        </w:rPr>
        <w:t xml:space="preserve">5.3.2  </w:t>
      </w:r>
      <w:r w:rsidR="00493FD3" w:rsidRPr="00493FD3">
        <w:rPr>
          <w:rFonts w:ascii="Arial" w:hAnsi="Arial" w:cs="Arial"/>
          <w:sz w:val="24"/>
          <w:szCs w:val="24"/>
        </w:rPr>
        <w:t xml:space="preserve">GVHD: weekly assessment of stage and grade of both acute and chronic GVHD  and as clinically indicated (Appendix </w:t>
      </w:r>
      <w:r w:rsidR="000C5C92">
        <w:rPr>
          <w:rFonts w:ascii="Arial" w:hAnsi="Arial" w:cs="Arial"/>
          <w:sz w:val="24"/>
          <w:szCs w:val="24"/>
        </w:rPr>
        <w:t>6</w:t>
      </w:r>
      <w:r w:rsidR="009842FF">
        <w:rPr>
          <w:rFonts w:ascii="Arial" w:hAnsi="Arial" w:cs="Arial"/>
          <w:sz w:val="24"/>
          <w:szCs w:val="24"/>
        </w:rPr>
        <w:t xml:space="preserve"> and </w:t>
      </w:r>
      <w:r w:rsidR="000C5C92">
        <w:rPr>
          <w:rFonts w:ascii="Arial" w:hAnsi="Arial" w:cs="Arial"/>
          <w:sz w:val="24"/>
          <w:szCs w:val="24"/>
        </w:rPr>
        <w:t>7</w:t>
      </w:r>
      <w:r w:rsidR="00493FD3" w:rsidRPr="00493FD3">
        <w:rPr>
          <w:rFonts w:ascii="Arial" w:hAnsi="Arial" w:cs="Arial"/>
          <w:sz w:val="24"/>
          <w:szCs w:val="24"/>
        </w:rPr>
        <w:t>)</w:t>
      </w:r>
    </w:p>
    <w:p w14:paraId="517C8C07" w14:textId="532C5265" w:rsidR="00493FD3" w:rsidRPr="00493FD3" w:rsidRDefault="008C35D3" w:rsidP="00BB6DF5">
      <w:pPr>
        <w:tabs>
          <w:tab w:val="left" w:pos="0"/>
        </w:tabs>
        <w:rPr>
          <w:rFonts w:ascii="Arial" w:hAnsi="Arial" w:cs="Arial"/>
          <w:sz w:val="24"/>
          <w:szCs w:val="24"/>
        </w:rPr>
      </w:pPr>
      <w:r>
        <w:rPr>
          <w:rFonts w:ascii="Arial" w:hAnsi="Arial" w:cs="Arial"/>
          <w:sz w:val="24"/>
          <w:szCs w:val="24"/>
        </w:rPr>
        <w:t xml:space="preserve">5.3.3  </w:t>
      </w:r>
      <w:r w:rsidR="00493FD3" w:rsidRPr="00493FD3">
        <w:rPr>
          <w:rFonts w:ascii="Arial" w:hAnsi="Arial" w:cs="Arial"/>
          <w:sz w:val="24"/>
          <w:szCs w:val="24"/>
        </w:rPr>
        <w:t>Plasma or serum CMV qRT-PCR for CMV weekly (± 3 days) or more often if clinically needed, through week 12.</w:t>
      </w:r>
    </w:p>
    <w:p w14:paraId="3214C06F" w14:textId="6661C973" w:rsidR="00493FD3" w:rsidRPr="00493FD3" w:rsidRDefault="008C35D3" w:rsidP="00BB6DF5">
      <w:pPr>
        <w:tabs>
          <w:tab w:val="left" w:pos="0"/>
        </w:tabs>
        <w:rPr>
          <w:rFonts w:ascii="Arial" w:hAnsi="Arial" w:cs="Arial"/>
          <w:sz w:val="24"/>
          <w:szCs w:val="24"/>
        </w:rPr>
      </w:pPr>
      <w:r>
        <w:rPr>
          <w:rFonts w:ascii="Arial" w:hAnsi="Arial" w:cs="Arial"/>
          <w:sz w:val="24"/>
          <w:szCs w:val="24"/>
        </w:rPr>
        <w:t xml:space="preserve">5.3.4  </w:t>
      </w:r>
      <w:r w:rsidR="00493FD3" w:rsidRPr="00493FD3">
        <w:rPr>
          <w:rFonts w:ascii="Arial" w:hAnsi="Arial" w:cs="Arial"/>
          <w:sz w:val="24"/>
          <w:szCs w:val="24"/>
        </w:rPr>
        <w:t>Immune Studies: Quantitative immunoglobulins and quantitative CD3+ CD4+, CD8+, CD19+ and CD3-/CD56+ peripheral blood counts on days 60, 100, 180 and 365 (±10 days) post last CMV CTL infusion</w:t>
      </w:r>
    </w:p>
    <w:p w14:paraId="61273EA2" w14:textId="507A3C09" w:rsidR="00493FD3" w:rsidRPr="00493FD3" w:rsidRDefault="008C35D3" w:rsidP="00BB6DF5">
      <w:pPr>
        <w:tabs>
          <w:tab w:val="left" w:pos="0"/>
        </w:tabs>
        <w:rPr>
          <w:rFonts w:ascii="Arial" w:hAnsi="Arial" w:cs="Arial"/>
          <w:sz w:val="24"/>
          <w:szCs w:val="24"/>
        </w:rPr>
      </w:pPr>
      <w:r>
        <w:rPr>
          <w:rFonts w:ascii="Arial" w:hAnsi="Arial" w:cs="Arial"/>
          <w:sz w:val="24"/>
          <w:szCs w:val="24"/>
        </w:rPr>
        <w:t xml:space="preserve">5.3.5  </w:t>
      </w:r>
      <w:r w:rsidR="00493FD3" w:rsidRPr="00493FD3">
        <w:rPr>
          <w:rFonts w:ascii="Arial" w:hAnsi="Arial" w:cs="Arial"/>
          <w:sz w:val="24"/>
          <w:szCs w:val="24"/>
        </w:rPr>
        <w:t>Performance Status: Karnofsky or Lansky to be documented at Day +30, 100, 180 and 365 (±10 days) post last CTL infusion.</w:t>
      </w:r>
    </w:p>
    <w:bookmarkEnd w:id="4"/>
    <w:bookmarkEnd w:id="5"/>
    <w:bookmarkEnd w:id="6"/>
    <w:bookmarkEnd w:id="7"/>
    <w:bookmarkEnd w:id="8"/>
    <w:bookmarkEnd w:id="9"/>
    <w:bookmarkEnd w:id="10"/>
    <w:p w14:paraId="5201E50A" w14:textId="77777777" w:rsidR="00F42E4C" w:rsidRDefault="00F42E4C" w:rsidP="00493FD3">
      <w:pPr>
        <w:pStyle w:val="Heading2"/>
        <w:spacing w:before="120" w:after="120" w:line="276" w:lineRule="auto"/>
        <w:rPr>
          <w:rFonts w:cs="Arial"/>
          <w:i w:val="0"/>
          <w:szCs w:val="24"/>
          <w:lang w:val="en-US"/>
        </w:rPr>
      </w:pPr>
    </w:p>
    <w:p w14:paraId="5E668F1C" w14:textId="7190906F" w:rsidR="00493FD3" w:rsidRPr="00E54F86" w:rsidRDefault="005832D0" w:rsidP="00493FD3">
      <w:pPr>
        <w:pStyle w:val="Heading2"/>
        <w:spacing w:before="120" w:after="120" w:line="276" w:lineRule="auto"/>
        <w:rPr>
          <w:rFonts w:cs="Arial"/>
          <w:i w:val="0"/>
          <w:szCs w:val="24"/>
          <w:lang w:val="en-US"/>
        </w:rPr>
      </w:pPr>
      <w:r>
        <w:rPr>
          <w:rFonts w:cs="Arial"/>
          <w:i w:val="0"/>
          <w:szCs w:val="24"/>
          <w:lang w:val="en-US"/>
        </w:rPr>
        <w:t xml:space="preserve">6.0  </w:t>
      </w:r>
      <w:r w:rsidR="00493FD3" w:rsidRPr="00E54F86">
        <w:rPr>
          <w:rFonts w:cs="Arial"/>
          <w:i w:val="0"/>
          <w:szCs w:val="24"/>
          <w:lang w:val="en-US"/>
        </w:rPr>
        <w:t>Preparation of the CMV CTLs</w:t>
      </w:r>
    </w:p>
    <w:p w14:paraId="1F8D162B" w14:textId="6AE916D7" w:rsidR="00493FD3" w:rsidRPr="00E54F86" w:rsidRDefault="005832D0" w:rsidP="00493FD3">
      <w:pPr>
        <w:tabs>
          <w:tab w:val="left" w:pos="4140"/>
        </w:tabs>
        <w:spacing w:after="60"/>
        <w:rPr>
          <w:rFonts w:ascii="Arial" w:hAnsi="Arial" w:cs="Arial"/>
          <w:b/>
          <w:sz w:val="24"/>
          <w:szCs w:val="24"/>
        </w:rPr>
      </w:pPr>
      <w:r>
        <w:rPr>
          <w:rFonts w:ascii="Arial" w:hAnsi="Arial" w:cs="Arial"/>
          <w:b/>
          <w:sz w:val="24"/>
          <w:szCs w:val="24"/>
        </w:rPr>
        <w:t>6.</w:t>
      </w:r>
      <w:r w:rsidR="00493FD3">
        <w:rPr>
          <w:rFonts w:ascii="Arial" w:hAnsi="Arial" w:cs="Arial"/>
          <w:b/>
          <w:sz w:val="24"/>
          <w:szCs w:val="24"/>
        </w:rPr>
        <w:t>1</w:t>
      </w:r>
      <w:r w:rsidR="00493FD3" w:rsidRPr="00E54F86">
        <w:rPr>
          <w:rFonts w:ascii="Arial" w:hAnsi="Arial" w:cs="Arial"/>
          <w:b/>
          <w:sz w:val="24"/>
          <w:szCs w:val="24"/>
        </w:rPr>
        <w:t xml:space="preserve"> Manufacture</w:t>
      </w:r>
    </w:p>
    <w:p w14:paraId="02982B45" w14:textId="53E64577" w:rsidR="00493FD3" w:rsidRPr="00E54F86" w:rsidRDefault="005832D0" w:rsidP="00493FD3">
      <w:pPr>
        <w:tabs>
          <w:tab w:val="left" w:pos="4140"/>
        </w:tabs>
        <w:spacing w:after="60"/>
        <w:rPr>
          <w:rFonts w:ascii="Arial" w:hAnsi="Arial" w:cs="Arial"/>
          <w:sz w:val="24"/>
          <w:szCs w:val="24"/>
        </w:rPr>
      </w:pPr>
      <w:r>
        <w:rPr>
          <w:rFonts w:ascii="Arial" w:hAnsi="Arial" w:cs="Arial"/>
          <w:sz w:val="24"/>
          <w:szCs w:val="24"/>
        </w:rPr>
        <w:t xml:space="preserve">6.1.1  </w:t>
      </w:r>
      <w:r w:rsidR="00493FD3" w:rsidRPr="00E54F86">
        <w:rPr>
          <w:rFonts w:ascii="Arial" w:hAnsi="Arial" w:cs="Arial"/>
          <w:sz w:val="24"/>
          <w:szCs w:val="24"/>
        </w:rPr>
        <w:t>Manufacturing of the CMV CTLs preparations will be performed in the institutional stem cell processing laboratory.  The manufacturing process and quality control will be performed according to validated procedures and documented in accordance with full GMP requirements.</w:t>
      </w:r>
    </w:p>
    <w:p w14:paraId="22C099A9" w14:textId="77777777" w:rsidR="00493FD3" w:rsidRPr="00E54F86" w:rsidRDefault="00493FD3" w:rsidP="00493FD3">
      <w:pPr>
        <w:pStyle w:val="Synopsis"/>
        <w:spacing w:after="60" w:line="276" w:lineRule="auto"/>
        <w:ind w:firstLine="0"/>
        <w:rPr>
          <w:rFonts w:ascii="Arial" w:hAnsi="Arial" w:cs="Arial"/>
          <w:sz w:val="24"/>
          <w:szCs w:val="24"/>
          <w:lang w:val="en-US"/>
        </w:rPr>
      </w:pPr>
      <w:r w:rsidRPr="00E54F86">
        <w:rPr>
          <w:rFonts w:ascii="Arial" w:hAnsi="Arial" w:cs="Arial"/>
          <w:sz w:val="24"/>
          <w:szCs w:val="24"/>
          <w:lang w:val="en-US"/>
        </w:rPr>
        <w:t>The individual, donor-derived blood product (whole blood or leukapheresis product) will be incubated with PepTivator</w:t>
      </w:r>
      <w:r w:rsidRPr="00E54F86">
        <w:rPr>
          <w:rFonts w:ascii="Arial" w:hAnsi="Arial" w:cs="Arial"/>
          <w:sz w:val="24"/>
          <w:szCs w:val="24"/>
          <w:vertAlign w:val="superscript"/>
          <w:lang w:val="en-US"/>
        </w:rPr>
        <w:t>®</w:t>
      </w:r>
      <w:r w:rsidRPr="00E54F86">
        <w:rPr>
          <w:rFonts w:ascii="Arial" w:hAnsi="Arial" w:cs="Arial"/>
          <w:sz w:val="24"/>
          <w:szCs w:val="24"/>
          <w:lang w:val="en-US"/>
        </w:rPr>
        <w:t xml:space="preserve"> Peptide Pools of HCMV pp65. After incubation, virus-specific cells will be enriched using the CliniMACS Cytokine Capture System (IFN-gamma). The entire preparation process will be performed using the fully automated CliniMACS Prodigy. If the total number of cells in the </w:t>
      </w:r>
      <w:r w:rsidRPr="00E54F86">
        <w:rPr>
          <w:rFonts w:ascii="Arial" w:hAnsi="Arial" w:cs="Arial"/>
          <w:sz w:val="24"/>
          <w:szCs w:val="24"/>
        </w:rPr>
        <w:t>CMV-specific T cells</w:t>
      </w:r>
      <w:r w:rsidRPr="00E54F86">
        <w:rPr>
          <w:rFonts w:ascii="Arial" w:hAnsi="Arial" w:cs="Arial"/>
          <w:sz w:val="24"/>
          <w:szCs w:val="24"/>
          <w:lang w:val="en-US"/>
        </w:rPr>
        <w:t xml:space="preserve"> exceeds the number defined for the first dose of CMV-CTLs, the remaining CMV-CTLs will be cryopreserved. They may be given at a later time up to the defined total maximum dose, if necessary.</w:t>
      </w:r>
    </w:p>
    <w:p w14:paraId="51D3A696" w14:textId="77777777" w:rsidR="00493FD3" w:rsidRDefault="00493FD3" w:rsidP="00493FD3">
      <w:pPr>
        <w:pStyle w:val="Synopsis"/>
        <w:spacing w:after="60"/>
        <w:rPr>
          <w:rFonts w:ascii="Arial" w:hAnsi="Arial" w:cs="Arial"/>
          <w:b/>
          <w:sz w:val="24"/>
          <w:szCs w:val="24"/>
          <w:lang w:val="en-US"/>
        </w:rPr>
      </w:pPr>
    </w:p>
    <w:p w14:paraId="3FAAB031" w14:textId="0B1E1950" w:rsidR="00493FD3" w:rsidRPr="00887B52" w:rsidRDefault="005832D0" w:rsidP="00493FD3">
      <w:pPr>
        <w:pStyle w:val="Synopsis"/>
        <w:spacing w:after="60"/>
        <w:rPr>
          <w:rFonts w:ascii="Arial" w:hAnsi="Arial" w:cs="Arial"/>
          <w:b/>
          <w:sz w:val="24"/>
          <w:szCs w:val="24"/>
          <w:lang w:val="en-US"/>
        </w:rPr>
      </w:pPr>
      <w:r>
        <w:rPr>
          <w:rFonts w:ascii="Arial" w:hAnsi="Arial" w:cs="Arial"/>
          <w:b/>
          <w:sz w:val="24"/>
          <w:szCs w:val="24"/>
          <w:lang w:val="en-US"/>
        </w:rPr>
        <w:lastRenderedPageBreak/>
        <w:t>6.1.</w:t>
      </w:r>
      <w:r w:rsidR="00493FD3">
        <w:rPr>
          <w:rFonts w:ascii="Arial" w:hAnsi="Arial" w:cs="Arial"/>
          <w:b/>
          <w:sz w:val="24"/>
          <w:szCs w:val="24"/>
          <w:lang w:val="en-US"/>
        </w:rPr>
        <w:t>2</w:t>
      </w:r>
      <w:r w:rsidR="00493FD3" w:rsidRPr="00887B52">
        <w:rPr>
          <w:rFonts w:ascii="Arial" w:hAnsi="Arial" w:cs="Arial"/>
          <w:b/>
          <w:sz w:val="24"/>
          <w:szCs w:val="24"/>
          <w:lang w:val="en-US"/>
        </w:rPr>
        <w:t xml:space="preserve"> Assessment</w:t>
      </w:r>
    </w:p>
    <w:p w14:paraId="123630A1" w14:textId="77777777" w:rsidR="00493FD3" w:rsidRPr="00E54F86" w:rsidRDefault="00493FD3" w:rsidP="00493FD3">
      <w:pPr>
        <w:pStyle w:val="Synopsis"/>
        <w:spacing w:after="60"/>
        <w:rPr>
          <w:rFonts w:ascii="Arial" w:hAnsi="Arial" w:cs="Arial"/>
          <w:sz w:val="24"/>
          <w:szCs w:val="24"/>
          <w:lang w:val="en-US"/>
        </w:rPr>
      </w:pPr>
      <w:r w:rsidRPr="00E54F86">
        <w:rPr>
          <w:rFonts w:ascii="Arial" w:hAnsi="Arial" w:cs="Arial"/>
          <w:sz w:val="24"/>
          <w:szCs w:val="24"/>
          <w:lang w:val="en-US"/>
        </w:rPr>
        <w:t xml:space="preserve">Products will be assessed for IFNg+ T cell content (CD4+/IFNg+ and CD8+/IFNg+) by flow cytometry using validated methods. </w:t>
      </w:r>
    </w:p>
    <w:p w14:paraId="43F44863" w14:textId="77777777" w:rsidR="00493FD3" w:rsidRPr="00E54F86" w:rsidRDefault="00493FD3" w:rsidP="00493FD3">
      <w:pPr>
        <w:pStyle w:val="Synopsis"/>
        <w:spacing w:after="60"/>
        <w:rPr>
          <w:rFonts w:ascii="Arial" w:hAnsi="Arial" w:cs="Arial"/>
          <w:sz w:val="24"/>
          <w:szCs w:val="24"/>
          <w:lang w:val="en-US"/>
        </w:rPr>
      </w:pPr>
    </w:p>
    <w:p w14:paraId="0D89C4C7" w14:textId="1CBDD86C" w:rsidR="00493FD3" w:rsidRPr="00887B52" w:rsidRDefault="005832D0" w:rsidP="00493FD3">
      <w:pPr>
        <w:pStyle w:val="Synopsis"/>
        <w:spacing w:after="60"/>
        <w:jc w:val="both"/>
        <w:rPr>
          <w:rFonts w:ascii="Arial" w:hAnsi="Arial" w:cs="Arial"/>
          <w:b/>
          <w:sz w:val="24"/>
          <w:szCs w:val="24"/>
          <w:lang w:val="en-US"/>
        </w:rPr>
      </w:pPr>
      <w:r>
        <w:rPr>
          <w:rFonts w:ascii="Arial" w:hAnsi="Arial" w:cs="Arial"/>
          <w:b/>
          <w:sz w:val="24"/>
          <w:szCs w:val="24"/>
          <w:lang w:val="en-US"/>
        </w:rPr>
        <w:t>6.1.</w:t>
      </w:r>
      <w:r w:rsidR="00493FD3">
        <w:rPr>
          <w:rFonts w:ascii="Arial" w:hAnsi="Arial" w:cs="Arial"/>
          <w:b/>
          <w:sz w:val="24"/>
          <w:szCs w:val="24"/>
          <w:lang w:val="en-US"/>
        </w:rPr>
        <w:t>3</w:t>
      </w:r>
      <w:r w:rsidR="00493FD3" w:rsidRPr="00887B52">
        <w:rPr>
          <w:rFonts w:ascii="Arial" w:hAnsi="Arial" w:cs="Arial"/>
          <w:b/>
          <w:sz w:val="24"/>
          <w:szCs w:val="24"/>
          <w:lang w:val="en-US"/>
        </w:rPr>
        <w:t xml:space="preserve"> Release criteria for final products</w:t>
      </w:r>
    </w:p>
    <w:p w14:paraId="794EAC5A" w14:textId="77777777" w:rsidR="00493FD3" w:rsidRPr="00E54F86" w:rsidRDefault="00493FD3" w:rsidP="00493FD3">
      <w:pPr>
        <w:pStyle w:val="Synopsis"/>
        <w:spacing w:after="60"/>
        <w:jc w:val="both"/>
        <w:rPr>
          <w:rFonts w:ascii="Arial" w:hAnsi="Arial" w:cs="Arial"/>
          <w:sz w:val="24"/>
          <w:szCs w:val="24"/>
          <w:lang w:val="en-US"/>
        </w:rPr>
      </w:pPr>
      <w:r w:rsidRPr="00E54F86">
        <w:rPr>
          <w:rFonts w:ascii="Arial" w:hAnsi="Arial" w:cs="Arial"/>
          <w:sz w:val="24"/>
          <w:szCs w:val="24"/>
          <w:lang w:val="en-US"/>
        </w:rPr>
        <w:t>a. Within the T cell population (CD3+), viability of &gt;70%</w:t>
      </w:r>
      <w:r>
        <w:rPr>
          <w:rFonts w:ascii="Arial" w:hAnsi="Arial" w:cs="Arial"/>
          <w:sz w:val="24"/>
          <w:szCs w:val="24"/>
          <w:lang w:val="en-US"/>
        </w:rPr>
        <w:t>, fresh or prior to cryopreservation</w:t>
      </w:r>
      <w:r w:rsidRPr="00E54F86">
        <w:rPr>
          <w:rFonts w:ascii="Arial" w:hAnsi="Arial" w:cs="Arial"/>
          <w:sz w:val="24"/>
          <w:szCs w:val="24"/>
          <w:lang w:val="en-US"/>
        </w:rPr>
        <w:t xml:space="preserve"> </w:t>
      </w:r>
    </w:p>
    <w:p w14:paraId="5A370363" w14:textId="69D99D47" w:rsidR="00493FD3" w:rsidRPr="00E54F86" w:rsidRDefault="00493FD3" w:rsidP="00493FD3">
      <w:pPr>
        <w:pStyle w:val="Synopsis"/>
        <w:spacing w:after="60"/>
        <w:jc w:val="both"/>
        <w:rPr>
          <w:rFonts w:ascii="Arial" w:hAnsi="Arial" w:cs="Arial"/>
          <w:sz w:val="24"/>
          <w:szCs w:val="24"/>
          <w:lang w:val="en-US"/>
        </w:rPr>
      </w:pPr>
      <w:r w:rsidRPr="00E54F86">
        <w:rPr>
          <w:rFonts w:ascii="Arial" w:hAnsi="Arial" w:cs="Arial"/>
          <w:sz w:val="24"/>
          <w:szCs w:val="24"/>
          <w:lang w:val="en-US"/>
        </w:rPr>
        <w:t>b. Among the CD4 and CD8 T cells, IFN</w:t>
      </w:r>
      <w:r w:rsidRPr="00E54F86">
        <w:rPr>
          <w:rFonts w:ascii="Symbol" w:hAnsi="Symbol" w:cs="Arial"/>
          <w:sz w:val="24"/>
          <w:szCs w:val="24"/>
          <w:lang w:val="en-US"/>
        </w:rPr>
        <w:t></w:t>
      </w:r>
      <w:r w:rsidRPr="00E54F86">
        <w:rPr>
          <w:rFonts w:ascii="Arial" w:hAnsi="Arial" w:cs="Arial"/>
          <w:sz w:val="24"/>
          <w:szCs w:val="24"/>
          <w:lang w:val="en-US"/>
        </w:rPr>
        <w:t xml:space="preserve">+ cells </w:t>
      </w:r>
      <w:r w:rsidRPr="0080614E">
        <w:rPr>
          <w:rFonts w:ascii="Arial" w:hAnsi="Arial" w:cs="Arial"/>
          <w:sz w:val="24"/>
          <w:szCs w:val="24"/>
          <w:lang w:val="en-US"/>
        </w:rPr>
        <w:t xml:space="preserve">target </w:t>
      </w:r>
      <w:r w:rsidRPr="00372C44">
        <w:rPr>
          <w:rFonts w:ascii="Arial" w:hAnsi="Arial" w:cs="Arial"/>
          <w:sz w:val="24"/>
        </w:rPr>
        <w:t>a goal of 10%</w:t>
      </w:r>
    </w:p>
    <w:p w14:paraId="0B89CF33" w14:textId="77777777" w:rsidR="00493FD3" w:rsidRPr="00E54F86" w:rsidRDefault="00493FD3" w:rsidP="00493FD3">
      <w:pPr>
        <w:pStyle w:val="Synopsis"/>
        <w:spacing w:after="60"/>
        <w:jc w:val="both"/>
        <w:rPr>
          <w:rFonts w:ascii="Arial" w:hAnsi="Arial" w:cs="Arial"/>
          <w:sz w:val="24"/>
          <w:szCs w:val="24"/>
          <w:lang w:val="en-US"/>
        </w:rPr>
      </w:pPr>
      <w:r w:rsidRPr="00E54F86">
        <w:rPr>
          <w:rFonts w:ascii="Arial" w:hAnsi="Arial" w:cs="Arial"/>
          <w:sz w:val="24"/>
          <w:szCs w:val="24"/>
          <w:lang w:val="en-US"/>
        </w:rPr>
        <w:t>c. Negative gram stain.</w:t>
      </w:r>
    </w:p>
    <w:p w14:paraId="40DE9006" w14:textId="77777777" w:rsidR="00493FD3" w:rsidRPr="00E54F86" w:rsidRDefault="00493FD3" w:rsidP="00493FD3">
      <w:pPr>
        <w:pStyle w:val="Synopsis"/>
        <w:spacing w:after="60"/>
        <w:jc w:val="both"/>
        <w:rPr>
          <w:rFonts w:ascii="Arial" w:hAnsi="Arial" w:cs="Arial"/>
          <w:sz w:val="24"/>
          <w:szCs w:val="24"/>
          <w:lang w:val="en-US"/>
        </w:rPr>
      </w:pPr>
      <w:r w:rsidRPr="00E54F86">
        <w:rPr>
          <w:rFonts w:ascii="Arial" w:hAnsi="Arial" w:cs="Arial"/>
          <w:sz w:val="24"/>
          <w:szCs w:val="24"/>
          <w:lang w:val="en-US"/>
        </w:rPr>
        <w:t>d. Additional required test: Endotoxin testing is performed on a sample of the final infusion product. The results of this test will not be available until after the product has been infused. If the endotoxin values are &gt;5 EU/kg of the recipient weight the PI must be notified</w:t>
      </w:r>
    </w:p>
    <w:p w14:paraId="35480E5F" w14:textId="77777777" w:rsidR="00493FD3" w:rsidRPr="00E54F86" w:rsidRDefault="00493FD3" w:rsidP="00493FD3">
      <w:pPr>
        <w:pStyle w:val="Synopsis"/>
        <w:spacing w:after="60"/>
        <w:rPr>
          <w:rFonts w:ascii="Arial" w:hAnsi="Arial" w:cs="Arial"/>
          <w:sz w:val="24"/>
          <w:szCs w:val="24"/>
          <w:lang w:val="en-US"/>
        </w:rPr>
      </w:pPr>
    </w:p>
    <w:p w14:paraId="4239D4DD" w14:textId="3A247037" w:rsidR="00493FD3" w:rsidRPr="00E54F86" w:rsidRDefault="005832D0" w:rsidP="00493FD3">
      <w:pPr>
        <w:pStyle w:val="Heading2"/>
        <w:spacing w:before="120" w:after="120" w:line="276" w:lineRule="auto"/>
        <w:rPr>
          <w:rFonts w:cs="Arial"/>
          <w:i w:val="0"/>
          <w:szCs w:val="24"/>
          <w:lang w:val="en-US"/>
        </w:rPr>
      </w:pPr>
      <w:r>
        <w:rPr>
          <w:rFonts w:cs="Arial"/>
          <w:i w:val="0"/>
          <w:szCs w:val="24"/>
          <w:lang w:val="en-US"/>
        </w:rPr>
        <w:t>6.1.</w:t>
      </w:r>
      <w:r w:rsidR="00493FD3">
        <w:rPr>
          <w:rFonts w:cs="Arial"/>
          <w:i w:val="0"/>
          <w:szCs w:val="24"/>
          <w:lang w:val="en-US"/>
        </w:rPr>
        <w:t>4</w:t>
      </w:r>
      <w:r w:rsidR="00493FD3" w:rsidRPr="00E54F86">
        <w:rPr>
          <w:rFonts w:cs="Arial"/>
          <w:i w:val="0"/>
          <w:szCs w:val="24"/>
          <w:lang w:val="en-US"/>
        </w:rPr>
        <w:t xml:space="preserve"> Packaging, Labeling and Storage</w:t>
      </w:r>
    </w:p>
    <w:p w14:paraId="3FA7EF50" w14:textId="5851C423" w:rsidR="00493FD3" w:rsidRPr="00E54F86" w:rsidRDefault="005832D0" w:rsidP="00493FD3">
      <w:pPr>
        <w:spacing w:after="60"/>
        <w:rPr>
          <w:rFonts w:ascii="Arial" w:hAnsi="Arial" w:cs="Arial"/>
          <w:sz w:val="24"/>
          <w:szCs w:val="24"/>
        </w:rPr>
      </w:pPr>
      <w:r>
        <w:rPr>
          <w:rFonts w:ascii="Arial" w:hAnsi="Arial" w:cs="Arial"/>
          <w:sz w:val="24"/>
          <w:szCs w:val="24"/>
        </w:rPr>
        <w:t xml:space="preserve">6.1.4.1  </w:t>
      </w:r>
      <w:r w:rsidR="00493FD3" w:rsidRPr="00E54F86">
        <w:rPr>
          <w:rFonts w:ascii="Arial" w:hAnsi="Arial" w:cs="Arial"/>
          <w:sz w:val="24"/>
          <w:szCs w:val="24"/>
        </w:rPr>
        <w:t>Labeling</w:t>
      </w:r>
    </w:p>
    <w:p w14:paraId="28949F6A" w14:textId="77777777" w:rsidR="00493FD3" w:rsidRPr="00E54F86" w:rsidRDefault="00493FD3" w:rsidP="00493FD3">
      <w:pPr>
        <w:spacing w:after="120"/>
        <w:rPr>
          <w:rFonts w:ascii="Arial" w:hAnsi="Arial" w:cs="Arial"/>
          <w:sz w:val="24"/>
          <w:szCs w:val="24"/>
        </w:rPr>
      </w:pPr>
      <w:r w:rsidRPr="00E54F86">
        <w:rPr>
          <w:rFonts w:ascii="Arial" w:hAnsi="Arial" w:cs="Arial"/>
          <w:sz w:val="24"/>
          <w:szCs w:val="24"/>
        </w:rPr>
        <w:t xml:space="preserve">The CMV-specific T cells bags will be labeled in accordance with FDA applicable regulatory requirements. </w:t>
      </w:r>
    </w:p>
    <w:p w14:paraId="68B466B1" w14:textId="0A50D889" w:rsidR="00493FD3" w:rsidRPr="00E54F86" w:rsidRDefault="005832D0" w:rsidP="00493FD3">
      <w:pPr>
        <w:spacing w:after="60"/>
        <w:rPr>
          <w:rFonts w:ascii="Arial" w:hAnsi="Arial" w:cs="Arial"/>
          <w:sz w:val="24"/>
          <w:szCs w:val="24"/>
        </w:rPr>
      </w:pPr>
      <w:r>
        <w:rPr>
          <w:rFonts w:ascii="Arial" w:hAnsi="Arial" w:cs="Arial"/>
          <w:sz w:val="24"/>
          <w:szCs w:val="24"/>
        </w:rPr>
        <w:t xml:space="preserve">6.1.4.2  </w:t>
      </w:r>
      <w:r w:rsidR="00493FD3" w:rsidRPr="00E54F86">
        <w:rPr>
          <w:rFonts w:ascii="Arial" w:hAnsi="Arial" w:cs="Arial"/>
          <w:sz w:val="24"/>
          <w:szCs w:val="24"/>
        </w:rPr>
        <w:t>Storage</w:t>
      </w:r>
    </w:p>
    <w:p w14:paraId="6BD4958D" w14:textId="77777777" w:rsidR="00493FD3" w:rsidRPr="00E54F86" w:rsidRDefault="00493FD3" w:rsidP="00493FD3">
      <w:pPr>
        <w:spacing w:after="60"/>
        <w:rPr>
          <w:rFonts w:ascii="Arial" w:hAnsi="Arial" w:cs="Arial"/>
          <w:sz w:val="24"/>
          <w:szCs w:val="24"/>
        </w:rPr>
      </w:pPr>
      <w:r w:rsidRPr="00E54F86">
        <w:rPr>
          <w:rFonts w:ascii="Arial" w:hAnsi="Arial" w:cs="Arial"/>
          <w:sz w:val="24"/>
          <w:szCs w:val="24"/>
        </w:rPr>
        <w:t xml:space="preserve">The CMV-specific T cells are intended for direct administration after preparation. Shelf-life is </w:t>
      </w:r>
      <w:r>
        <w:rPr>
          <w:rFonts w:ascii="Arial" w:hAnsi="Arial" w:cs="Arial"/>
          <w:sz w:val="24"/>
          <w:szCs w:val="24"/>
        </w:rPr>
        <w:t>6</w:t>
      </w:r>
      <w:r w:rsidRPr="00E54F86">
        <w:rPr>
          <w:rFonts w:ascii="Arial" w:hAnsi="Arial" w:cs="Arial"/>
          <w:sz w:val="24"/>
          <w:szCs w:val="24"/>
        </w:rPr>
        <w:t xml:space="preserve"> hours from the end of the processing.</w:t>
      </w:r>
    </w:p>
    <w:p w14:paraId="557A28B9" w14:textId="77777777" w:rsidR="00493FD3" w:rsidRPr="00E54F86" w:rsidRDefault="00493FD3" w:rsidP="00493FD3">
      <w:pPr>
        <w:spacing w:after="60"/>
        <w:rPr>
          <w:rFonts w:ascii="Arial" w:hAnsi="Arial" w:cs="Arial"/>
          <w:sz w:val="24"/>
          <w:szCs w:val="24"/>
        </w:rPr>
      </w:pPr>
      <w:r w:rsidRPr="00E54F86">
        <w:rPr>
          <w:rFonts w:ascii="Arial" w:hAnsi="Arial" w:cs="Arial"/>
          <w:sz w:val="24"/>
          <w:szCs w:val="24"/>
        </w:rPr>
        <w:t xml:space="preserve">In cases of donor timing issues or final product exceeding the first maximum dose, cells will be cryopreserved according to relevant institutional SOPs and thawed at the time of infusion. For cryopreservation, the cells are combined with equal volumes of a cryoprotectant containing 20% Dimethyl Sulfoxide (DMSO) in 5% Human Serum Albumin (HSA). After the addition of the 2X cryoprotectant to an equal volume of the cell suspension (1:1) the final concentration of DMSO will be 10%. The products then undergo automated controlled rate freezing with recording of the freezing curves and is stored in the vapor phase of liquid nitrogen in a monitored and alarmed freezer.    </w:t>
      </w:r>
    </w:p>
    <w:p w14:paraId="52EC2E64" w14:textId="77777777" w:rsidR="00493FD3" w:rsidRPr="00E54F86" w:rsidRDefault="00493FD3" w:rsidP="00493FD3">
      <w:pPr>
        <w:rPr>
          <w:rFonts w:ascii="Arial" w:hAnsi="Arial" w:cs="Arial"/>
          <w:b/>
          <w:sz w:val="24"/>
          <w:szCs w:val="24"/>
        </w:rPr>
      </w:pPr>
    </w:p>
    <w:p w14:paraId="1E898037" w14:textId="22F1C4AD" w:rsidR="0084206A" w:rsidRPr="00573A31" w:rsidRDefault="0084206A" w:rsidP="00573A31">
      <w:pPr>
        <w:rPr>
          <w:rFonts w:ascii="Arial" w:hAnsi="Arial" w:cs="Arial"/>
          <w:b/>
          <w:sz w:val="24"/>
          <w:szCs w:val="24"/>
        </w:rPr>
      </w:pPr>
      <w:r w:rsidRPr="00573A31">
        <w:rPr>
          <w:rFonts w:ascii="Arial" w:hAnsi="Arial" w:cs="Arial"/>
          <w:b/>
          <w:sz w:val="24"/>
          <w:szCs w:val="24"/>
        </w:rPr>
        <w:t>7.0  Dose limiting criteria defined as:</w:t>
      </w:r>
    </w:p>
    <w:p w14:paraId="1C08785A" w14:textId="3012DA65" w:rsidR="0084206A" w:rsidRPr="00E54F86" w:rsidRDefault="0084206A" w:rsidP="003D00F5">
      <w:pPr>
        <w:spacing w:before="100" w:beforeAutospacing="1" w:after="100" w:afterAutospacing="1"/>
        <w:rPr>
          <w:rFonts w:ascii="Arial" w:hAnsi="Arial" w:cs="Arial"/>
          <w:sz w:val="24"/>
          <w:szCs w:val="24"/>
        </w:rPr>
      </w:pPr>
      <w:r>
        <w:rPr>
          <w:rFonts w:ascii="Arial" w:hAnsi="Arial" w:cs="Arial"/>
          <w:sz w:val="24"/>
          <w:szCs w:val="24"/>
        </w:rPr>
        <w:t>7</w:t>
      </w:r>
      <w:r w:rsidRPr="00E54F86">
        <w:rPr>
          <w:rFonts w:ascii="Arial" w:hAnsi="Arial" w:cs="Arial"/>
          <w:sz w:val="24"/>
          <w:szCs w:val="24"/>
        </w:rPr>
        <w:t>.1 Grade 3-5 infusion reactio</w:t>
      </w:r>
      <w:r>
        <w:rPr>
          <w:rFonts w:ascii="Arial" w:hAnsi="Arial" w:cs="Arial"/>
          <w:sz w:val="24"/>
          <w:szCs w:val="24"/>
        </w:rPr>
        <w:t xml:space="preserve">n, </w:t>
      </w:r>
      <w:r w:rsidR="0019309C">
        <w:rPr>
          <w:rFonts w:ascii="Arial" w:hAnsi="Arial" w:cs="Arial"/>
          <w:sz w:val="24"/>
          <w:szCs w:val="24"/>
        </w:rPr>
        <w:t>hematopoietic</w:t>
      </w:r>
      <w:r>
        <w:rPr>
          <w:rFonts w:ascii="Arial" w:hAnsi="Arial" w:cs="Arial"/>
          <w:sz w:val="24"/>
          <w:szCs w:val="24"/>
        </w:rPr>
        <w:t xml:space="preserve"> graft failure or CRS</w:t>
      </w:r>
      <w:r w:rsidRPr="00E54F86">
        <w:rPr>
          <w:rFonts w:ascii="Arial" w:hAnsi="Arial" w:cs="Arial"/>
          <w:sz w:val="24"/>
          <w:szCs w:val="24"/>
        </w:rPr>
        <w:t xml:space="preserve"> according to the NCI CTCAE v</w:t>
      </w:r>
      <w:r>
        <w:rPr>
          <w:rFonts w:ascii="Arial" w:hAnsi="Arial" w:cs="Arial"/>
          <w:sz w:val="24"/>
          <w:szCs w:val="24"/>
        </w:rPr>
        <w:t>5</w:t>
      </w:r>
      <w:r w:rsidRPr="00E54F86">
        <w:rPr>
          <w:rFonts w:ascii="Arial" w:hAnsi="Arial" w:cs="Arial"/>
          <w:sz w:val="24"/>
          <w:szCs w:val="24"/>
        </w:rPr>
        <w:t>.0 probably, or definitely related to CMV-CTLs infusions</w:t>
      </w:r>
    </w:p>
    <w:p w14:paraId="0BFDDB48" w14:textId="23001333" w:rsidR="0084206A" w:rsidRDefault="0084206A" w:rsidP="003D00F5">
      <w:pPr>
        <w:spacing w:before="100" w:beforeAutospacing="1" w:after="100" w:afterAutospacing="1"/>
        <w:rPr>
          <w:rFonts w:ascii="Arial" w:hAnsi="Arial" w:cs="Arial"/>
          <w:sz w:val="24"/>
          <w:szCs w:val="24"/>
        </w:rPr>
      </w:pPr>
      <w:r>
        <w:rPr>
          <w:rFonts w:ascii="Arial" w:hAnsi="Arial" w:cs="Arial"/>
          <w:sz w:val="24"/>
          <w:szCs w:val="24"/>
        </w:rPr>
        <w:t>7</w:t>
      </w:r>
      <w:r w:rsidRPr="00E54F86">
        <w:rPr>
          <w:rFonts w:ascii="Arial" w:hAnsi="Arial" w:cs="Arial"/>
          <w:sz w:val="24"/>
          <w:szCs w:val="24"/>
        </w:rPr>
        <w:t xml:space="preserve">.2 </w:t>
      </w:r>
      <w:r w:rsidRPr="00CC38A3">
        <w:rPr>
          <w:rFonts w:ascii="Arial" w:hAnsi="Arial" w:cs="Arial"/>
          <w:sz w:val="24"/>
          <w:szCs w:val="24"/>
        </w:rPr>
        <w:t xml:space="preserve">Hematopoietic graft failure, if applicable, is defined as patients following allogeneic stem cell transplantation with a neutrophil count </w:t>
      </w:r>
      <w:r w:rsidRPr="00CC38A3">
        <w:rPr>
          <w:rFonts w:ascii="Arial" w:hAnsi="Arial" w:cs="Arial"/>
          <w:sz w:val="24"/>
          <w:szCs w:val="24"/>
          <w:u w:val="single"/>
        </w:rPr>
        <w:t>&lt;</w:t>
      </w:r>
      <w:r w:rsidRPr="00CC38A3">
        <w:rPr>
          <w:rFonts w:ascii="Arial" w:hAnsi="Arial" w:cs="Arial"/>
          <w:sz w:val="24"/>
          <w:szCs w:val="24"/>
        </w:rPr>
        <w:t xml:space="preserve"> 500/mm3 x 7 consecutive days with donor chimerism </w:t>
      </w:r>
      <w:r w:rsidRPr="00CC38A3">
        <w:rPr>
          <w:rFonts w:ascii="Arial" w:hAnsi="Arial" w:cs="Arial"/>
          <w:sz w:val="24"/>
          <w:szCs w:val="24"/>
          <w:u w:val="single"/>
        </w:rPr>
        <w:t>&lt;</w:t>
      </w:r>
      <w:r w:rsidRPr="00CC38A3">
        <w:rPr>
          <w:rFonts w:ascii="Arial" w:hAnsi="Arial" w:cs="Arial"/>
          <w:sz w:val="24"/>
          <w:szCs w:val="24"/>
        </w:rPr>
        <w:t xml:space="preserve"> 20% after 60 days post allogeneic stem cell transplantation.</w:t>
      </w:r>
    </w:p>
    <w:p w14:paraId="24D210AE" w14:textId="77777777" w:rsidR="0084206A" w:rsidRPr="00E54F86" w:rsidRDefault="0084206A" w:rsidP="003D00F5">
      <w:pPr>
        <w:spacing w:before="100" w:beforeAutospacing="1" w:after="100" w:afterAutospacing="1"/>
        <w:rPr>
          <w:rFonts w:ascii="Arial" w:hAnsi="Arial" w:cs="Arial"/>
          <w:sz w:val="24"/>
          <w:szCs w:val="24"/>
        </w:rPr>
      </w:pPr>
      <w:r w:rsidRPr="00E54F86">
        <w:rPr>
          <w:rFonts w:ascii="Arial" w:hAnsi="Arial" w:cs="Arial"/>
          <w:sz w:val="24"/>
          <w:szCs w:val="24"/>
        </w:rPr>
        <w:t xml:space="preserve">Any grade 3-5 adverse event considered probably or definitely related to the CMV CTLs infusion </w:t>
      </w:r>
    </w:p>
    <w:p w14:paraId="29D6AD8B" w14:textId="673C21D1" w:rsidR="0084206A" w:rsidRPr="00887B52" w:rsidRDefault="0084206A" w:rsidP="003D00F5">
      <w:pPr>
        <w:outlineLvl w:val="1"/>
        <w:rPr>
          <w:rFonts w:ascii="Arial" w:hAnsi="Arial" w:cs="Arial"/>
          <w:sz w:val="24"/>
          <w:szCs w:val="24"/>
        </w:rPr>
      </w:pPr>
      <w:r>
        <w:rPr>
          <w:rFonts w:ascii="Arial" w:hAnsi="Arial" w:cs="Arial"/>
          <w:sz w:val="24"/>
          <w:szCs w:val="24"/>
        </w:rPr>
        <w:lastRenderedPageBreak/>
        <w:t>7.3</w:t>
      </w:r>
      <w:r>
        <w:rPr>
          <w:rFonts w:ascii="Arial" w:hAnsi="Arial" w:cs="Arial"/>
          <w:sz w:val="24"/>
          <w:szCs w:val="24"/>
        </w:rPr>
        <w:tab/>
      </w:r>
      <w:r w:rsidRPr="00887B52">
        <w:rPr>
          <w:rFonts w:ascii="Arial" w:hAnsi="Arial" w:cs="Arial"/>
          <w:sz w:val="24"/>
          <w:szCs w:val="24"/>
        </w:rPr>
        <w:t>Important medical events that may not result in death, be life-threatening, or require hospitalization may be considered a serious adverse experience when, based upon appropriate medical judgment, they may jeopardize the subject and may require medical or surgical intervention to  prevent one of these outcomes.</w:t>
      </w:r>
    </w:p>
    <w:p w14:paraId="2C9E753C" w14:textId="77777777" w:rsidR="00493FD3" w:rsidRPr="00E54F86" w:rsidRDefault="00493FD3" w:rsidP="00A53578">
      <w:pPr>
        <w:tabs>
          <w:tab w:val="left" w:pos="426"/>
        </w:tabs>
        <w:rPr>
          <w:rFonts w:ascii="Arial" w:hAnsi="Arial" w:cs="Arial"/>
          <w:b/>
          <w:sz w:val="24"/>
          <w:szCs w:val="24"/>
        </w:rPr>
      </w:pPr>
    </w:p>
    <w:p w14:paraId="6C0AB3EE" w14:textId="77777777" w:rsidR="00A53578" w:rsidRPr="00A53578" w:rsidRDefault="00A53578" w:rsidP="00A53578">
      <w:pPr>
        <w:rPr>
          <w:rFonts w:ascii="Arial" w:hAnsi="Arial" w:cs="Arial"/>
          <w:sz w:val="24"/>
          <w:szCs w:val="24"/>
        </w:rPr>
      </w:pPr>
    </w:p>
    <w:p w14:paraId="30B90B12" w14:textId="71868E28" w:rsidR="00C30464" w:rsidRPr="00E54F86" w:rsidRDefault="00C30464" w:rsidP="00C30464">
      <w:pPr>
        <w:pStyle w:val="ListParagraph"/>
        <w:spacing w:after="60"/>
        <w:ind w:left="0"/>
        <w:rPr>
          <w:rFonts w:ascii="Arial" w:hAnsi="Arial" w:cs="Arial"/>
          <w:b/>
          <w:sz w:val="24"/>
          <w:szCs w:val="24"/>
          <w:u w:val="single"/>
        </w:rPr>
      </w:pPr>
      <w:r>
        <w:rPr>
          <w:rFonts w:ascii="Arial" w:hAnsi="Arial" w:cs="Arial"/>
          <w:b/>
          <w:sz w:val="24"/>
          <w:szCs w:val="24"/>
          <w:u w:val="single"/>
        </w:rPr>
        <w:t xml:space="preserve">8.0  </w:t>
      </w:r>
      <w:r w:rsidRPr="00E54F86">
        <w:rPr>
          <w:rFonts w:ascii="Arial" w:hAnsi="Arial" w:cs="Arial"/>
          <w:b/>
          <w:sz w:val="24"/>
          <w:szCs w:val="24"/>
          <w:u w:val="single"/>
        </w:rPr>
        <w:t>References</w:t>
      </w:r>
    </w:p>
    <w:p w14:paraId="45EA884E" w14:textId="77777777" w:rsidR="00C30464" w:rsidRPr="005E7C68" w:rsidRDefault="00C30464" w:rsidP="00773C56">
      <w:pPr>
        <w:pStyle w:val="EndNoteBibliography"/>
        <w:spacing w:after="0"/>
      </w:pPr>
      <w:r w:rsidRPr="00E54F86">
        <w:fldChar w:fldCharType="begin"/>
      </w:r>
      <w:r w:rsidRPr="00E54F86">
        <w:instrText xml:space="preserve"> ADDIN EN.REFLIST </w:instrText>
      </w:r>
      <w:r w:rsidRPr="00E54F86">
        <w:fldChar w:fldCharType="separate"/>
      </w:r>
      <w:r w:rsidRPr="005E7C68">
        <w:tab/>
        <w:t>1.</w:t>
      </w:r>
      <w:r w:rsidRPr="005E7C68">
        <w:tab/>
        <w:t>Bollard CM, Heslop HE: T cells for viral infections after allogeneic hematopoietic stem cell transplant. Blood 127:3331-40, 2016</w:t>
      </w:r>
    </w:p>
    <w:p w14:paraId="517BFF36" w14:textId="77777777" w:rsidR="00C30464" w:rsidRPr="005E7C68" w:rsidRDefault="00C30464" w:rsidP="00773C56">
      <w:pPr>
        <w:pStyle w:val="EndNoteBibliography"/>
        <w:spacing w:after="0"/>
      </w:pPr>
      <w:r w:rsidRPr="005E7C68">
        <w:tab/>
        <w:t>2.</w:t>
      </w:r>
      <w:r w:rsidRPr="005E7C68">
        <w:tab/>
        <w:t>Lion T, Baumgartinger R, Watzinger F, et al: Molecular monitoring of adenovirus in peripheral blood after allogeneic bone marrow transplantation permits early diagnosis of disseminated disease. Blood 102:1114-20, 2003</w:t>
      </w:r>
    </w:p>
    <w:p w14:paraId="1CFAA385" w14:textId="77777777" w:rsidR="00C30464" w:rsidRPr="005E7C68" w:rsidRDefault="00C30464" w:rsidP="00773C56">
      <w:pPr>
        <w:pStyle w:val="EndNoteBibliography"/>
        <w:spacing w:after="0"/>
      </w:pPr>
      <w:r w:rsidRPr="005E7C68">
        <w:tab/>
        <w:t>3.</w:t>
      </w:r>
      <w:r w:rsidRPr="005E7C68">
        <w:tab/>
        <w:t>Ocheni S, Kroeger N, Zabelina T, et al: EBV reactivation and post transplant lymphoproliferative disorders following allogeneic SCT. Bone Marrow Transplant 42:181-6, 2008</w:t>
      </w:r>
    </w:p>
    <w:p w14:paraId="565FE42E" w14:textId="77777777" w:rsidR="00C30464" w:rsidRPr="005E7C68" w:rsidRDefault="00C30464" w:rsidP="00773C56">
      <w:pPr>
        <w:pStyle w:val="EndNoteBibliography"/>
        <w:spacing w:after="0"/>
      </w:pPr>
      <w:r w:rsidRPr="005E7C68">
        <w:tab/>
        <w:t>4.</w:t>
      </w:r>
      <w:r w:rsidRPr="005E7C68">
        <w:tab/>
        <w:t>Sandherr M, Einsele H, Hebart H, et al: Antiviral prophylaxis in patients with haematological malignancies and solid tumours: Guidelines of the Infectious Diseases Working Party (AGIHO) of the German Society for Hematology and Oncology (DGHO). Ann Oncol 17:1051-9, 2006</w:t>
      </w:r>
    </w:p>
    <w:p w14:paraId="37C1A1C3" w14:textId="77777777" w:rsidR="00C30464" w:rsidRPr="005E7C68" w:rsidRDefault="00C30464" w:rsidP="00773C56">
      <w:pPr>
        <w:pStyle w:val="EndNoteBibliography"/>
        <w:spacing w:after="0"/>
      </w:pPr>
      <w:r w:rsidRPr="005E7C68">
        <w:tab/>
        <w:t>5.</w:t>
      </w:r>
      <w:r w:rsidRPr="005E7C68">
        <w:tab/>
        <w:t>Zaia J, Baden L, Boeckh MJ, et al: Viral disease prevention after hematopoietic cell transplantation. Bone Marrow Transplant 44:471-82, 2009</w:t>
      </w:r>
    </w:p>
    <w:p w14:paraId="1A6782A5" w14:textId="77777777" w:rsidR="00C30464" w:rsidRPr="005E7C68" w:rsidRDefault="00C30464" w:rsidP="00773C56">
      <w:pPr>
        <w:pStyle w:val="EndNoteBibliography"/>
        <w:spacing w:after="0"/>
      </w:pPr>
      <w:r w:rsidRPr="005E7C68">
        <w:tab/>
        <w:t>6.</w:t>
      </w:r>
      <w:r w:rsidRPr="005E7C68">
        <w:tab/>
        <w:t>Lilleri D, Fornara C, Chiesa A, et al: Human cytomegalovirus-specific CD4+ and CD8+ T-cell reconstitution in adult allogeneic hematopoietic stem cell transplant recipients and immune control of viral infection. Haematologica 93:248-56, 2008</w:t>
      </w:r>
    </w:p>
    <w:p w14:paraId="100BAE64" w14:textId="77777777" w:rsidR="00C30464" w:rsidRPr="005E7C68" w:rsidRDefault="00C30464" w:rsidP="00773C56">
      <w:pPr>
        <w:pStyle w:val="EndNoteBibliography"/>
        <w:spacing w:after="0"/>
      </w:pPr>
      <w:r w:rsidRPr="005E7C68">
        <w:tab/>
        <w:t>7.</w:t>
      </w:r>
      <w:r w:rsidRPr="005E7C68">
        <w:tab/>
        <w:t>Lilleri D, Gerna G, Fornara C, et al: Prospective simultaneous quantification of human cytomegalovirus-specific CD4+ and CD8+ T-cell reconstitution in young recipients of allogeneic hematopoietic stem cell transplants. Blood 108:1406-12, 2006</w:t>
      </w:r>
    </w:p>
    <w:p w14:paraId="2B2DD984" w14:textId="77777777" w:rsidR="00C30464" w:rsidRPr="005E7C68" w:rsidRDefault="00C30464" w:rsidP="00773C56">
      <w:pPr>
        <w:pStyle w:val="EndNoteBibliography"/>
        <w:spacing w:after="0"/>
      </w:pPr>
      <w:r w:rsidRPr="005E7C68">
        <w:tab/>
        <w:t>8.</w:t>
      </w:r>
      <w:r w:rsidRPr="005E7C68">
        <w:tab/>
        <w:t>Annels NE, Kalpoe JS, Bredius RG, et al: Management of Epstein-Barr virus (EBV) reactivation after allogeneic stem cell transplantation by simultaneous analysis of EBV DNA load and EBV-specific T cell reconstitution. Clin Infect Dis 42:1743-8, 2006</w:t>
      </w:r>
    </w:p>
    <w:p w14:paraId="18FE76B8" w14:textId="77777777" w:rsidR="00C30464" w:rsidRPr="005E7C68" w:rsidRDefault="00C30464" w:rsidP="00773C56">
      <w:pPr>
        <w:pStyle w:val="EndNoteBibliography"/>
        <w:spacing w:after="0"/>
      </w:pPr>
      <w:r w:rsidRPr="005E7C68">
        <w:tab/>
        <w:t>9.</w:t>
      </w:r>
      <w:r w:rsidRPr="005E7C68">
        <w:tab/>
        <w:t>Barron MA, Gao D, Springer KL, et al: Relationship of reconstituted adaptive and innate cytomegalovirus (CMV)-specific immune responses with CMV viremia in hematopoietic stem cell transplant recipients. Clin Infect Dis 49:1777-83, 2009</w:t>
      </w:r>
    </w:p>
    <w:p w14:paraId="751D3B8B" w14:textId="77777777" w:rsidR="00C30464" w:rsidRPr="005E7C68" w:rsidRDefault="00C30464" w:rsidP="00773C56">
      <w:pPr>
        <w:pStyle w:val="EndNoteBibliography"/>
        <w:spacing w:after="0"/>
      </w:pPr>
      <w:r w:rsidRPr="005E7C68">
        <w:tab/>
        <w:t>10.</w:t>
      </w:r>
      <w:r w:rsidRPr="005E7C68">
        <w:tab/>
        <w:t>Heemskerk B, Lankester AC, van Vreeswijk T, et al: Immune reconstitution and clearance of human adenovirus viremia in pediatric stem-cell recipients. J Infect Dis 191:520-30, 2005</w:t>
      </w:r>
    </w:p>
    <w:p w14:paraId="7D82475E" w14:textId="77777777" w:rsidR="00C30464" w:rsidRPr="005E7C68" w:rsidRDefault="00C30464" w:rsidP="00773C56">
      <w:pPr>
        <w:pStyle w:val="EndNoteBibliography"/>
        <w:spacing w:after="0"/>
      </w:pPr>
      <w:r w:rsidRPr="005E7C68">
        <w:tab/>
        <w:t>11.</w:t>
      </w:r>
      <w:r w:rsidRPr="005E7C68">
        <w:tab/>
        <w:t>Shmueli E, Or R, Shapira MY, et al: High rate of cytomegalovirus drug resistance among patients receiving preemptive antiviral treatment after haploidentical stem cell transplantation. J Infect Dis 209:557-61, 2014</w:t>
      </w:r>
    </w:p>
    <w:p w14:paraId="09F8D55E" w14:textId="77777777" w:rsidR="00C30464" w:rsidRPr="005E7C68" w:rsidRDefault="00C30464" w:rsidP="00773C56">
      <w:pPr>
        <w:pStyle w:val="EndNoteBibliography"/>
        <w:spacing w:after="0"/>
      </w:pPr>
      <w:r w:rsidRPr="005E7C68">
        <w:tab/>
        <w:t>12.</w:t>
      </w:r>
      <w:r w:rsidRPr="005E7C68">
        <w:tab/>
        <w:t>Boeckh M, Leisenring W, Riddell SR, et al: Late cytomegalovirus disease and mortality in recipients of allogeneic hematopoietic stem cell transplants: importance of viral load and T-cell immunity. Blood 101:407-14, 2003</w:t>
      </w:r>
    </w:p>
    <w:p w14:paraId="2A1E2023" w14:textId="77777777" w:rsidR="00C30464" w:rsidRPr="005E7C68" w:rsidRDefault="00C30464" w:rsidP="00773C56">
      <w:pPr>
        <w:pStyle w:val="EndNoteBibliography"/>
        <w:spacing w:after="0"/>
      </w:pPr>
      <w:r w:rsidRPr="005E7C68">
        <w:tab/>
        <w:t>13.</w:t>
      </w:r>
      <w:r w:rsidRPr="005E7C68">
        <w:tab/>
        <w:t>Brown L, Xu-Bayford J, Allwood Z, et al: Neonatal diagnosis of severe combined immunodeficiency leads to significantly improved survival outcome: the case for newborn screening. Blood 117:3243-6, 2011</w:t>
      </w:r>
    </w:p>
    <w:p w14:paraId="60C39FE7" w14:textId="77777777" w:rsidR="00C30464" w:rsidRPr="005E7C68" w:rsidRDefault="00C30464" w:rsidP="00773C56">
      <w:pPr>
        <w:pStyle w:val="EndNoteBibliography"/>
        <w:spacing w:after="0"/>
      </w:pPr>
      <w:r w:rsidRPr="005E7C68">
        <w:tab/>
        <w:t>14.</w:t>
      </w:r>
      <w:r w:rsidRPr="005E7C68">
        <w:tab/>
        <w:t>Riddell SR, Watanabe KS, Goodrich JM, et al: Restoration of viral immunity in immunodeficient humans by the adoptive transfer of T cell clones. Science 257:238-41, 1992</w:t>
      </w:r>
    </w:p>
    <w:p w14:paraId="4BDA3BCE" w14:textId="77777777" w:rsidR="00C30464" w:rsidRPr="005E7C68" w:rsidRDefault="00C30464" w:rsidP="00773C56">
      <w:pPr>
        <w:pStyle w:val="EndNoteBibliography"/>
        <w:spacing w:after="0"/>
      </w:pPr>
      <w:r w:rsidRPr="005E7C68">
        <w:tab/>
        <w:t>15.</w:t>
      </w:r>
      <w:r w:rsidRPr="005E7C68">
        <w:tab/>
        <w:t>Brosterhus H, Brings S, Leyendeckers H, et al: Enrichment and detection of live antigen-specific CD4(+) and CD8(+) T cells based on cytokine secretion. Eur J Immunol 29:4053-9, 1999</w:t>
      </w:r>
    </w:p>
    <w:p w14:paraId="0E353457" w14:textId="77777777" w:rsidR="00C30464" w:rsidRPr="005E7C68" w:rsidRDefault="00C30464" w:rsidP="00773C56">
      <w:pPr>
        <w:pStyle w:val="EndNoteBibliography"/>
        <w:spacing w:after="0"/>
      </w:pPr>
      <w:r w:rsidRPr="005E7C68">
        <w:lastRenderedPageBreak/>
        <w:tab/>
        <w:t>16.</w:t>
      </w:r>
      <w:r w:rsidRPr="005E7C68">
        <w:tab/>
        <w:t>Leen AM, Tripic T, Rooney CM: Challenges of T cell therapies for virus-associated diseases after hematopoietic stem cell transplantation. Expert Opin Biol Ther 10:337-51, 2010</w:t>
      </w:r>
    </w:p>
    <w:p w14:paraId="2A25B3AA" w14:textId="77777777" w:rsidR="00C30464" w:rsidRPr="005E7C68" w:rsidRDefault="00C30464" w:rsidP="00773C56">
      <w:pPr>
        <w:pStyle w:val="EndNoteBibliography"/>
        <w:spacing w:after="0"/>
      </w:pPr>
      <w:r w:rsidRPr="005E7C68">
        <w:tab/>
        <w:t>17.</w:t>
      </w:r>
      <w:r w:rsidRPr="005E7C68">
        <w:tab/>
        <w:t>Leen AM, Heslop HE, Brenner MK: Antiviral T-cell therapy. Immunol Rev 258:12-29, 2014</w:t>
      </w:r>
    </w:p>
    <w:p w14:paraId="036A543B" w14:textId="77777777" w:rsidR="00C30464" w:rsidRPr="005E7C68" w:rsidRDefault="00C30464" w:rsidP="00773C56">
      <w:pPr>
        <w:pStyle w:val="EndNoteBibliography"/>
        <w:spacing w:after="0"/>
      </w:pPr>
      <w:r w:rsidRPr="005E7C68">
        <w:tab/>
        <w:t>18.</w:t>
      </w:r>
      <w:r w:rsidRPr="005E7C68">
        <w:tab/>
        <w:t>Icheva V, Kayser S, Wolff D, et al: Adoptive transfer of epstein-barr virus (EBV) nuclear antigen 1-specific t cells as treatment for EBV reactivation and lymphoproliferative disorders after allogeneic stem-cell transplantation. J Clin Oncol 31:39-48, 2013</w:t>
      </w:r>
    </w:p>
    <w:p w14:paraId="212E1C40" w14:textId="77777777" w:rsidR="00C30464" w:rsidRPr="005E7C68" w:rsidRDefault="00C30464" w:rsidP="00773C56">
      <w:pPr>
        <w:pStyle w:val="EndNoteBibliography"/>
        <w:spacing w:after="0"/>
      </w:pPr>
      <w:r w:rsidRPr="005E7C68">
        <w:tab/>
        <w:t>19.</w:t>
      </w:r>
      <w:r w:rsidRPr="005E7C68">
        <w:tab/>
        <w:t>Feuchtinger T, Opherk K, Bethge WA, et al: Adoptive transfer of pp65-specific T cells for the treatment of chemorefractory cytomegalovirus disease or reactivation after haploidentical and matched unrelated stem cell transplantation. Blood 116:4360-7, 2010</w:t>
      </w:r>
    </w:p>
    <w:p w14:paraId="00FE7B4D" w14:textId="77777777" w:rsidR="00C30464" w:rsidRPr="005E7C68" w:rsidRDefault="00C30464" w:rsidP="00773C56">
      <w:pPr>
        <w:pStyle w:val="EndNoteBibliography"/>
        <w:spacing w:after="0"/>
      </w:pPr>
      <w:r w:rsidRPr="005E7C68">
        <w:tab/>
        <w:t>20.</w:t>
      </w:r>
      <w:r w:rsidRPr="005E7C68">
        <w:tab/>
        <w:t>Koehne G, Hasan A, Doubrovina E, et al: Immunotherapy with Donor T Cells Sensitized with Overlapping Pentadecapeptides for Treatment of Persistent Cytomegalovirus Infection or Viremia. Biol Blood Marrow Transplant 21:1663-78, 2015</w:t>
      </w:r>
    </w:p>
    <w:p w14:paraId="3DCCE75B" w14:textId="77777777" w:rsidR="00C30464" w:rsidRPr="005E7C68" w:rsidRDefault="00C30464" w:rsidP="00773C56">
      <w:pPr>
        <w:pStyle w:val="EndNoteBibliography"/>
        <w:spacing w:after="0"/>
      </w:pPr>
      <w:r w:rsidRPr="005E7C68">
        <w:tab/>
        <w:t>21.</w:t>
      </w:r>
      <w:r w:rsidRPr="005E7C68">
        <w:tab/>
        <w:t>Haidar G, Singh N: Viral infections in solid organ transplant recipients: novel updates and a review of the classics. Curr Opin Infect Dis 30:579-588, 2017</w:t>
      </w:r>
    </w:p>
    <w:p w14:paraId="78D4523E" w14:textId="77777777" w:rsidR="00C30464" w:rsidRPr="005E7C68" w:rsidRDefault="00C30464" w:rsidP="00773C56">
      <w:pPr>
        <w:pStyle w:val="EndNoteBibliography"/>
        <w:spacing w:after="0"/>
      </w:pPr>
      <w:r w:rsidRPr="005E7C68">
        <w:tab/>
        <w:t>22.</w:t>
      </w:r>
      <w:r w:rsidRPr="005E7C68">
        <w:tab/>
        <w:t>Dharnidharka VR, Sullivan EK, Stablein DM, et al: Risk factors for posttransplant lymphoproliferative disorder (PTLD) in pediatric kidney transplantation: a report of the North American Pediatric Renal Transplant Cooperative Study (NAPRTCS). Transplantation 71:1065-8, 2001</w:t>
      </w:r>
    </w:p>
    <w:p w14:paraId="04640512" w14:textId="77777777" w:rsidR="00C30464" w:rsidRPr="005E7C68" w:rsidRDefault="00C30464" w:rsidP="00773C56">
      <w:pPr>
        <w:pStyle w:val="EndNoteBibliography"/>
        <w:spacing w:after="0"/>
      </w:pPr>
      <w:r w:rsidRPr="005E7C68">
        <w:tab/>
        <w:t>23.</w:t>
      </w:r>
      <w:r w:rsidRPr="005E7C68">
        <w:tab/>
        <w:t>Katz BZ, Pahl E, Crawford SE, et al: Case-control study of risk factors for the development of post-transplant lymphoproliferative disease in a pediatric heart transplant cohort. Pediatr Transplant 11:58-65, 2007</w:t>
      </w:r>
    </w:p>
    <w:p w14:paraId="0C23306D" w14:textId="77777777" w:rsidR="00C30464" w:rsidRPr="005E7C68" w:rsidRDefault="00C30464" w:rsidP="00773C56">
      <w:pPr>
        <w:pStyle w:val="EndNoteBibliography"/>
        <w:spacing w:after="0"/>
      </w:pPr>
      <w:r w:rsidRPr="005E7C68">
        <w:tab/>
        <w:t>24.</w:t>
      </w:r>
      <w:r w:rsidRPr="005E7C68">
        <w:tab/>
        <w:t>Wistinghausen B, Gross TG, Bollard C: Post-transplant lymphoproliferative disease in pediatric solid organ transplant recipients. Pediatr Hematol Oncol 30:520-31, 2013</w:t>
      </w:r>
    </w:p>
    <w:p w14:paraId="3D057182" w14:textId="77777777" w:rsidR="00C30464" w:rsidRPr="005E7C68" w:rsidRDefault="00C30464" w:rsidP="00773C56">
      <w:pPr>
        <w:pStyle w:val="EndNoteBibliography"/>
        <w:spacing w:after="0"/>
      </w:pPr>
      <w:r w:rsidRPr="005E7C68">
        <w:tab/>
        <w:t>25.</w:t>
      </w:r>
      <w:r w:rsidRPr="005E7C68">
        <w:tab/>
        <w:t>Younes BS, McDiarmid SV, Martin MG, et al: The effect of immunosuppression on posttransplant lymphoproliferative disease in pediatric liver transplant patients. Transplantation 70:94-9, 2000</w:t>
      </w:r>
    </w:p>
    <w:p w14:paraId="14E04CA4" w14:textId="77777777" w:rsidR="00C30464" w:rsidRPr="005E7C68" w:rsidRDefault="00C30464" w:rsidP="00773C56">
      <w:pPr>
        <w:pStyle w:val="EndNoteBibliography"/>
        <w:spacing w:after="0"/>
      </w:pPr>
      <w:r w:rsidRPr="005E7C68">
        <w:tab/>
        <w:t>26.</w:t>
      </w:r>
      <w:r w:rsidRPr="005E7C68">
        <w:tab/>
        <w:t>Chiou FK, Beath SV, Wilkie GM, et al: Cytotoxic T-lymphocyte therapy for post-transplant lymphoproliferative disorder after solid organ transplantation in children. Pediatr Transplant 22, 2018</w:t>
      </w:r>
    </w:p>
    <w:p w14:paraId="7BE8DCD5" w14:textId="77777777" w:rsidR="00C30464" w:rsidRPr="005E7C68" w:rsidRDefault="00C30464" w:rsidP="00773C56">
      <w:pPr>
        <w:pStyle w:val="EndNoteBibliography"/>
        <w:spacing w:after="0"/>
      </w:pPr>
      <w:r w:rsidRPr="005E7C68">
        <w:tab/>
        <w:t>27.</w:t>
      </w:r>
      <w:r w:rsidRPr="005E7C68">
        <w:tab/>
        <w:t>Comoli P, Maccario R, Locatelli F, et al: Treatment of EBV-related post-renal transplant lymphoproliferative disease with a tailored regimen including EBV-specific T cells. Am J Transplant 5:1415-22, 2005</w:t>
      </w:r>
    </w:p>
    <w:p w14:paraId="2F6CCC7E" w14:textId="77777777" w:rsidR="00C30464" w:rsidRPr="005E7C68" w:rsidRDefault="00C30464" w:rsidP="00773C56">
      <w:pPr>
        <w:pStyle w:val="EndNoteBibliography"/>
        <w:spacing w:after="0"/>
      </w:pPr>
      <w:r w:rsidRPr="005E7C68">
        <w:tab/>
        <w:t>28.</w:t>
      </w:r>
      <w:r w:rsidRPr="005E7C68">
        <w:tab/>
        <w:t>Haque T, Wilkie GM, Jones MM, et al: Allogeneic cytotoxic T-cell therapy for EBV-positive posttransplantation lymphoproliferative disease: results of a phase 2 multicenter clinical trial. Blood 110:1123-31, 2007</w:t>
      </w:r>
    </w:p>
    <w:p w14:paraId="7BEDD403" w14:textId="77777777" w:rsidR="00C30464" w:rsidRPr="005E7C68" w:rsidRDefault="00C30464" w:rsidP="00773C56">
      <w:pPr>
        <w:pStyle w:val="EndNoteBibliography"/>
        <w:spacing w:after="0"/>
      </w:pPr>
      <w:r w:rsidRPr="005E7C68">
        <w:tab/>
        <w:t>29.</w:t>
      </w:r>
      <w:r w:rsidRPr="005E7C68">
        <w:tab/>
        <w:t>Khanna R, Bell S, Sherritt M, et al: Activation and adoptive transfer of Epstein-Barr virus-specific cytotoxic T cells in solid organ transplant patients with posttransplant lymphoproliferative disease. Proc Natl Acad Sci U S A 96:10391-6, 1999</w:t>
      </w:r>
    </w:p>
    <w:p w14:paraId="6DEB79EA" w14:textId="77777777" w:rsidR="00C30464" w:rsidRPr="005E7C68" w:rsidRDefault="00C30464" w:rsidP="00773C56">
      <w:pPr>
        <w:pStyle w:val="EndNoteBibliography"/>
        <w:spacing w:after="0"/>
      </w:pPr>
      <w:r w:rsidRPr="005E7C68">
        <w:tab/>
        <w:t>30.</w:t>
      </w:r>
      <w:r w:rsidRPr="005E7C68">
        <w:tab/>
        <w:t>Gardiner BJ, Chow JK, Brilleman SL, et al: The impact of recurrent cytomegalovirus infection on long-term surivial in solid organ transplant recipients. Transpl Infect Dis Oct 3:e13189, 2019</w:t>
      </w:r>
    </w:p>
    <w:p w14:paraId="7DB0E58A" w14:textId="77777777" w:rsidR="00C30464" w:rsidRPr="005E7C68" w:rsidRDefault="00C30464" w:rsidP="00773C56">
      <w:pPr>
        <w:pStyle w:val="EndNoteBibliography"/>
        <w:spacing w:after="0"/>
      </w:pPr>
      <w:r w:rsidRPr="005E7C68">
        <w:tab/>
        <w:t>31.</w:t>
      </w:r>
      <w:r w:rsidRPr="005E7C68">
        <w:tab/>
        <w:t>Kotton CN, Kumar D, Caliendo AM, et al: Updated international consensus guidelines on the management of cytomegalovirus in solid-organ transplantation. Transplantation 96:333-60, 2013</w:t>
      </w:r>
    </w:p>
    <w:p w14:paraId="0662CFC1" w14:textId="77777777" w:rsidR="00C30464" w:rsidRPr="005E7C68" w:rsidRDefault="00C30464" w:rsidP="00773C56">
      <w:pPr>
        <w:pStyle w:val="EndNoteBibliography"/>
        <w:spacing w:after="0"/>
      </w:pPr>
      <w:r w:rsidRPr="005E7C68">
        <w:tab/>
        <w:t>32.</w:t>
      </w:r>
      <w:r w:rsidRPr="005E7C68">
        <w:tab/>
        <w:t>El Helou G, Rasonable RR: Safey considerations with current and emerging antiviral therapies for cytomegalovirus infection in transplantation. Expert Opin Drug Safe, 2019</w:t>
      </w:r>
    </w:p>
    <w:p w14:paraId="17C8D2E4" w14:textId="77777777" w:rsidR="00C30464" w:rsidRPr="005E7C68" w:rsidRDefault="00C30464" w:rsidP="00773C56">
      <w:pPr>
        <w:pStyle w:val="EndNoteBibliography"/>
        <w:spacing w:after="0"/>
      </w:pPr>
      <w:r w:rsidRPr="005E7C68">
        <w:tab/>
        <w:t>33.</w:t>
      </w:r>
      <w:r w:rsidRPr="005E7C68">
        <w:tab/>
        <w:t>Boge CLK, Fisher BT, Petersen H, et al: Outcomes of human adenovirus infection and disease in a retrospective cohort of pediatric solid organ transplant recipients. Pediatr Transplant 23:e13510, 2019</w:t>
      </w:r>
    </w:p>
    <w:p w14:paraId="0E4F3C03" w14:textId="77777777" w:rsidR="00C30464" w:rsidRPr="005E7C68" w:rsidRDefault="00C30464" w:rsidP="00773C56">
      <w:pPr>
        <w:pStyle w:val="EndNoteBibliography"/>
        <w:spacing w:after="0"/>
      </w:pPr>
      <w:r w:rsidRPr="005E7C68">
        <w:tab/>
        <w:t>34.</w:t>
      </w:r>
      <w:r w:rsidRPr="005E7C68">
        <w:tab/>
        <w:t>Florescu DF, Schaenman JM, Practice ASTIDCo: Adenovirus in solid organ transplant recipients: Guidelines from the American Society of Transplantation Infectious Diseases Community of Practice. Clin Transplant 33:e13527, 2019</w:t>
      </w:r>
    </w:p>
    <w:p w14:paraId="10BE0800" w14:textId="77777777" w:rsidR="00C30464" w:rsidRPr="005E7C68" w:rsidRDefault="00C30464" w:rsidP="00773C56">
      <w:pPr>
        <w:pStyle w:val="EndNoteBibliography"/>
        <w:spacing w:after="0"/>
      </w:pPr>
      <w:r w:rsidRPr="005E7C68">
        <w:lastRenderedPageBreak/>
        <w:tab/>
        <w:t>35.</w:t>
      </w:r>
      <w:r w:rsidRPr="005E7C68">
        <w:tab/>
        <w:t>Bunos M, Hummer C, Wingenfeld E, et al: Automated isolation of primary antigen-specific T cells from donor lymphocyte concentrates: results of a feasibility exercise. Vox Sang 109:387-93, 2015</w:t>
      </w:r>
    </w:p>
    <w:p w14:paraId="6545915C" w14:textId="77777777" w:rsidR="00C30464" w:rsidRPr="005E7C68" w:rsidRDefault="00C30464" w:rsidP="00773C56">
      <w:pPr>
        <w:pStyle w:val="EndNoteBibliography"/>
        <w:spacing w:after="0"/>
      </w:pPr>
      <w:r w:rsidRPr="005E7C68">
        <w:tab/>
        <w:t>36.</w:t>
      </w:r>
      <w:r w:rsidRPr="005E7C68">
        <w:tab/>
        <w:t>Fahrendorff M vON, Rauser G et al: Automated generation of antigen-specific T cells for adoptive T cell therapy, 2010</w:t>
      </w:r>
    </w:p>
    <w:p w14:paraId="38E65A74" w14:textId="77777777" w:rsidR="00C30464" w:rsidRPr="005E7C68" w:rsidRDefault="00C30464" w:rsidP="00773C56">
      <w:pPr>
        <w:pStyle w:val="EndNoteBibliography"/>
        <w:spacing w:after="0"/>
      </w:pPr>
      <w:r w:rsidRPr="005E7C68">
        <w:tab/>
        <w:t>37.</w:t>
      </w:r>
      <w:r w:rsidRPr="005E7C68">
        <w:tab/>
        <w:t>Gerdemann U, Keirnan JM, Katari UL, et al: Rapidly generated multivirus-specific cytotoxic T lymphocytes for the prophylaxis and treatment of viral infections. Mol Ther 20:1622-32, 2012</w:t>
      </w:r>
    </w:p>
    <w:p w14:paraId="7828DA6C" w14:textId="77777777" w:rsidR="00C30464" w:rsidRPr="005E7C68" w:rsidRDefault="00C30464" w:rsidP="00773C56">
      <w:pPr>
        <w:pStyle w:val="EndNoteBibliography"/>
        <w:spacing w:after="0"/>
      </w:pPr>
      <w:r w:rsidRPr="005E7C68">
        <w:tab/>
        <w:t>38.</w:t>
      </w:r>
      <w:r w:rsidRPr="005E7C68">
        <w:tab/>
        <w:t>Tischer S, Priesner C, Heuft HG, et al: Rapid generation of clinical-grade antiviral T cells: selection of suitable T-cell donors and GMP-compliant manufacturing of antiviral T cells. J Transl Med 12:336, 2014</w:t>
      </w:r>
    </w:p>
    <w:p w14:paraId="5250499C" w14:textId="77777777" w:rsidR="00C30464" w:rsidRPr="005E7C68" w:rsidRDefault="00C30464" w:rsidP="00773C56">
      <w:pPr>
        <w:pStyle w:val="EndNoteBibliography"/>
        <w:spacing w:after="0"/>
      </w:pPr>
      <w:r w:rsidRPr="005E7C68">
        <w:tab/>
        <w:t>39.</w:t>
      </w:r>
      <w:r w:rsidRPr="005E7C68">
        <w:tab/>
        <w:t>Richter A FA, Lasmanowicz V et al: Efficient and rapid in vitro generation of multi-virus-specific CD4+ and CD8+ T cells for adoptive immunotherapy., 2010</w:t>
      </w:r>
    </w:p>
    <w:p w14:paraId="6D24C08F" w14:textId="77777777" w:rsidR="00C30464" w:rsidRPr="005E7C68" w:rsidRDefault="00C30464" w:rsidP="00773C56">
      <w:pPr>
        <w:pStyle w:val="EndNoteBibliography"/>
        <w:spacing w:after="0"/>
      </w:pPr>
      <w:r w:rsidRPr="005E7C68">
        <w:tab/>
        <w:t>40.</w:t>
      </w:r>
      <w:r w:rsidRPr="005E7C68">
        <w:tab/>
        <w:t>Feuchtinger T, Lang P, Hamprecht K, et al: Isolation and expansion of human adenovirus-specific CD4+ and CD8+ T cells according to IFN-gamma secretion for adjuvant immunotherapy. Exp Hematol 32:282-9, 2004</w:t>
      </w:r>
    </w:p>
    <w:p w14:paraId="35FC1474" w14:textId="77777777" w:rsidR="00C30464" w:rsidRPr="005E7C68" w:rsidRDefault="00C30464" w:rsidP="00773C56">
      <w:pPr>
        <w:pStyle w:val="EndNoteBibliography"/>
        <w:spacing w:after="0"/>
      </w:pPr>
      <w:r w:rsidRPr="005E7C68">
        <w:tab/>
        <w:t>41.</w:t>
      </w:r>
      <w:r w:rsidRPr="005E7C68">
        <w:tab/>
        <w:t>Zandvliet ML, Falkenburg JH, van Liempt E, et al: Combined CD8+ and CD4+ adenovirus hexon-specific T cells associated with viral clearance after stem cell transplantation as treatment for adenovirus infection. Haematologica 95:1943-51, 2010</w:t>
      </w:r>
    </w:p>
    <w:p w14:paraId="22A96C33" w14:textId="77777777" w:rsidR="00C30464" w:rsidRPr="005E7C68" w:rsidRDefault="00C30464" w:rsidP="00773C56">
      <w:pPr>
        <w:pStyle w:val="EndNoteBibliography"/>
        <w:spacing w:after="0"/>
      </w:pPr>
      <w:r w:rsidRPr="005E7C68">
        <w:tab/>
        <w:t>42.</w:t>
      </w:r>
      <w:r w:rsidRPr="005E7C68">
        <w:tab/>
        <w:t>Zandvliet ML, van Liempt E, Jedema I, et al: Simultaneous isolation of CD8(+) and CD4(+) T cells specific for multiple viruses for broad antiviral immune reconstitution after allogeneic stem cell transplantation. J Immunother 34:307-19, 2011</w:t>
      </w:r>
    </w:p>
    <w:p w14:paraId="58A8B3FF" w14:textId="77777777" w:rsidR="00C30464" w:rsidRPr="005E7C68" w:rsidRDefault="00C30464" w:rsidP="00773C56">
      <w:pPr>
        <w:pStyle w:val="EndNoteBibliography"/>
        <w:spacing w:after="0"/>
      </w:pPr>
      <w:r w:rsidRPr="005E7C68">
        <w:tab/>
        <w:t>43.</w:t>
      </w:r>
      <w:r w:rsidRPr="005E7C68">
        <w:tab/>
        <w:t>Feuchtinger T, Matthes-Martin S, Richard C, et al: Safe adoptive transfer of virus-specific T-cell immunity for the treatment of systemic adenovirus infection after allogeneic stem cell transplantation. Br J Haematol 134:64-76, 2006</w:t>
      </w:r>
    </w:p>
    <w:p w14:paraId="5B0E24D0" w14:textId="77777777" w:rsidR="00C30464" w:rsidRPr="005E7C68" w:rsidRDefault="00C30464" w:rsidP="00773C56">
      <w:pPr>
        <w:pStyle w:val="EndNoteBibliography"/>
        <w:spacing w:after="0"/>
      </w:pPr>
      <w:r w:rsidRPr="005E7C68">
        <w:tab/>
        <w:t>44.</w:t>
      </w:r>
      <w:r w:rsidRPr="005E7C68">
        <w:tab/>
        <w:t>Moosmann A, Bigalke I, Tischer J, et al: Effective and long-term control of EBV PTLD after transfer of peptide-selected T cells. Blood 115:2960-70, 2010</w:t>
      </w:r>
    </w:p>
    <w:p w14:paraId="48A71DF9" w14:textId="77777777" w:rsidR="00C30464" w:rsidRPr="005E7C68" w:rsidRDefault="00C30464" w:rsidP="00773C56">
      <w:pPr>
        <w:pStyle w:val="EndNoteBibliography"/>
        <w:spacing w:after="0"/>
      </w:pPr>
      <w:r w:rsidRPr="005E7C68">
        <w:tab/>
        <w:t>45.</w:t>
      </w:r>
      <w:r w:rsidRPr="005E7C68">
        <w:tab/>
        <w:t>Peggs KS, Thomson K, Samuel E, et al: Directly selected cytomegalovirus-reactive donor T cells confer rapid and safe systemic reconstitution of virus-specific immunity following stem cell transplantation. Clin Infect Dis 52:49-57, 2011</w:t>
      </w:r>
    </w:p>
    <w:p w14:paraId="4E35AE33" w14:textId="77777777" w:rsidR="00C30464" w:rsidRPr="005E7C68" w:rsidRDefault="00C30464" w:rsidP="00773C56">
      <w:pPr>
        <w:pStyle w:val="EndNoteBibliography"/>
        <w:spacing w:after="0"/>
      </w:pPr>
      <w:r w:rsidRPr="005E7C68">
        <w:tab/>
        <w:t>46.</w:t>
      </w:r>
      <w:r w:rsidRPr="005E7C68">
        <w:tab/>
        <w:t>Rezaei N, Hedayat M, Aghamohammadi A, et al: Primary immunodeficiency diseases associated with increased susceptibility to viral infections and malignancies. J Allergy Clin Immunol 127:1329-41 e2; quiz 1342-3, 2011</w:t>
      </w:r>
    </w:p>
    <w:p w14:paraId="7C68C512" w14:textId="77777777" w:rsidR="00C30464" w:rsidRPr="005E7C68" w:rsidRDefault="00C30464" w:rsidP="00773C56">
      <w:pPr>
        <w:pStyle w:val="EndNoteBibliography"/>
        <w:spacing w:after="0"/>
      </w:pPr>
      <w:r w:rsidRPr="005E7C68">
        <w:tab/>
        <w:t>47.</w:t>
      </w:r>
      <w:r w:rsidRPr="005E7C68">
        <w:tab/>
        <w:t>Campbell JD: Detection and enrichment of antigen-specific CD4+ and CD8+ T cells based on cytokine secretion. Methods 31:150-9, 2003</w:t>
      </w:r>
    </w:p>
    <w:p w14:paraId="5A5D4EFB" w14:textId="77777777" w:rsidR="00C30464" w:rsidRPr="005E7C68" w:rsidRDefault="00C30464" w:rsidP="00773C56">
      <w:pPr>
        <w:pStyle w:val="EndNoteBibliography"/>
        <w:spacing w:after="0"/>
      </w:pPr>
      <w:r w:rsidRPr="005E7C68">
        <w:tab/>
        <w:t>48.</w:t>
      </w:r>
      <w:r w:rsidRPr="005E7C68">
        <w:tab/>
        <w:t>Feuchtinger T, Lucke J, Hamprecht K, et al: Detection of adenovirus-specific T cells in children with adenovirus infection after allogeneic stem cell transplantation. Br J Haematol 128:503-9, 2005</w:t>
      </w:r>
    </w:p>
    <w:p w14:paraId="48ABCE5F" w14:textId="77777777" w:rsidR="00C30464" w:rsidRPr="005E7C68" w:rsidRDefault="00C30464" w:rsidP="00773C56">
      <w:pPr>
        <w:pStyle w:val="EndNoteBibliography"/>
        <w:spacing w:after="0"/>
      </w:pPr>
      <w:r w:rsidRPr="005E7C68">
        <w:tab/>
        <w:t>49.</w:t>
      </w:r>
      <w:r w:rsidRPr="005E7C68">
        <w:tab/>
        <w:t>Kumaresan P, Figliola M, Moyes JS, et al: Automated Cell Enrichment of Cytomegalovirus-specific T cells for Clinical Applications using the Cytokine-capture System. J Vis Exp, 2015</w:t>
      </w:r>
    </w:p>
    <w:p w14:paraId="0218EE87" w14:textId="77777777" w:rsidR="00C30464" w:rsidRPr="005E7C68" w:rsidRDefault="00C30464" w:rsidP="00773C56">
      <w:pPr>
        <w:pStyle w:val="EndNoteBibliography"/>
        <w:spacing w:after="0"/>
      </w:pPr>
      <w:r w:rsidRPr="005E7C68">
        <w:tab/>
        <w:t>50.</w:t>
      </w:r>
      <w:r w:rsidRPr="005E7C68">
        <w:tab/>
        <w:t>Meij P, Jedema I, Zandvliet ML, et al: Effective treatment of refractory CMV reactivation after allogeneic stem cell transplantation with in vitro-generated CMV pp65-specific CD8+ T-cell lines. J Immunother 35:621-8, 2012</w:t>
      </w:r>
    </w:p>
    <w:p w14:paraId="1183669F" w14:textId="77777777" w:rsidR="00C30464" w:rsidRPr="005E7C68" w:rsidRDefault="00C30464" w:rsidP="00773C56">
      <w:pPr>
        <w:pStyle w:val="EndNoteBibliography"/>
        <w:spacing w:after="0"/>
      </w:pPr>
      <w:r w:rsidRPr="005E7C68">
        <w:tab/>
        <w:t>51.</w:t>
      </w:r>
      <w:r w:rsidRPr="005E7C68">
        <w:tab/>
        <w:t>Naik S, Nicholas SK, Martinez CA, et al: Adoptive immunotherapy for primary immunodeficiency disorders with virus-specific T lymphocytes. J Allergy Clin Immunol 137:1498-1505 e1, 2016</w:t>
      </w:r>
    </w:p>
    <w:p w14:paraId="7904905E" w14:textId="77777777" w:rsidR="00C30464" w:rsidRPr="005E7C68" w:rsidRDefault="00C30464" w:rsidP="00773C56">
      <w:pPr>
        <w:pStyle w:val="EndNoteBibliography"/>
      </w:pPr>
      <w:r w:rsidRPr="005E7C68">
        <w:lastRenderedPageBreak/>
        <w:tab/>
        <w:t>52.</w:t>
      </w:r>
      <w:r w:rsidRPr="005E7C68">
        <w:tab/>
        <w:t>Papadopoulou A, Gerdemann U, Katari UL, et al: Activity of broad-spectrum T cells as treatment for AdV, EBV, CMV, BKV, and HHV6 infections after HSCT. Sci Transl Med 6:242ra83, 2014</w:t>
      </w:r>
    </w:p>
    <w:p w14:paraId="6E93ACCC" w14:textId="5D0892F4" w:rsidR="00205F50" w:rsidRDefault="00C30464" w:rsidP="00773C56">
      <w:r w:rsidRPr="00E54F86">
        <w:fldChar w:fldCharType="end"/>
      </w:r>
    </w:p>
    <w:p w14:paraId="2CFA8231" w14:textId="77777777" w:rsidR="00205F50" w:rsidRDefault="00205F50">
      <w:pPr>
        <w:spacing w:after="160" w:line="259" w:lineRule="auto"/>
      </w:pPr>
      <w:r>
        <w:br w:type="page"/>
      </w:r>
    </w:p>
    <w:p w14:paraId="7E9A6852" w14:textId="3095F75A" w:rsidR="00205F50" w:rsidRDefault="00205F50" w:rsidP="00205F50">
      <w:pPr>
        <w:rPr>
          <w:rFonts w:ascii="Arial" w:hAnsi="Arial" w:cs="Arial"/>
          <w:b/>
          <w:sz w:val="24"/>
          <w:szCs w:val="24"/>
        </w:rPr>
      </w:pPr>
      <w:r w:rsidRPr="00E54F86">
        <w:rPr>
          <w:rFonts w:ascii="Arial" w:hAnsi="Arial" w:cs="Arial"/>
          <w:b/>
          <w:sz w:val="24"/>
          <w:szCs w:val="24"/>
        </w:rPr>
        <w:lastRenderedPageBreak/>
        <w:t>Appendix I: Evaluation of Donors for Apheresis</w:t>
      </w:r>
    </w:p>
    <w:p w14:paraId="043F0720" w14:textId="77777777" w:rsidR="002F44EB" w:rsidRPr="00E54F86" w:rsidRDefault="002F44EB" w:rsidP="00205F50">
      <w:pPr>
        <w:rPr>
          <w:rFonts w:ascii="Arial" w:hAnsi="Arial" w:cs="Arial"/>
          <w:b/>
          <w:sz w:val="24"/>
          <w:szCs w:val="24"/>
        </w:rPr>
      </w:pPr>
    </w:p>
    <w:p w14:paraId="04A118BD" w14:textId="77777777" w:rsidR="00205F50" w:rsidRPr="00E54F86" w:rsidRDefault="00205F50" w:rsidP="00205F50">
      <w:pPr>
        <w:rPr>
          <w:rFonts w:ascii="Arial" w:hAnsi="Arial" w:cs="Arial"/>
          <w:sz w:val="24"/>
          <w:szCs w:val="24"/>
        </w:rPr>
      </w:pPr>
      <w:r w:rsidRPr="00E54F86">
        <w:rPr>
          <w:rFonts w:ascii="Arial" w:hAnsi="Arial" w:cs="Arial"/>
          <w:sz w:val="24"/>
          <w:szCs w:val="24"/>
        </w:rPr>
        <w:t>In addition to donor evaluations below- donor must first be assessed to have a T-cell response at least to the CMV MACS</w:t>
      </w:r>
      <w:r w:rsidRPr="00E54F86">
        <w:rPr>
          <w:rFonts w:ascii="Arial" w:hAnsi="Arial" w:cs="Arial"/>
          <w:sz w:val="24"/>
          <w:szCs w:val="24"/>
          <w:vertAlign w:val="superscript"/>
        </w:rPr>
        <w:t>®</w:t>
      </w:r>
      <w:r w:rsidRPr="00E54F86">
        <w:rPr>
          <w:rFonts w:ascii="Arial" w:hAnsi="Arial" w:cs="Arial"/>
          <w:sz w:val="24"/>
          <w:szCs w:val="24"/>
        </w:rPr>
        <w:t xml:space="preserve"> GMP PepTivator antigen(s) causing the therapy-refractory infection.  The donor serology will also be assessed for CMV. </w:t>
      </w:r>
    </w:p>
    <w:p w14:paraId="4EB4A410" w14:textId="77777777" w:rsidR="002F44EB" w:rsidRDefault="002F44EB" w:rsidP="00205F50">
      <w:pPr>
        <w:rPr>
          <w:rFonts w:ascii="Arial" w:hAnsi="Arial" w:cs="Arial"/>
          <w:sz w:val="24"/>
          <w:szCs w:val="24"/>
        </w:rPr>
      </w:pPr>
    </w:p>
    <w:p w14:paraId="333EC362" w14:textId="12547FB9" w:rsidR="00205F50" w:rsidRPr="000B3347" w:rsidRDefault="00205F50" w:rsidP="00205F50">
      <w:pPr>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1.0 Principle:</w:t>
      </w:r>
      <w:r w:rsidRPr="00E54F86">
        <w:rPr>
          <w:rFonts w:ascii="Arial" w:hAnsi="Arial" w:cs="Arial"/>
          <w:sz w:val="24"/>
          <w:szCs w:val="24"/>
        </w:rPr>
        <w:t xml:space="preserve">  Related allogeneic donors are required to meet transmissible infectious disease screening and testing requirements. This requires evaluation of risk factors, review of medical records, physical examination, and testing for relevant communicable disease agents and diseases (RCDADs) in accordance with the Code of Federal (CFR) Regulations</w:t>
      </w:r>
      <w:r w:rsidRPr="00E54F86">
        <w:rPr>
          <w:rFonts w:ascii="Arial" w:eastAsia="Times New Roman" w:hAnsi="Arial" w:cs="Arial"/>
          <w:b/>
          <w:sz w:val="24"/>
          <w:szCs w:val="24"/>
        </w:rPr>
        <w:t>:</w:t>
      </w:r>
      <w:hyperlink r:id="rId9">
        <w:r w:rsidRPr="00E54F86">
          <w:rPr>
            <w:rFonts w:ascii="Arial" w:eastAsia="Times New Roman" w:hAnsi="Arial" w:cs="Arial"/>
            <w:b/>
            <w:sz w:val="24"/>
            <w:szCs w:val="24"/>
          </w:rPr>
          <w:t xml:space="preserve"> </w:t>
        </w:r>
      </w:hyperlink>
      <w:hyperlink r:id="rId10">
        <w:r w:rsidRPr="00E54F86">
          <w:rPr>
            <w:rFonts w:ascii="Arial" w:hAnsi="Arial" w:cs="Arial"/>
            <w:color w:val="0000FF"/>
            <w:sz w:val="24"/>
            <w:szCs w:val="24"/>
            <w:u w:val="single" w:color="0000FF"/>
          </w:rPr>
          <w:t>CFR: Tissue Donor Eligibility</w:t>
        </w:r>
      </w:hyperlink>
      <w:hyperlink r:id="rId11">
        <w:r w:rsidRPr="00E54F86">
          <w:rPr>
            <w:rFonts w:ascii="Arial" w:hAnsi="Arial" w:cs="Arial"/>
            <w:sz w:val="24"/>
            <w:szCs w:val="24"/>
          </w:rPr>
          <w:t xml:space="preserve"> </w:t>
        </w:r>
      </w:hyperlink>
    </w:p>
    <w:p w14:paraId="2D3FC54F" w14:textId="77777777" w:rsidR="002F44EB"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09DA4D56" w14:textId="6966F131"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2.0 Purpose:</w:t>
      </w:r>
      <w:r w:rsidRPr="00E54F86">
        <w:rPr>
          <w:rFonts w:ascii="Arial" w:hAnsi="Arial" w:cs="Arial"/>
          <w:sz w:val="24"/>
          <w:szCs w:val="24"/>
        </w:rPr>
        <w:t xml:space="preserve">  The donor is evaluated to protect the safety of the recipient. </w:t>
      </w:r>
    </w:p>
    <w:p w14:paraId="5254B84A" w14:textId="77777777" w:rsidR="002F44EB"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16D5A1B4" w14:textId="0253579C"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3.0</w:t>
      </w:r>
      <w:r w:rsidRPr="00E54F86">
        <w:rPr>
          <w:rFonts w:ascii="Arial" w:eastAsia="Arial" w:hAnsi="Arial" w:cs="Arial"/>
          <w:b/>
          <w:sz w:val="24"/>
          <w:szCs w:val="24"/>
        </w:rPr>
        <w:t xml:space="preserve"> </w:t>
      </w:r>
      <w:r w:rsidRPr="00E54F86">
        <w:rPr>
          <w:rFonts w:ascii="Arial" w:eastAsia="Times New Roman" w:hAnsi="Arial" w:cs="Arial"/>
          <w:b/>
          <w:sz w:val="24"/>
          <w:szCs w:val="24"/>
        </w:rPr>
        <w:t xml:space="preserve">Procedure:  </w:t>
      </w:r>
    </w:p>
    <w:p w14:paraId="1CA9387B"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22E8821B" w14:textId="77777777" w:rsidR="00205F50" w:rsidRPr="00E54F86" w:rsidRDefault="00205F50" w:rsidP="00205F50">
      <w:pPr>
        <w:spacing w:line="259" w:lineRule="auto"/>
        <w:ind w:left="-5"/>
        <w:rPr>
          <w:rFonts w:ascii="Arial" w:hAnsi="Arial" w:cs="Arial"/>
          <w:sz w:val="24"/>
          <w:szCs w:val="24"/>
        </w:rPr>
      </w:pPr>
      <w:r w:rsidRPr="00E54F86">
        <w:rPr>
          <w:rFonts w:ascii="Arial" w:eastAsia="Times New Roman" w:hAnsi="Arial" w:cs="Arial"/>
          <w:b/>
          <w:sz w:val="24"/>
          <w:szCs w:val="24"/>
        </w:rPr>
        <w:t>3.1</w:t>
      </w:r>
      <w:r w:rsidRPr="00E54F86">
        <w:rPr>
          <w:rFonts w:ascii="Arial" w:hAnsi="Arial" w:cs="Arial"/>
          <w:sz w:val="24"/>
          <w:szCs w:val="24"/>
        </w:rPr>
        <w:t xml:space="preserve"> </w:t>
      </w:r>
      <w:r w:rsidRPr="00E54F86">
        <w:rPr>
          <w:rFonts w:ascii="Arial" w:eastAsia="Times New Roman" w:hAnsi="Arial" w:cs="Arial"/>
          <w:b/>
          <w:sz w:val="24"/>
          <w:szCs w:val="24"/>
        </w:rPr>
        <w:t>Determination of the allogeneic donor eligibility</w:t>
      </w:r>
      <w:r w:rsidRPr="00E54F86">
        <w:rPr>
          <w:rFonts w:ascii="Arial" w:hAnsi="Arial" w:cs="Arial"/>
          <w:sz w:val="24"/>
          <w:szCs w:val="24"/>
        </w:rPr>
        <w:t xml:space="preserve">  </w:t>
      </w:r>
    </w:p>
    <w:p w14:paraId="4CD3FADB"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7B4B9479"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 xml:space="preserve">3.1.1 Responsibility of the transplant physician and is communicated to the collection and processing enter staff.  </w:t>
      </w:r>
    </w:p>
    <w:p w14:paraId="1D8BDBE6"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197FB670"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 xml:space="preserve">3.1.2 Eligible Donors: </w:t>
      </w:r>
    </w:p>
    <w:p w14:paraId="53869CC9" w14:textId="77777777" w:rsidR="00205F50" w:rsidRPr="00E54F86" w:rsidRDefault="00205F50" w:rsidP="00205F50">
      <w:pPr>
        <w:spacing w:line="259" w:lineRule="auto"/>
        <w:ind w:left="1081"/>
        <w:rPr>
          <w:rFonts w:ascii="Arial" w:hAnsi="Arial" w:cs="Arial"/>
          <w:sz w:val="24"/>
          <w:szCs w:val="24"/>
        </w:rPr>
      </w:pPr>
      <w:r w:rsidRPr="00E54F86">
        <w:rPr>
          <w:rFonts w:ascii="Arial" w:hAnsi="Arial" w:cs="Arial"/>
          <w:sz w:val="24"/>
          <w:szCs w:val="24"/>
        </w:rPr>
        <w:t xml:space="preserve">   </w:t>
      </w:r>
    </w:p>
    <w:p w14:paraId="6E39AA67" w14:textId="77777777" w:rsidR="00205F50" w:rsidRPr="00E54F86" w:rsidRDefault="00205F50" w:rsidP="00205F50">
      <w:pPr>
        <w:numPr>
          <w:ilvl w:val="0"/>
          <w:numId w:val="5"/>
        </w:numPr>
        <w:spacing w:after="2" w:line="238" w:lineRule="auto"/>
        <w:ind w:right="20" w:hanging="360"/>
        <w:rPr>
          <w:rFonts w:ascii="Arial" w:hAnsi="Arial" w:cs="Arial"/>
          <w:sz w:val="24"/>
          <w:szCs w:val="24"/>
        </w:rPr>
      </w:pPr>
      <w:r w:rsidRPr="00E54F86">
        <w:rPr>
          <w:rFonts w:ascii="Arial" w:hAnsi="Arial" w:cs="Arial"/>
          <w:sz w:val="24"/>
          <w:szCs w:val="24"/>
        </w:rPr>
        <w:t xml:space="preserve">Screening shows that the donor is free from risk factors for, and clinical evidence of, infection due to  RCDADs, and is free from communicable disease risks associated with xenotransplantation; and  </w:t>
      </w:r>
    </w:p>
    <w:p w14:paraId="354B1406" w14:textId="77777777" w:rsidR="00205F50" w:rsidRPr="00E54F86" w:rsidRDefault="00205F50" w:rsidP="00205F50">
      <w:pPr>
        <w:numPr>
          <w:ilvl w:val="0"/>
          <w:numId w:val="5"/>
        </w:numPr>
        <w:spacing w:after="2" w:line="238" w:lineRule="auto"/>
        <w:ind w:right="20" w:hanging="360"/>
        <w:rPr>
          <w:rFonts w:ascii="Arial" w:hAnsi="Arial" w:cs="Arial"/>
          <w:sz w:val="24"/>
          <w:szCs w:val="24"/>
        </w:rPr>
      </w:pPr>
      <w:r w:rsidRPr="00E54F86">
        <w:rPr>
          <w:rFonts w:ascii="Arial" w:hAnsi="Arial" w:cs="Arial"/>
          <w:sz w:val="24"/>
          <w:szCs w:val="24"/>
        </w:rPr>
        <w:t xml:space="preserve">Test results for RCDADs are negative or nonreactive, except as provided in § 1271.80(d)(1): active on a non-treponemal screening test for syphilis and negative on a specific treponemal confirmatory test; </w:t>
      </w:r>
    </w:p>
    <w:p w14:paraId="1C4C0585"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2B7C82E7"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 xml:space="preserve">3.1.3 Ineligible Donors: </w:t>
      </w:r>
    </w:p>
    <w:p w14:paraId="62B6AB9C" w14:textId="77777777" w:rsidR="00205F50" w:rsidRPr="00E54F86" w:rsidRDefault="00205F50" w:rsidP="00205F50">
      <w:pPr>
        <w:pStyle w:val="ListParagraph"/>
        <w:numPr>
          <w:ilvl w:val="0"/>
          <w:numId w:val="15"/>
        </w:numPr>
        <w:spacing w:after="1" w:line="259" w:lineRule="auto"/>
        <w:rPr>
          <w:rFonts w:ascii="Arial" w:hAnsi="Arial" w:cs="Arial"/>
          <w:sz w:val="24"/>
          <w:szCs w:val="24"/>
        </w:rPr>
      </w:pPr>
      <w:r w:rsidRPr="00E54F86">
        <w:rPr>
          <w:rFonts w:ascii="Arial" w:hAnsi="Arial" w:cs="Arial"/>
          <w:sz w:val="24"/>
          <w:szCs w:val="24"/>
        </w:rPr>
        <w:t xml:space="preserve">Require documentation of the rationale for his/her selection by the transplant physician, urgent medical need and documentation of informed consent of the donor and the recipient. </w:t>
      </w:r>
    </w:p>
    <w:p w14:paraId="487EB8F6" w14:textId="77777777" w:rsidR="002F44EB" w:rsidRDefault="002F44EB" w:rsidP="00205F50">
      <w:pPr>
        <w:spacing w:line="259" w:lineRule="auto"/>
        <w:rPr>
          <w:rFonts w:ascii="Arial" w:eastAsia="Times New Roman" w:hAnsi="Arial" w:cs="Arial"/>
          <w:b/>
          <w:sz w:val="24"/>
          <w:szCs w:val="24"/>
        </w:rPr>
      </w:pPr>
    </w:p>
    <w:p w14:paraId="14E27BC2" w14:textId="79FBB5EA"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 xml:space="preserve">3.2 Donor Health History Review  </w:t>
      </w:r>
    </w:p>
    <w:p w14:paraId="4FB26D29"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3.2.1 Rationale  </w:t>
      </w:r>
    </w:p>
    <w:p w14:paraId="0B1293C4" w14:textId="77777777" w:rsidR="00205F50" w:rsidRPr="00E54F86" w:rsidRDefault="00205F50" w:rsidP="00205F50">
      <w:pPr>
        <w:ind w:left="812" w:hanging="91"/>
        <w:rPr>
          <w:rFonts w:ascii="Arial" w:hAnsi="Arial" w:cs="Arial"/>
          <w:sz w:val="24"/>
          <w:szCs w:val="24"/>
        </w:rPr>
      </w:pPr>
      <w:r w:rsidRPr="00E54F86">
        <w:rPr>
          <w:rFonts w:ascii="Arial" w:hAnsi="Arial" w:cs="Arial"/>
          <w:sz w:val="24"/>
          <w:szCs w:val="24"/>
        </w:rPr>
        <w:t xml:space="preserve"> The purpose of the health history review is to assess the donor’s current state of health and   risk RCDADs as defined by the Good Tissue Practices (GTPs) and listed/specified in     21 CFR Part 1271. These are diseases or disease agents identified by the FDA as having the potential to cause significant pathogenicity to recipients of human cells, tissues, and cellular and tissue-based products (HCT/Ps). RCDADs are determined by assessing:  </w:t>
      </w:r>
    </w:p>
    <w:p w14:paraId="62BB7FD2"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4E238F47" w14:textId="77777777" w:rsidR="00205F50" w:rsidRPr="00E54F86" w:rsidRDefault="00205F50" w:rsidP="00205F50">
      <w:pPr>
        <w:numPr>
          <w:ilvl w:val="4"/>
          <w:numId w:val="8"/>
        </w:numPr>
        <w:spacing w:after="9" w:line="248" w:lineRule="auto"/>
        <w:ind w:hanging="360"/>
        <w:rPr>
          <w:rFonts w:ascii="Arial" w:hAnsi="Arial" w:cs="Arial"/>
          <w:sz w:val="24"/>
          <w:szCs w:val="24"/>
        </w:rPr>
      </w:pPr>
      <w:r w:rsidRPr="00E54F86">
        <w:rPr>
          <w:rFonts w:ascii="Arial" w:hAnsi="Arial" w:cs="Arial"/>
          <w:sz w:val="24"/>
          <w:szCs w:val="24"/>
        </w:rPr>
        <w:t xml:space="preserve">Risk of transmission to the recipient.  </w:t>
      </w:r>
    </w:p>
    <w:p w14:paraId="453C7787" w14:textId="77777777" w:rsidR="00205F50" w:rsidRPr="00E54F86" w:rsidRDefault="00205F50" w:rsidP="00205F50">
      <w:pPr>
        <w:numPr>
          <w:ilvl w:val="4"/>
          <w:numId w:val="8"/>
        </w:numPr>
        <w:spacing w:after="9" w:line="248" w:lineRule="auto"/>
        <w:ind w:hanging="360"/>
        <w:rPr>
          <w:rFonts w:ascii="Arial" w:hAnsi="Arial" w:cs="Arial"/>
          <w:sz w:val="24"/>
          <w:szCs w:val="24"/>
        </w:rPr>
      </w:pPr>
      <w:r w:rsidRPr="00E54F86">
        <w:rPr>
          <w:rFonts w:ascii="Arial" w:hAnsi="Arial" w:cs="Arial"/>
          <w:sz w:val="24"/>
          <w:szCs w:val="24"/>
        </w:rPr>
        <w:lastRenderedPageBreak/>
        <w:t xml:space="preserve">Severity of effect on the recipient if transmitted.  </w:t>
      </w:r>
    </w:p>
    <w:p w14:paraId="3BC23CA0" w14:textId="77777777" w:rsidR="00205F50" w:rsidRPr="00E54F86" w:rsidRDefault="00205F50" w:rsidP="00205F50">
      <w:pPr>
        <w:numPr>
          <w:ilvl w:val="4"/>
          <w:numId w:val="8"/>
        </w:numPr>
        <w:spacing w:after="9" w:line="248" w:lineRule="auto"/>
        <w:ind w:hanging="360"/>
        <w:rPr>
          <w:rFonts w:ascii="Arial" w:hAnsi="Arial" w:cs="Arial"/>
          <w:sz w:val="24"/>
          <w:szCs w:val="24"/>
        </w:rPr>
      </w:pPr>
      <w:r w:rsidRPr="00E54F86">
        <w:rPr>
          <w:rFonts w:ascii="Arial" w:hAnsi="Arial" w:cs="Arial"/>
          <w:sz w:val="24"/>
          <w:szCs w:val="24"/>
        </w:rPr>
        <w:t xml:space="preserve">Availability of appropriate screening measures or tests to identify the          potential donor’s risk of exposure to and/or possible infection with the        disease.  </w:t>
      </w:r>
    </w:p>
    <w:p w14:paraId="259CA403"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054CD16C" w14:textId="77777777" w:rsidR="00205F50" w:rsidRPr="00E54F86" w:rsidRDefault="00205F50" w:rsidP="00205F50">
      <w:pPr>
        <w:ind w:left="913"/>
        <w:rPr>
          <w:rFonts w:ascii="Arial" w:hAnsi="Arial" w:cs="Arial"/>
          <w:sz w:val="24"/>
          <w:szCs w:val="24"/>
        </w:rPr>
      </w:pPr>
      <w:r w:rsidRPr="00E54F86">
        <w:rPr>
          <w:rFonts w:ascii="Arial" w:hAnsi="Arial" w:cs="Arial"/>
          <w:sz w:val="24"/>
          <w:szCs w:val="24"/>
        </w:rPr>
        <w:t xml:space="preserve">RCDADs include West Nile Virus (WNV), HIV-1/2, hepatitis B, hepatitis C, vaccinia virus infection, HTLV I/II, Chagas, Creutzfeldt-Jakob disease (CJD), variant CJD, sepsis and syphilis </w:t>
      </w:r>
    </w:p>
    <w:p w14:paraId="6F0AD6E7"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0DE33E61" w14:textId="77777777" w:rsidR="00205F50" w:rsidRPr="00E54F86" w:rsidRDefault="00205F50" w:rsidP="00205F50">
      <w:pPr>
        <w:numPr>
          <w:ilvl w:val="2"/>
          <w:numId w:val="7"/>
        </w:numPr>
        <w:spacing w:after="9" w:line="248" w:lineRule="auto"/>
        <w:ind w:left="1413" w:hanging="542"/>
        <w:rPr>
          <w:rFonts w:ascii="Arial" w:hAnsi="Arial" w:cs="Arial"/>
          <w:sz w:val="24"/>
          <w:szCs w:val="24"/>
        </w:rPr>
      </w:pPr>
      <w:r w:rsidRPr="00E54F86">
        <w:rPr>
          <w:rFonts w:ascii="Arial" w:hAnsi="Arial" w:cs="Arial"/>
          <w:sz w:val="24"/>
          <w:szCs w:val="24"/>
        </w:rPr>
        <w:t xml:space="preserve">Donor Questionnaire </w:t>
      </w:r>
    </w:p>
    <w:p w14:paraId="61DCB66D"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6B4F4D5C" w14:textId="77777777" w:rsidR="00205F50" w:rsidRPr="00E54F86" w:rsidRDefault="00205F50" w:rsidP="00205F50">
      <w:pPr>
        <w:ind w:left="913"/>
        <w:rPr>
          <w:rFonts w:ascii="Arial" w:hAnsi="Arial" w:cs="Arial"/>
          <w:sz w:val="24"/>
          <w:szCs w:val="24"/>
        </w:rPr>
      </w:pPr>
      <w:r w:rsidRPr="00E54F86">
        <w:rPr>
          <w:rFonts w:ascii="Arial" w:hAnsi="Arial" w:cs="Arial"/>
          <w:sz w:val="24"/>
          <w:szCs w:val="24"/>
        </w:rPr>
        <w:t xml:space="preserve">The clinical program will use a donor questionnaire and guidance document that is based on the National Marrow Donor Program’s Donor Heath History Screening Questionnaire.  </w:t>
      </w:r>
    </w:p>
    <w:p w14:paraId="5C57B37D"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2B8D9FFF" w14:textId="77777777" w:rsidR="00205F50" w:rsidRPr="00E54F86" w:rsidRDefault="00205F50" w:rsidP="00205F50">
      <w:pPr>
        <w:numPr>
          <w:ilvl w:val="2"/>
          <w:numId w:val="7"/>
        </w:numPr>
        <w:spacing w:after="9" w:line="248" w:lineRule="auto"/>
        <w:ind w:left="1413" w:hanging="542"/>
        <w:rPr>
          <w:rFonts w:ascii="Arial" w:hAnsi="Arial" w:cs="Arial"/>
          <w:sz w:val="24"/>
          <w:szCs w:val="24"/>
        </w:rPr>
      </w:pPr>
      <w:r w:rsidRPr="00E54F86">
        <w:rPr>
          <w:rFonts w:ascii="Arial" w:hAnsi="Arial" w:cs="Arial"/>
          <w:sz w:val="24"/>
          <w:szCs w:val="24"/>
        </w:rPr>
        <w:t xml:space="preserve">Evaluation of response to Donor Questionnaire </w:t>
      </w:r>
    </w:p>
    <w:p w14:paraId="733FCE74" w14:textId="77777777" w:rsidR="00205F50" w:rsidRPr="00E54F86" w:rsidRDefault="00205F50" w:rsidP="00205F50">
      <w:pPr>
        <w:spacing w:line="259" w:lineRule="auto"/>
        <w:ind w:left="721"/>
        <w:rPr>
          <w:rFonts w:ascii="Arial" w:hAnsi="Arial" w:cs="Arial"/>
          <w:sz w:val="24"/>
          <w:szCs w:val="24"/>
        </w:rPr>
      </w:pPr>
      <w:r w:rsidRPr="00E54F86">
        <w:rPr>
          <w:rFonts w:ascii="Arial" w:hAnsi="Arial" w:cs="Arial"/>
          <w:sz w:val="24"/>
          <w:szCs w:val="24"/>
        </w:rPr>
        <w:t xml:space="preserve"> </w:t>
      </w:r>
    </w:p>
    <w:p w14:paraId="71E029A7" w14:textId="77777777" w:rsidR="00205F50" w:rsidRPr="00E54F86" w:rsidRDefault="00205F50" w:rsidP="00205F50">
      <w:pPr>
        <w:ind w:left="1451"/>
        <w:rPr>
          <w:rFonts w:ascii="Arial" w:hAnsi="Arial" w:cs="Arial"/>
          <w:sz w:val="24"/>
          <w:szCs w:val="24"/>
        </w:rPr>
      </w:pPr>
      <w:r w:rsidRPr="00E54F86">
        <w:rPr>
          <w:rFonts w:ascii="Arial" w:hAnsi="Arial" w:cs="Arial"/>
          <w:sz w:val="24"/>
          <w:szCs w:val="24"/>
        </w:rPr>
        <w:t xml:space="preserve">Responses will be assessed for risk of RCDADs as defined by the Good Tissue Practices (GTPs) and listed/specified in 21 CFR Part 1271.50. </w:t>
      </w:r>
    </w:p>
    <w:p w14:paraId="3FAAF310" w14:textId="77777777" w:rsidR="00205F50" w:rsidRPr="00E54F86" w:rsidRDefault="00205F50" w:rsidP="00205F50">
      <w:pPr>
        <w:spacing w:line="259" w:lineRule="auto"/>
        <w:ind w:left="721"/>
        <w:rPr>
          <w:rFonts w:ascii="Arial" w:hAnsi="Arial" w:cs="Arial"/>
          <w:sz w:val="24"/>
          <w:szCs w:val="24"/>
        </w:rPr>
      </w:pPr>
      <w:r w:rsidRPr="00E54F86">
        <w:rPr>
          <w:rFonts w:ascii="Arial" w:hAnsi="Arial" w:cs="Arial"/>
          <w:sz w:val="24"/>
          <w:szCs w:val="24"/>
        </w:rPr>
        <w:t xml:space="preserve"> </w:t>
      </w:r>
    </w:p>
    <w:p w14:paraId="1C3B8F59" w14:textId="77777777" w:rsidR="00205F50" w:rsidRPr="00E54F86" w:rsidRDefault="00205F50" w:rsidP="00205F50">
      <w:pPr>
        <w:numPr>
          <w:ilvl w:val="3"/>
          <w:numId w:val="6"/>
        </w:numPr>
        <w:spacing w:after="9" w:line="248" w:lineRule="auto"/>
        <w:ind w:hanging="724"/>
        <w:rPr>
          <w:rFonts w:ascii="Arial" w:hAnsi="Arial" w:cs="Arial"/>
          <w:sz w:val="24"/>
          <w:szCs w:val="24"/>
        </w:rPr>
      </w:pPr>
      <w:r w:rsidRPr="00E54F86">
        <w:rPr>
          <w:rFonts w:ascii="Arial" w:hAnsi="Arial" w:cs="Arial"/>
          <w:sz w:val="24"/>
          <w:szCs w:val="24"/>
        </w:rPr>
        <w:t xml:space="preserve">Risk of RCDADs is identified </w:t>
      </w:r>
    </w:p>
    <w:p w14:paraId="33F6F757" w14:textId="77777777" w:rsidR="00205F50" w:rsidRPr="00E54F86" w:rsidRDefault="00205F50" w:rsidP="00205F50">
      <w:pPr>
        <w:spacing w:line="259" w:lineRule="auto"/>
        <w:ind w:left="1441"/>
        <w:rPr>
          <w:rFonts w:ascii="Arial" w:hAnsi="Arial" w:cs="Arial"/>
          <w:sz w:val="24"/>
          <w:szCs w:val="24"/>
        </w:rPr>
      </w:pPr>
      <w:r w:rsidRPr="00E54F86">
        <w:rPr>
          <w:rFonts w:ascii="Arial" w:hAnsi="Arial" w:cs="Arial"/>
          <w:sz w:val="24"/>
          <w:szCs w:val="24"/>
        </w:rPr>
        <w:t xml:space="preserve"> </w:t>
      </w:r>
    </w:p>
    <w:p w14:paraId="247B8C50" w14:textId="77777777" w:rsidR="00205F50" w:rsidRPr="00E54F86" w:rsidRDefault="00205F50" w:rsidP="00205F50">
      <w:pPr>
        <w:tabs>
          <w:tab w:val="center" w:pos="1441"/>
          <w:tab w:val="center" w:pos="3657"/>
        </w:tabs>
        <w:rPr>
          <w:rFonts w:ascii="Arial" w:hAnsi="Arial" w:cs="Arial"/>
          <w:sz w:val="24"/>
          <w:szCs w:val="24"/>
        </w:rPr>
      </w:pPr>
      <w:r w:rsidRPr="00E54F86">
        <w:rPr>
          <w:rFonts w:ascii="Arial" w:eastAsia="Calibri" w:hAnsi="Arial" w:cs="Arial"/>
          <w:sz w:val="24"/>
          <w:szCs w:val="24"/>
        </w:rPr>
        <w:tab/>
      </w:r>
      <w:r w:rsidRPr="00E54F86">
        <w:rPr>
          <w:rFonts w:ascii="Arial" w:hAnsi="Arial" w:cs="Arial"/>
          <w:sz w:val="24"/>
          <w:szCs w:val="24"/>
        </w:rPr>
        <w:t xml:space="preserve"> </w:t>
      </w:r>
      <w:r w:rsidRPr="00E54F86">
        <w:rPr>
          <w:rFonts w:ascii="Arial" w:hAnsi="Arial" w:cs="Arial"/>
          <w:sz w:val="24"/>
          <w:szCs w:val="24"/>
        </w:rPr>
        <w:tab/>
        <w:t xml:space="preserve">Donor is determined ineligible. </w:t>
      </w:r>
    </w:p>
    <w:p w14:paraId="32C2AC62" w14:textId="77777777" w:rsidR="00205F50" w:rsidRPr="00E54F86" w:rsidRDefault="00205F50" w:rsidP="00205F50">
      <w:pPr>
        <w:spacing w:line="259" w:lineRule="auto"/>
        <w:ind w:left="721"/>
        <w:rPr>
          <w:rFonts w:ascii="Arial" w:hAnsi="Arial" w:cs="Arial"/>
          <w:sz w:val="24"/>
          <w:szCs w:val="24"/>
        </w:rPr>
      </w:pPr>
      <w:r w:rsidRPr="00E54F86">
        <w:rPr>
          <w:rFonts w:ascii="Arial" w:hAnsi="Arial" w:cs="Arial"/>
          <w:sz w:val="24"/>
          <w:szCs w:val="24"/>
        </w:rPr>
        <w:t xml:space="preserve"> </w:t>
      </w:r>
    </w:p>
    <w:p w14:paraId="715C04D7" w14:textId="77777777" w:rsidR="00205F50" w:rsidRPr="00E54F86" w:rsidRDefault="00205F50" w:rsidP="00205F50">
      <w:pPr>
        <w:numPr>
          <w:ilvl w:val="3"/>
          <w:numId w:val="6"/>
        </w:numPr>
        <w:spacing w:after="9" w:line="248" w:lineRule="auto"/>
        <w:ind w:hanging="724"/>
        <w:rPr>
          <w:rFonts w:ascii="Arial" w:hAnsi="Arial" w:cs="Arial"/>
          <w:sz w:val="24"/>
          <w:szCs w:val="24"/>
        </w:rPr>
      </w:pPr>
      <w:r w:rsidRPr="00E54F86">
        <w:rPr>
          <w:rFonts w:ascii="Arial" w:hAnsi="Arial" w:cs="Arial"/>
          <w:sz w:val="24"/>
          <w:szCs w:val="24"/>
        </w:rPr>
        <w:t xml:space="preserve">Other atypical response identified </w:t>
      </w:r>
    </w:p>
    <w:p w14:paraId="723292C1" w14:textId="77777777" w:rsidR="00205F50" w:rsidRPr="00E54F86" w:rsidRDefault="00205F50" w:rsidP="00205F50">
      <w:pPr>
        <w:spacing w:line="259" w:lineRule="auto"/>
        <w:ind w:left="1441"/>
        <w:rPr>
          <w:rFonts w:ascii="Arial" w:hAnsi="Arial" w:cs="Arial"/>
          <w:sz w:val="24"/>
          <w:szCs w:val="24"/>
        </w:rPr>
      </w:pPr>
      <w:r w:rsidRPr="00E54F86">
        <w:rPr>
          <w:rFonts w:ascii="Arial" w:hAnsi="Arial" w:cs="Arial"/>
          <w:sz w:val="24"/>
          <w:szCs w:val="24"/>
        </w:rPr>
        <w:t xml:space="preserve">  </w:t>
      </w:r>
    </w:p>
    <w:p w14:paraId="1934F0A0" w14:textId="77777777" w:rsidR="00205F50" w:rsidRPr="00E54F86" w:rsidRDefault="00205F50" w:rsidP="00205F50">
      <w:pPr>
        <w:ind w:left="2171"/>
        <w:rPr>
          <w:rFonts w:ascii="Arial" w:hAnsi="Arial" w:cs="Arial"/>
          <w:sz w:val="24"/>
          <w:szCs w:val="24"/>
        </w:rPr>
      </w:pPr>
      <w:r w:rsidRPr="00E54F86">
        <w:rPr>
          <w:rFonts w:ascii="Arial" w:hAnsi="Arial" w:cs="Arial"/>
          <w:sz w:val="24"/>
          <w:szCs w:val="24"/>
        </w:rPr>
        <w:t xml:space="preserve">Atypical responses to the screening questions must be evaluated on a case-by-case basis to determine donor eligibility. </w:t>
      </w:r>
    </w:p>
    <w:p w14:paraId="1EFFDD01" w14:textId="77777777" w:rsidR="00205F50" w:rsidRPr="00E54F86" w:rsidRDefault="00205F50" w:rsidP="00205F50">
      <w:pPr>
        <w:spacing w:line="259" w:lineRule="auto"/>
        <w:ind w:left="1441"/>
        <w:rPr>
          <w:rFonts w:ascii="Arial" w:hAnsi="Arial" w:cs="Arial"/>
          <w:sz w:val="24"/>
          <w:szCs w:val="24"/>
        </w:rPr>
      </w:pPr>
      <w:r w:rsidRPr="00E54F86">
        <w:rPr>
          <w:rFonts w:ascii="Arial" w:hAnsi="Arial" w:cs="Arial"/>
          <w:sz w:val="24"/>
          <w:szCs w:val="24"/>
        </w:rPr>
        <w:t xml:space="preserve"> </w:t>
      </w:r>
    </w:p>
    <w:p w14:paraId="58CE2FA7" w14:textId="77777777" w:rsidR="00205F50" w:rsidRPr="00E54F86" w:rsidRDefault="00205F50" w:rsidP="00205F50">
      <w:pPr>
        <w:ind w:left="-5"/>
        <w:rPr>
          <w:rFonts w:ascii="Arial" w:hAnsi="Arial" w:cs="Arial"/>
          <w:sz w:val="24"/>
          <w:szCs w:val="24"/>
        </w:rPr>
      </w:pPr>
      <w:r w:rsidRPr="00E54F86">
        <w:rPr>
          <w:rFonts w:ascii="Arial" w:eastAsia="Times New Roman" w:hAnsi="Arial" w:cs="Arial"/>
          <w:b/>
          <w:sz w:val="24"/>
          <w:szCs w:val="24"/>
        </w:rPr>
        <w:t>3.4</w:t>
      </w:r>
      <w:r w:rsidRPr="00E54F86">
        <w:rPr>
          <w:rFonts w:ascii="Arial" w:eastAsia="Arial" w:hAnsi="Arial" w:cs="Arial"/>
          <w:b/>
          <w:sz w:val="24"/>
          <w:szCs w:val="24"/>
        </w:rPr>
        <w:t xml:space="preserve"> </w:t>
      </w:r>
      <w:r w:rsidRPr="00E54F86">
        <w:rPr>
          <w:rFonts w:ascii="Arial" w:eastAsia="Times New Roman" w:hAnsi="Arial" w:cs="Arial"/>
          <w:b/>
          <w:sz w:val="24"/>
          <w:szCs w:val="24"/>
        </w:rPr>
        <w:t>Infectious disease (ID) evaluation</w:t>
      </w:r>
      <w:r w:rsidRPr="00E54F86">
        <w:rPr>
          <w:rFonts w:ascii="Arial" w:hAnsi="Arial" w:cs="Arial"/>
          <w:sz w:val="24"/>
          <w:szCs w:val="24"/>
        </w:rPr>
        <w:t xml:space="preserve"> within 30 days prior to collection will include: </w:t>
      </w:r>
    </w:p>
    <w:p w14:paraId="7906EDA9"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19D85DFD"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HIV Ab (NAT testing)</w:t>
      </w:r>
      <w:r w:rsidRPr="00E54F86">
        <w:rPr>
          <w:rFonts w:ascii="Arial" w:eastAsia="Times New Roman" w:hAnsi="Arial" w:cs="Arial"/>
          <w:b/>
          <w:sz w:val="24"/>
          <w:szCs w:val="24"/>
        </w:rPr>
        <w:t xml:space="preserve"> </w:t>
      </w:r>
    </w:p>
    <w:p w14:paraId="1C9A747A"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HTLV I/II Ab </w:t>
      </w:r>
    </w:p>
    <w:p w14:paraId="6C731D52"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HBsAg </w:t>
      </w:r>
      <w:r w:rsidRPr="00E54F86">
        <w:rPr>
          <w:rFonts w:ascii="Arial" w:hAnsi="Arial" w:cs="Arial"/>
          <w:sz w:val="24"/>
          <w:szCs w:val="24"/>
        </w:rPr>
        <w:tab/>
        <w:t xml:space="preserve"> </w:t>
      </w:r>
    </w:p>
    <w:p w14:paraId="1738CB0D"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Anti-HBcV </w:t>
      </w:r>
    </w:p>
    <w:p w14:paraId="78D279BA"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Anti-HCV (NAT testing) </w:t>
      </w:r>
    </w:p>
    <w:p w14:paraId="3D94C3C4"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Anti-CMV, CMV- urine </w:t>
      </w:r>
    </w:p>
    <w:p w14:paraId="0F26FEF6" w14:textId="77777777" w:rsidR="00205F50" w:rsidRPr="00E54F86" w:rsidRDefault="00205F50" w:rsidP="00205F50">
      <w:pPr>
        <w:numPr>
          <w:ilvl w:val="0"/>
          <w:numId w:val="9"/>
        </w:numPr>
        <w:spacing w:after="9" w:line="248" w:lineRule="auto"/>
        <w:ind w:hanging="360"/>
        <w:rPr>
          <w:rFonts w:ascii="Arial" w:hAnsi="Arial" w:cs="Arial"/>
          <w:sz w:val="24"/>
          <w:szCs w:val="24"/>
        </w:rPr>
      </w:pPr>
      <w:r>
        <w:rPr>
          <w:rFonts w:ascii="Arial" w:hAnsi="Arial" w:cs="Arial"/>
          <w:sz w:val="24"/>
          <w:szCs w:val="24"/>
        </w:rPr>
        <w:t>C</w:t>
      </w:r>
      <w:r w:rsidRPr="00E54F86">
        <w:rPr>
          <w:rFonts w:ascii="Arial" w:hAnsi="Arial" w:cs="Arial"/>
          <w:sz w:val="24"/>
          <w:szCs w:val="24"/>
        </w:rPr>
        <w:t xml:space="preserve">EBV serology </w:t>
      </w:r>
    </w:p>
    <w:p w14:paraId="660FE527"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Serologic test for syphilis </w:t>
      </w:r>
      <w:r w:rsidRPr="00E54F86">
        <w:rPr>
          <w:rFonts w:ascii="Arial" w:eastAsia="Wingdings" w:hAnsi="Arial" w:cs="Arial"/>
          <w:sz w:val="24"/>
          <w:szCs w:val="24"/>
        </w:rPr>
        <w:t></w:t>
      </w:r>
      <w:r w:rsidRPr="00E54F86">
        <w:rPr>
          <w:rFonts w:ascii="Arial" w:eastAsia="Arial" w:hAnsi="Arial" w:cs="Arial"/>
          <w:sz w:val="24"/>
          <w:szCs w:val="24"/>
        </w:rPr>
        <w:t xml:space="preserve"> </w:t>
      </w:r>
      <w:r w:rsidRPr="00E54F86">
        <w:rPr>
          <w:rFonts w:ascii="Arial" w:hAnsi="Arial" w:cs="Arial"/>
          <w:sz w:val="24"/>
          <w:szCs w:val="24"/>
        </w:rPr>
        <w:t xml:space="preserve">West Nile Virus. </w:t>
      </w:r>
    </w:p>
    <w:p w14:paraId="0AD6F571" w14:textId="77777777" w:rsidR="00205F50" w:rsidRPr="00E54F86" w:rsidRDefault="00205F50" w:rsidP="00205F50">
      <w:pPr>
        <w:numPr>
          <w:ilvl w:val="0"/>
          <w:numId w:val="9"/>
        </w:numPr>
        <w:spacing w:after="9" w:line="248" w:lineRule="auto"/>
        <w:ind w:hanging="360"/>
        <w:rPr>
          <w:rFonts w:ascii="Arial" w:hAnsi="Arial" w:cs="Arial"/>
          <w:sz w:val="24"/>
          <w:szCs w:val="24"/>
        </w:rPr>
      </w:pPr>
      <w:r w:rsidRPr="00E54F86">
        <w:rPr>
          <w:rFonts w:ascii="Arial" w:hAnsi="Arial" w:cs="Arial"/>
          <w:sz w:val="24"/>
          <w:szCs w:val="24"/>
        </w:rPr>
        <w:t xml:space="preserve">Trypanosoma cruzi (Chagas’ Disease) </w:t>
      </w:r>
    </w:p>
    <w:p w14:paraId="7392B595"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5E4D048C" w14:textId="77777777" w:rsidR="00205F50" w:rsidRPr="00E54F86" w:rsidRDefault="00205F50" w:rsidP="00205F50">
      <w:pPr>
        <w:ind w:left="1091"/>
        <w:rPr>
          <w:rFonts w:ascii="Arial" w:hAnsi="Arial" w:cs="Arial"/>
          <w:sz w:val="24"/>
          <w:szCs w:val="24"/>
        </w:rPr>
      </w:pPr>
      <w:r w:rsidRPr="00E54F86">
        <w:rPr>
          <w:rFonts w:ascii="Arial" w:hAnsi="Arial" w:cs="Arial"/>
          <w:sz w:val="24"/>
          <w:szCs w:val="24"/>
        </w:rPr>
        <w:t>3.4.1</w:t>
      </w:r>
      <w:r w:rsidRPr="00E54F86">
        <w:rPr>
          <w:rFonts w:ascii="Arial" w:eastAsia="Arial" w:hAnsi="Arial" w:cs="Arial"/>
          <w:sz w:val="24"/>
          <w:szCs w:val="24"/>
        </w:rPr>
        <w:t xml:space="preserve"> </w:t>
      </w:r>
      <w:r w:rsidRPr="00E54F86">
        <w:rPr>
          <w:rFonts w:ascii="Arial" w:hAnsi="Arial" w:cs="Arial"/>
          <w:sz w:val="24"/>
          <w:szCs w:val="24"/>
        </w:rPr>
        <w:t xml:space="preserve">Incomplete or &gt; 30 day old ID testing </w:t>
      </w:r>
    </w:p>
    <w:p w14:paraId="4BB44C98" w14:textId="77777777" w:rsidR="00205F50" w:rsidRPr="00E54F86" w:rsidRDefault="00205F50" w:rsidP="00205F50">
      <w:pPr>
        <w:spacing w:line="259" w:lineRule="auto"/>
        <w:ind w:left="1801"/>
        <w:rPr>
          <w:rFonts w:ascii="Arial" w:hAnsi="Arial" w:cs="Arial"/>
          <w:sz w:val="24"/>
          <w:szCs w:val="24"/>
        </w:rPr>
      </w:pPr>
      <w:r w:rsidRPr="00E54F86">
        <w:rPr>
          <w:rFonts w:ascii="Arial" w:hAnsi="Arial" w:cs="Arial"/>
          <w:sz w:val="24"/>
          <w:szCs w:val="24"/>
        </w:rPr>
        <w:t xml:space="preserve"> </w:t>
      </w:r>
    </w:p>
    <w:p w14:paraId="5EEB45F9" w14:textId="77777777" w:rsidR="00205F50" w:rsidRPr="00E54F86" w:rsidRDefault="00205F50" w:rsidP="00205F50">
      <w:pPr>
        <w:ind w:left="1811"/>
        <w:rPr>
          <w:rFonts w:ascii="Arial" w:hAnsi="Arial" w:cs="Arial"/>
          <w:sz w:val="24"/>
          <w:szCs w:val="24"/>
        </w:rPr>
      </w:pPr>
      <w:r w:rsidRPr="00E54F86">
        <w:rPr>
          <w:rFonts w:ascii="Arial" w:hAnsi="Arial" w:cs="Arial"/>
          <w:sz w:val="24"/>
          <w:szCs w:val="24"/>
        </w:rPr>
        <w:t xml:space="preserve">Donor is determined ineligible. </w:t>
      </w:r>
    </w:p>
    <w:p w14:paraId="02E84ABC" w14:textId="77777777" w:rsidR="00205F50" w:rsidRPr="00E54F86" w:rsidRDefault="00205F50" w:rsidP="00205F50">
      <w:pPr>
        <w:spacing w:line="259" w:lineRule="auto"/>
        <w:ind w:left="1801"/>
        <w:rPr>
          <w:rFonts w:ascii="Arial" w:hAnsi="Arial" w:cs="Arial"/>
          <w:sz w:val="24"/>
          <w:szCs w:val="24"/>
        </w:rPr>
      </w:pPr>
      <w:r w:rsidRPr="00E54F86">
        <w:rPr>
          <w:rFonts w:ascii="Arial" w:hAnsi="Arial" w:cs="Arial"/>
          <w:sz w:val="24"/>
          <w:szCs w:val="24"/>
        </w:rPr>
        <w:lastRenderedPageBreak/>
        <w:t xml:space="preserve"> </w:t>
      </w:r>
      <w:r w:rsidRPr="00E54F86">
        <w:rPr>
          <w:rFonts w:ascii="Arial" w:eastAsia="Times New Roman" w:hAnsi="Arial" w:cs="Arial"/>
          <w:b/>
          <w:sz w:val="24"/>
          <w:szCs w:val="24"/>
        </w:rPr>
        <w:t>Donor Confidentiality:</w:t>
      </w:r>
      <w:r w:rsidRPr="00E54F86">
        <w:rPr>
          <w:rFonts w:ascii="Arial" w:hAnsi="Arial" w:cs="Arial"/>
          <w:sz w:val="24"/>
          <w:szCs w:val="24"/>
        </w:rPr>
        <w:t xml:space="preserve"> </w:t>
      </w:r>
    </w:p>
    <w:p w14:paraId="2487C9A4"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084F6D07"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p>
    <w:p w14:paraId="6A1664DB" w14:textId="77777777"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 xml:space="preserve">  </w:t>
      </w:r>
    </w:p>
    <w:p w14:paraId="7828120D" w14:textId="77777777" w:rsidR="00205F50" w:rsidRPr="00E54F86" w:rsidRDefault="00205F50" w:rsidP="00205F50">
      <w:pPr>
        <w:spacing w:line="259" w:lineRule="auto"/>
        <w:rPr>
          <w:rFonts w:ascii="Arial" w:hAnsi="Arial" w:cs="Arial"/>
          <w:sz w:val="24"/>
          <w:szCs w:val="24"/>
        </w:rPr>
      </w:pPr>
    </w:p>
    <w:p w14:paraId="34497D87"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026160D0" w14:textId="77777777" w:rsidR="00205F50" w:rsidRPr="00E54F86" w:rsidRDefault="00205F50" w:rsidP="00205F50">
      <w:pPr>
        <w:spacing w:line="259" w:lineRule="auto"/>
        <w:ind w:left="-5"/>
        <w:rPr>
          <w:rFonts w:ascii="Arial" w:hAnsi="Arial" w:cs="Arial"/>
          <w:sz w:val="24"/>
          <w:szCs w:val="24"/>
        </w:rPr>
      </w:pPr>
      <w:r w:rsidRPr="00E54F86">
        <w:rPr>
          <w:rFonts w:ascii="Arial" w:eastAsia="Times New Roman" w:hAnsi="Arial" w:cs="Arial"/>
          <w:b/>
          <w:sz w:val="24"/>
          <w:szCs w:val="24"/>
        </w:rPr>
        <w:t>REFERENCES:</w:t>
      </w:r>
      <w:r w:rsidRPr="00E54F86">
        <w:rPr>
          <w:rFonts w:ascii="Arial" w:hAnsi="Arial" w:cs="Arial"/>
          <w:sz w:val="24"/>
          <w:szCs w:val="24"/>
        </w:rPr>
        <w:t xml:space="preserve">  </w:t>
      </w:r>
    </w:p>
    <w:p w14:paraId="6CCBCAF3" w14:textId="77777777" w:rsidR="00205F50" w:rsidRPr="00E54F86" w:rsidRDefault="00205F50" w:rsidP="00205F50">
      <w:pPr>
        <w:numPr>
          <w:ilvl w:val="0"/>
          <w:numId w:val="10"/>
        </w:numPr>
        <w:spacing w:after="9" w:line="248" w:lineRule="auto"/>
        <w:ind w:hanging="245"/>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6135BFBE"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6609C958" w14:textId="77777777" w:rsidR="00205F50" w:rsidRPr="00E54F86" w:rsidRDefault="00205F50" w:rsidP="00205F50">
      <w:pPr>
        <w:numPr>
          <w:ilvl w:val="0"/>
          <w:numId w:val="10"/>
        </w:numPr>
        <w:spacing w:after="9" w:line="248" w:lineRule="auto"/>
        <w:ind w:hanging="245"/>
        <w:rPr>
          <w:rFonts w:ascii="Arial" w:hAnsi="Arial" w:cs="Arial"/>
          <w:sz w:val="24"/>
          <w:szCs w:val="24"/>
        </w:rPr>
      </w:pPr>
      <w:r w:rsidRPr="00E54F86">
        <w:rPr>
          <w:rFonts w:ascii="Arial" w:hAnsi="Arial" w:cs="Arial"/>
          <w:sz w:val="24"/>
          <w:szCs w:val="24"/>
        </w:rPr>
        <w:t xml:space="preserve">Guidance for Industry: Eligibility Determination for Donors of Human Cells, </w:t>
      </w:r>
    </w:p>
    <w:p w14:paraId="207E0F56" w14:textId="77777777" w:rsidR="00205F50" w:rsidRPr="00E54F86" w:rsidRDefault="00205F50" w:rsidP="00205F50">
      <w:pPr>
        <w:ind w:left="-5" w:right="503"/>
        <w:rPr>
          <w:rFonts w:ascii="Arial" w:hAnsi="Arial" w:cs="Arial"/>
          <w:sz w:val="24"/>
          <w:szCs w:val="24"/>
        </w:rPr>
      </w:pPr>
      <w:r w:rsidRPr="00E54F86">
        <w:rPr>
          <w:rFonts w:ascii="Arial" w:hAnsi="Arial" w:cs="Arial"/>
          <w:sz w:val="24"/>
          <w:szCs w:val="24"/>
        </w:rPr>
        <w:t xml:space="preserve">Tissues, and Cellular and Tissue-Based Products, U.S. Department of Health and Human Services Food and Drug Administration Center for Biologics Evaluation and Research, August 2007 </w:t>
      </w:r>
    </w:p>
    <w:p w14:paraId="1F1F0BF8" w14:textId="77777777" w:rsidR="00205F50" w:rsidRPr="00E54F86" w:rsidRDefault="00205F50" w:rsidP="00205F50">
      <w:pPr>
        <w:spacing w:line="259" w:lineRule="auto"/>
        <w:ind w:left="2"/>
        <w:rPr>
          <w:rFonts w:ascii="Arial" w:eastAsia="Times New Roman" w:hAnsi="Arial" w:cs="Arial"/>
          <w:b/>
          <w:sz w:val="24"/>
          <w:szCs w:val="24"/>
        </w:rPr>
      </w:pPr>
    </w:p>
    <w:p w14:paraId="051AE5A4" w14:textId="77777777" w:rsidR="00205F50" w:rsidRPr="00E54F86" w:rsidRDefault="00205F50" w:rsidP="00205F50">
      <w:pPr>
        <w:spacing w:line="259" w:lineRule="auto"/>
        <w:ind w:left="2"/>
        <w:rPr>
          <w:rFonts w:ascii="Arial" w:hAnsi="Arial" w:cs="Arial"/>
          <w:sz w:val="24"/>
          <w:szCs w:val="24"/>
        </w:rPr>
      </w:pPr>
      <w:r w:rsidRPr="00E54F86">
        <w:rPr>
          <w:rFonts w:ascii="Arial" w:eastAsia="Times New Roman" w:hAnsi="Arial" w:cs="Arial"/>
          <w:b/>
          <w:sz w:val="24"/>
          <w:szCs w:val="24"/>
        </w:rPr>
        <w:t xml:space="preserve">B. DONOR EVALUATION AND SCREENING FOR </w:t>
      </w:r>
      <w:r w:rsidRPr="00E54F86">
        <w:rPr>
          <w:rFonts w:ascii="Arial" w:eastAsia="Times New Roman" w:hAnsi="Arial" w:cs="Arial"/>
          <w:b/>
          <w:sz w:val="24"/>
          <w:szCs w:val="24"/>
          <w:u w:val="single" w:color="000000"/>
        </w:rPr>
        <w:t>SUITABILITY</w:t>
      </w:r>
      <w:r w:rsidRPr="00E54F86">
        <w:rPr>
          <w:rFonts w:ascii="Arial" w:eastAsia="Times New Roman" w:hAnsi="Arial" w:cs="Arial"/>
          <w:b/>
          <w:sz w:val="24"/>
          <w:szCs w:val="24"/>
        </w:rPr>
        <w:t xml:space="preserve">  </w:t>
      </w:r>
    </w:p>
    <w:p w14:paraId="73E86F0F" w14:textId="77777777" w:rsidR="00205F50" w:rsidRPr="00E54F86" w:rsidRDefault="00205F50" w:rsidP="00205F50">
      <w:pPr>
        <w:ind w:left="-5"/>
        <w:rPr>
          <w:rFonts w:ascii="Arial" w:hAnsi="Arial" w:cs="Arial"/>
          <w:sz w:val="24"/>
          <w:szCs w:val="24"/>
        </w:rPr>
      </w:pPr>
      <w:r w:rsidRPr="00E54F86">
        <w:rPr>
          <w:rFonts w:ascii="Arial" w:eastAsia="Times New Roman" w:hAnsi="Arial" w:cs="Arial"/>
          <w:b/>
          <w:sz w:val="24"/>
          <w:szCs w:val="24"/>
        </w:rPr>
        <w:t>1.0 Principle:</w:t>
      </w:r>
      <w:r w:rsidRPr="00E54F86">
        <w:rPr>
          <w:rFonts w:ascii="Arial" w:hAnsi="Arial" w:cs="Arial"/>
          <w:sz w:val="24"/>
          <w:szCs w:val="24"/>
        </w:rPr>
        <w:t xml:space="preserve"> Standards mandate criteria for allogeneic donor selection, evaluation, and management by trained medical personnel for both safety of the donor and recipient. </w:t>
      </w:r>
    </w:p>
    <w:p w14:paraId="36F99247"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2.0 Purpose:</w:t>
      </w:r>
      <w:r w:rsidRPr="00E54F86">
        <w:rPr>
          <w:rFonts w:ascii="Arial" w:hAnsi="Arial" w:cs="Arial"/>
          <w:sz w:val="24"/>
          <w:szCs w:val="24"/>
        </w:rPr>
        <w:t xml:space="preserve">  The related donor is evaluated to protect the safety of the donor and recipient. </w:t>
      </w:r>
    </w:p>
    <w:p w14:paraId="1F6D8323"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3.0 Procedure </w:t>
      </w:r>
    </w:p>
    <w:p w14:paraId="474CAB48" w14:textId="77777777"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 xml:space="preserve"> 3.1 Suitability – </w:t>
      </w:r>
      <w:r w:rsidRPr="00E54F86">
        <w:rPr>
          <w:rFonts w:ascii="Arial" w:hAnsi="Arial" w:cs="Arial"/>
          <w:sz w:val="24"/>
          <w:szCs w:val="24"/>
        </w:rPr>
        <w:t xml:space="preserve">Applies to allogeneic donors. </w:t>
      </w:r>
    </w:p>
    <w:p w14:paraId="6353D3A1" w14:textId="77777777"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t xml:space="preserve"> 3.1.1</w:t>
      </w:r>
      <w:r w:rsidRPr="00E54F86">
        <w:rPr>
          <w:rFonts w:ascii="Arial" w:hAnsi="Arial" w:cs="Arial"/>
          <w:sz w:val="24"/>
          <w:szCs w:val="24"/>
        </w:rPr>
        <w:t xml:space="preserve"> Donors will be evaluated to determine if safe to proceed with the collection procedure. The evaluation includes the following: </w:t>
      </w:r>
    </w:p>
    <w:p w14:paraId="21EAA59A"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3.1.1.1</w:t>
      </w:r>
      <w:r w:rsidRPr="00E54F86">
        <w:rPr>
          <w:rFonts w:ascii="Arial" w:hAnsi="Arial" w:cs="Arial"/>
          <w:sz w:val="24"/>
          <w:szCs w:val="24"/>
        </w:rPr>
        <w:t xml:space="preserve"> Medical history and physical examination. </w:t>
      </w:r>
    </w:p>
    <w:p w14:paraId="41DFBDD1" w14:textId="77777777" w:rsidR="00205F50" w:rsidRPr="00E54F86" w:rsidRDefault="00205F50" w:rsidP="00205F50">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3.1.1.2</w:t>
      </w:r>
      <w:r w:rsidRPr="00E54F86">
        <w:rPr>
          <w:rFonts w:ascii="Arial" w:hAnsi="Arial" w:cs="Arial"/>
          <w:sz w:val="24"/>
          <w:szCs w:val="24"/>
        </w:rPr>
        <w:t xml:space="preserve"> Laboratory evaluation including CBC, chemistry panel, Mg, urinalysis, ABO and Rh. </w:t>
      </w:r>
    </w:p>
    <w:p w14:paraId="3F81CF98" w14:textId="77777777" w:rsidR="00205F50" w:rsidRPr="00E54F86" w:rsidRDefault="00205F50" w:rsidP="00205F50">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3.1.1.3 </w:t>
      </w:r>
      <w:r w:rsidRPr="00E54F86">
        <w:rPr>
          <w:rFonts w:ascii="Arial" w:hAnsi="Arial" w:cs="Arial"/>
          <w:sz w:val="24"/>
          <w:szCs w:val="24"/>
        </w:rPr>
        <w:t xml:space="preserve">The donor is evaluated for potential risks of the following collection procedures: </w:t>
      </w:r>
    </w:p>
    <w:p w14:paraId="7205DDCC"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661AC44F" w14:textId="77777777" w:rsidR="00205F50" w:rsidRPr="00E54F86" w:rsidRDefault="00205F50" w:rsidP="00205F50">
      <w:pPr>
        <w:numPr>
          <w:ilvl w:val="0"/>
          <w:numId w:val="11"/>
        </w:numPr>
        <w:spacing w:line="248" w:lineRule="auto"/>
        <w:ind w:right="1590" w:hanging="360"/>
        <w:rPr>
          <w:rFonts w:ascii="Arial" w:hAnsi="Arial" w:cs="Arial"/>
          <w:sz w:val="24"/>
          <w:szCs w:val="24"/>
        </w:rPr>
      </w:pPr>
      <w:r w:rsidRPr="00E54F86">
        <w:rPr>
          <w:rFonts w:ascii="Arial" w:hAnsi="Arial" w:cs="Arial"/>
          <w:sz w:val="24"/>
          <w:szCs w:val="24"/>
        </w:rPr>
        <w:t xml:space="preserve">Possible need for central venous access. </w:t>
      </w:r>
    </w:p>
    <w:p w14:paraId="2BE9E570" w14:textId="77777777" w:rsidR="00205F50" w:rsidRPr="00E54F86" w:rsidRDefault="00205F50" w:rsidP="00205F50">
      <w:pPr>
        <w:spacing w:after="128" w:line="238" w:lineRule="auto"/>
        <w:ind w:left="543" w:right="91"/>
        <w:rPr>
          <w:rFonts w:ascii="Arial" w:hAnsi="Arial" w:cs="Arial"/>
          <w:sz w:val="24"/>
          <w:szCs w:val="24"/>
        </w:rPr>
      </w:pPr>
      <w:r w:rsidRPr="00E54F86">
        <w:rPr>
          <w:rFonts w:ascii="Arial" w:hAnsi="Arial" w:cs="Arial"/>
          <w:sz w:val="24"/>
          <w:szCs w:val="24"/>
        </w:rPr>
        <w:t>*Donors for PSC will be evaluated by Apheresis</w:t>
      </w:r>
      <w:r>
        <w:rPr>
          <w:rFonts w:ascii="Arial" w:hAnsi="Arial" w:cs="Arial"/>
          <w:sz w:val="24"/>
          <w:szCs w:val="24"/>
        </w:rPr>
        <w:t xml:space="preserve">. </w:t>
      </w:r>
      <w:r w:rsidRPr="00E54F86">
        <w:rPr>
          <w:rFonts w:ascii="Arial" w:hAnsi="Arial" w:cs="Arial"/>
          <w:sz w:val="24"/>
          <w:szCs w:val="24"/>
        </w:rPr>
        <w:t xml:space="preserve">Donors must have adequate catheter or venous access for procedure </w:t>
      </w:r>
    </w:p>
    <w:p w14:paraId="4713D241" w14:textId="77777777" w:rsidR="00205F50" w:rsidRPr="00E54F86" w:rsidRDefault="00205F50" w:rsidP="00205F50">
      <w:pPr>
        <w:ind w:left="553"/>
        <w:rPr>
          <w:rFonts w:ascii="Arial" w:hAnsi="Arial" w:cs="Arial"/>
          <w:sz w:val="24"/>
          <w:szCs w:val="24"/>
        </w:rPr>
      </w:pPr>
      <w:r w:rsidRPr="00E54F86">
        <w:rPr>
          <w:rFonts w:ascii="Arial" w:eastAsia="Times New Roman" w:hAnsi="Arial" w:cs="Arial"/>
          <w:b/>
          <w:sz w:val="24"/>
          <w:szCs w:val="24"/>
        </w:rPr>
        <w:t xml:space="preserve">3.1.1.4 </w:t>
      </w:r>
      <w:r w:rsidRPr="00E54F86">
        <w:rPr>
          <w:rFonts w:ascii="Arial" w:hAnsi="Arial" w:cs="Arial"/>
          <w:sz w:val="24"/>
          <w:szCs w:val="24"/>
        </w:rPr>
        <w:t>If the donor has a condition for which he/she may be at risk during the procedure (</w:t>
      </w:r>
      <w:r w:rsidRPr="00E54F86">
        <w:rPr>
          <w:rFonts w:ascii="Arial" w:eastAsia="Times New Roman" w:hAnsi="Arial" w:cs="Arial"/>
          <w:i/>
          <w:sz w:val="24"/>
          <w:szCs w:val="24"/>
        </w:rPr>
        <w:t xml:space="preserve">e.g. </w:t>
      </w:r>
      <w:r w:rsidRPr="00E54F86">
        <w:rPr>
          <w:rFonts w:ascii="Arial" w:hAnsi="Arial" w:cs="Arial"/>
          <w:sz w:val="24"/>
          <w:szCs w:val="24"/>
        </w:rPr>
        <w:t xml:space="preserve"> asthma, cardiac problems), he/she will be evaluated by an appropriate physician and/or anesthesia prior to initiation of conditioning.  </w:t>
      </w:r>
    </w:p>
    <w:p w14:paraId="5E75D5E9" w14:textId="77777777" w:rsidR="00205F50" w:rsidRPr="00E54F86" w:rsidRDefault="00205F50" w:rsidP="00205F50">
      <w:pPr>
        <w:spacing w:line="259" w:lineRule="auto"/>
        <w:ind w:left="553"/>
        <w:rPr>
          <w:rFonts w:ascii="Arial" w:hAnsi="Arial" w:cs="Arial"/>
          <w:sz w:val="24"/>
          <w:szCs w:val="24"/>
        </w:rPr>
      </w:pPr>
      <w:r w:rsidRPr="00E54F86">
        <w:rPr>
          <w:rFonts w:ascii="Arial" w:eastAsia="Times New Roman" w:hAnsi="Arial" w:cs="Arial"/>
          <w:b/>
          <w:sz w:val="24"/>
          <w:szCs w:val="24"/>
        </w:rPr>
        <w:t xml:space="preserve"> </w:t>
      </w:r>
      <w:r w:rsidRPr="00E54F86">
        <w:rPr>
          <w:rFonts w:ascii="Arial" w:eastAsia="Times New Roman" w:hAnsi="Arial" w:cs="Arial"/>
          <w:b/>
          <w:sz w:val="24"/>
          <w:szCs w:val="24"/>
        </w:rPr>
        <w:tab/>
        <w:t>3.1.1.5</w:t>
      </w:r>
      <w:r w:rsidRPr="00E54F86">
        <w:rPr>
          <w:rFonts w:ascii="Arial" w:hAnsi="Arial" w:cs="Arial"/>
          <w:sz w:val="24"/>
          <w:szCs w:val="24"/>
        </w:rPr>
        <w:t xml:space="preserve"> Pregnancy assessment all female donors with childbearing potential within seven (7) days prior to </w:t>
      </w:r>
      <w:r>
        <w:rPr>
          <w:rFonts w:ascii="Arial" w:hAnsi="Arial" w:cs="Arial"/>
          <w:sz w:val="24"/>
          <w:szCs w:val="24"/>
        </w:rPr>
        <w:t>collection.</w:t>
      </w:r>
      <w:r w:rsidRPr="00E54F86">
        <w:rPr>
          <w:rFonts w:ascii="Arial" w:eastAsia="Times New Roman" w:hAnsi="Arial" w:cs="Arial"/>
          <w:b/>
          <w:sz w:val="24"/>
          <w:szCs w:val="24"/>
        </w:rPr>
        <w:t xml:space="preserve"> </w:t>
      </w:r>
    </w:p>
    <w:p w14:paraId="699C44BA" w14:textId="77777777" w:rsidR="00205F50" w:rsidRPr="00E54F86" w:rsidRDefault="00205F50" w:rsidP="00205F50">
      <w:pPr>
        <w:ind w:left="-5" w:right="294"/>
        <w:rPr>
          <w:rFonts w:ascii="Arial" w:hAnsi="Arial" w:cs="Arial"/>
          <w:sz w:val="24"/>
          <w:szCs w:val="24"/>
        </w:rPr>
      </w:pPr>
      <w:r w:rsidRPr="00E54F86">
        <w:rPr>
          <w:rFonts w:ascii="Arial" w:eastAsia="Times New Roman" w:hAnsi="Arial" w:cs="Arial"/>
          <w:b/>
          <w:sz w:val="24"/>
          <w:szCs w:val="24"/>
        </w:rPr>
        <w:t>3.1.2</w:t>
      </w:r>
      <w:r w:rsidRPr="00E54F86">
        <w:rPr>
          <w:rFonts w:ascii="Arial" w:hAnsi="Arial" w:cs="Arial"/>
          <w:sz w:val="24"/>
          <w:szCs w:val="24"/>
        </w:rPr>
        <w:t xml:space="preserve"> The use of a donor who does not meet Clinical Program donor safety criteria will be documented with the rationale for his/her selection by the transplant physician. </w:t>
      </w:r>
    </w:p>
    <w:p w14:paraId="2B0581CB"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3.1.3</w:t>
      </w:r>
      <w:r w:rsidRPr="00E54F86">
        <w:rPr>
          <w:rFonts w:ascii="Arial" w:hAnsi="Arial" w:cs="Arial"/>
          <w:sz w:val="24"/>
          <w:szCs w:val="24"/>
        </w:rPr>
        <w:t xml:space="preserve"> Any abnormal finding of the prospective donor is documented in the in the donor record with recommendations made for follow-up care. </w:t>
      </w:r>
    </w:p>
    <w:p w14:paraId="0D5103A5" w14:textId="77777777" w:rsidR="00205F50" w:rsidRPr="00E54F86" w:rsidRDefault="00205F50" w:rsidP="00205F50">
      <w:pPr>
        <w:spacing w:line="259" w:lineRule="auto"/>
        <w:rPr>
          <w:rFonts w:ascii="Arial" w:hAnsi="Arial" w:cs="Arial"/>
          <w:sz w:val="24"/>
          <w:szCs w:val="24"/>
        </w:rPr>
      </w:pPr>
      <w:r w:rsidRPr="00E54F86">
        <w:rPr>
          <w:rFonts w:ascii="Arial" w:eastAsia="Times New Roman" w:hAnsi="Arial" w:cs="Arial"/>
          <w:b/>
          <w:sz w:val="24"/>
          <w:szCs w:val="24"/>
        </w:rPr>
        <w:lastRenderedPageBreak/>
        <w:t xml:space="preserve"> 3.1.4</w:t>
      </w:r>
      <w:r w:rsidRPr="00E54F86">
        <w:rPr>
          <w:rFonts w:ascii="Arial" w:hAnsi="Arial" w:cs="Arial"/>
          <w:sz w:val="24"/>
          <w:szCs w:val="24"/>
        </w:rPr>
        <w:t xml:space="preserve"> Issues of donor health that pertain to the safety of the collection procedure are communicated in writing to the Collection Facility staff. </w:t>
      </w:r>
    </w:p>
    <w:p w14:paraId="78057B93"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3.2 Donor Confidentiality:</w:t>
      </w:r>
      <w:r w:rsidRPr="00E54F86">
        <w:rPr>
          <w:rFonts w:ascii="Arial" w:hAnsi="Arial" w:cs="Arial"/>
          <w:sz w:val="24"/>
          <w:szCs w:val="24"/>
        </w:rPr>
        <w:t xml:space="preserve"> </w:t>
      </w:r>
    </w:p>
    <w:p w14:paraId="05629DCF"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r w:rsidRPr="00E54F86">
        <w:rPr>
          <w:rFonts w:ascii="Arial" w:hAnsi="Arial" w:cs="Arial"/>
          <w:sz w:val="24"/>
          <w:szCs w:val="24"/>
        </w:rPr>
        <w:t xml:space="preserve"> </w:t>
      </w:r>
    </w:p>
    <w:p w14:paraId="21AF1B01" w14:textId="77777777" w:rsidR="002F44EB" w:rsidRDefault="002F44EB" w:rsidP="00205F50">
      <w:pPr>
        <w:spacing w:line="259" w:lineRule="auto"/>
        <w:ind w:left="-5"/>
        <w:rPr>
          <w:rFonts w:ascii="Arial" w:eastAsia="Times New Roman" w:hAnsi="Arial" w:cs="Arial"/>
          <w:b/>
          <w:sz w:val="24"/>
          <w:szCs w:val="24"/>
        </w:rPr>
      </w:pPr>
    </w:p>
    <w:p w14:paraId="2A3C2C22" w14:textId="77777777" w:rsidR="002F44EB" w:rsidRDefault="002F44EB" w:rsidP="00205F50">
      <w:pPr>
        <w:spacing w:line="259" w:lineRule="auto"/>
        <w:ind w:left="-5"/>
        <w:rPr>
          <w:rFonts w:ascii="Arial" w:eastAsia="Times New Roman" w:hAnsi="Arial" w:cs="Arial"/>
          <w:b/>
          <w:sz w:val="24"/>
          <w:szCs w:val="24"/>
        </w:rPr>
      </w:pPr>
    </w:p>
    <w:p w14:paraId="334CB4CA" w14:textId="16CBF9D5" w:rsidR="00205F50" w:rsidRPr="00E54F86" w:rsidRDefault="00205F50" w:rsidP="00205F50">
      <w:pPr>
        <w:spacing w:line="259" w:lineRule="auto"/>
        <w:ind w:left="-5"/>
        <w:rPr>
          <w:rFonts w:ascii="Arial" w:hAnsi="Arial" w:cs="Arial"/>
          <w:sz w:val="24"/>
          <w:szCs w:val="24"/>
        </w:rPr>
      </w:pPr>
      <w:r w:rsidRPr="00E54F86">
        <w:rPr>
          <w:rFonts w:ascii="Arial" w:eastAsia="Times New Roman" w:hAnsi="Arial" w:cs="Arial"/>
          <w:b/>
          <w:sz w:val="24"/>
          <w:szCs w:val="24"/>
        </w:rPr>
        <w:t xml:space="preserve">REFERENCES: </w:t>
      </w:r>
    </w:p>
    <w:p w14:paraId="20C071C4" w14:textId="77777777" w:rsidR="00205F50" w:rsidRPr="00E54F86" w:rsidRDefault="00205F50" w:rsidP="00205F50">
      <w:pPr>
        <w:numPr>
          <w:ilvl w:val="0"/>
          <w:numId w:val="12"/>
        </w:numPr>
        <w:spacing w:line="248" w:lineRule="auto"/>
        <w:ind w:hanging="244"/>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11D93184" w14:textId="77777777" w:rsidR="00205F50" w:rsidRPr="00E54F86" w:rsidRDefault="00205F50" w:rsidP="00205F50">
      <w:pPr>
        <w:spacing w:line="259" w:lineRule="auto"/>
        <w:rPr>
          <w:rFonts w:ascii="Arial" w:hAnsi="Arial" w:cs="Arial"/>
          <w:sz w:val="24"/>
          <w:szCs w:val="24"/>
        </w:rPr>
      </w:pPr>
      <w:r w:rsidRPr="00E54F86">
        <w:rPr>
          <w:rFonts w:ascii="Arial" w:hAnsi="Arial" w:cs="Arial"/>
          <w:sz w:val="24"/>
          <w:szCs w:val="24"/>
        </w:rPr>
        <w:t xml:space="preserve"> </w:t>
      </w:r>
    </w:p>
    <w:p w14:paraId="544D491A" w14:textId="77777777" w:rsidR="00205F50" w:rsidRPr="00E54F86" w:rsidRDefault="00205F50" w:rsidP="00205F50">
      <w:pPr>
        <w:numPr>
          <w:ilvl w:val="0"/>
          <w:numId w:val="12"/>
        </w:numPr>
        <w:spacing w:line="248" w:lineRule="auto"/>
        <w:ind w:hanging="244"/>
        <w:rPr>
          <w:rFonts w:ascii="Arial" w:hAnsi="Arial" w:cs="Arial"/>
          <w:sz w:val="24"/>
          <w:szCs w:val="24"/>
        </w:rPr>
      </w:pPr>
      <w:r w:rsidRPr="00E54F86">
        <w:rPr>
          <w:rFonts w:ascii="Arial" w:hAnsi="Arial" w:cs="Arial"/>
          <w:sz w:val="24"/>
          <w:szCs w:val="24"/>
        </w:rPr>
        <w:t xml:space="preserve">Confer, DL. Stroncek, DF.  Bone Marrow and Peripheral Blood Stem Cell Donors.  </w:t>
      </w:r>
    </w:p>
    <w:p w14:paraId="33FA5478" w14:textId="77777777" w:rsidR="00205F50" w:rsidRPr="00E54F86" w:rsidRDefault="00205F50" w:rsidP="00205F50">
      <w:pPr>
        <w:ind w:left="-5"/>
        <w:rPr>
          <w:rFonts w:ascii="Arial" w:hAnsi="Arial" w:cs="Arial"/>
          <w:sz w:val="24"/>
          <w:szCs w:val="24"/>
        </w:rPr>
      </w:pPr>
      <w:r w:rsidRPr="00E54F86">
        <w:rPr>
          <w:rFonts w:ascii="Arial" w:hAnsi="Arial" w:cs="Arial"/>
          <w:sz w:val="24"/>
          <w:szCs w:val="24"/>
        </w:rPr>
        <w:t>In: Thomas Ed, Blume KG, Forman SJ (eds).  Hematopoietic Cell Transplantation 2</w:t>
      </w:r>
      <w:r w:rsidRPr="00E54F86">
        <w:rPr>
          <w:rFonts w:ascii="Arial" w:hAnsi="Arial" w:cs="Arial"/>
          <w:sz w:val="24"/>
          <w:szCs w:val="24"/>
          <w:vertAlign w:val="superscript"/>
        </w:rPr>
        <w:t>nd</w:t>
      </w:r>
      <w:r w:rsidRPr="00E54F86">
        <w:rPr>
          <w:rFonts w:ascii="Arial" w:hAnsi="Arial" w:cs="Arial"/>
          <w:sz w:val="24"/>
          <w:szCs w:val="24"/>
        </w:rPr>
        <w:t xml:space="preserve"> Ed. Malden, MA: Blackwell Science, Inc: 1999:421-430. </w:t>
      </w:r>
    </w:p>
    <w:p w14:paraId="25875A42" w14:textId="77777777" w:rsidR="00205F50" w:rsidRPr="00E54F86" w:rsidRDefault="00205F50" w:rsidP="00205F50">
      <w:pPr>
        <w:rPr>
          <w:rFonts w:ascii="Arial" w:hAnsi="Arial" w:cs="Arial"/>
          <w:sz w:val="24"/>
          <w:szCs w:val="24"/>
        </w:rPr>
      </w:pPr>
      <w:r w:rsidRPr="00E54F86">
        <w:br w:type="page"/>
      </w:r>
    </w:p>
    <w:p w14:paraId="549E6793" w14:textId="77777777" w:rsidR="00205F50" w:rsidRPr="00E54F86" w:rsidRDefault="00205F50" w:rsidP="00205F50">
      <w:pPr>
        <w:spacing w:line="259" w:lineRule="auto"/>
        <w:rPr>
          <w:rFonts w:ascii="Arial" w:hAnsi="Arial" w:cs="Arial"/>
          <w:b/>
          <w:sz w:val="24"/>
          <w:szCs w:val="24"/>
        </w:rPr>
      </w:pPr>
      <w:r w:rsidRPr="00E54F86">
        <w:rPr>
          <w:rFonts w:ascii="Arial" w:hAnsi="Arial" w:cs="Arial"/>
          <w:b/>
          <w:sz w:val="24"/>
          <w:szCs w:val="24"/>
        </w:rPr>
        <w:lastRenderedPageBreak/>
        <w:t xml:space="preserve">Appendix </w:t>
      </w:r>
      <w:r>
        <w:rPr>
          <w:rFonts w:ascii="Arial" w:hAnsi="Arial" w:cs="Arial"/>
          <w:b/>
          <w:sz w:val="24"/>
          <w:szCs w:val="24"/>
        </w:rPr>
        <w:t>2</w:t>
      </w:r>
      <w:r w:rsidRPr="00E54F86">
        <w:rPr>
          <w:rFonts w:ascii="Arial" w:hAnsi="Arial" w:cs="Arial"/>
          <w:b/>
          <w:sz w:val="24"/>
          <w:szCs w:val="24"/>
        </w:rPr>
        <w:t xml:space="preserve">: </w:t>
      </w:r>
      <w:r>
        <w:rPr>
          <w:rFonts w:ascii="Arial" w:hAnsi="Arial" w:cs="Arial"/>
          <w:b/>
          <w:sz w:val="24"/>
          <w:szCs w:val="24"/>
        </w:rPr>
        <w:t xml:space="preserve">Viral </w:t>
      </w:r>
      <w:r w:rsidRPr="00E54F86">
        <w:rPr>
          <w:rFonts w:ascii="Arial" w:hAnsi="Arial" w:cs="Arial"/>
          <w:b/>
          <w:sz w:val="24"/>
          <w:szCs w:val="24"/>
        </w:rPr>
        <w:t xml:space="preserve">CTL Manufacturing </w:t>
      </w:r>
    </w:p>
    <w:p w14:paraId="5BF844D2" w14:textId="77777777" w:rsidR="00205F50" w:rsidRPr="00E54F86" w:rsidRDefault="00205F50" w:rsidP="00205F50">
      <w:pPr>
        <w:rPr>
          <w:rFonts w:ascii="Times New Roman" w:hAnsi="Times New Roman"/>
          <w:b/>
          <w:sz w:val="28"/>
          <w:szCs w:val="28"/>
        </w:rPr>
      </w:pPr>
      <w:r w:rsidRPr="00E54F86">
        <w:rPr>
          <w:rFonts w:ascii="Times New Roman" w:hAnsi="Times New Roman"/>
          <w:b/>
          <w:sz w:val="28"/>
          <w:szCs w:val="28"/>
        </w:rPr>
        <w:t>A. vCTL MANUFACTURING USING THE CliniMACS PRODIGY</w:t>
      </w:r>
    </w:p>
    <w:p w14:paraId="5E7524FF" w14:textId="77777777" w:rsidR="00205F50" w:rsidRPr="00E54F86" w:rsidRDefault="00205F50" w:rsidP="00205F50">
      <w:pPr>
        <w:rPr>
          <w:rFonts w:ascii="Times New Roman" w:hAnsi="Times New Roman"/>
          <w:b/>
          <w:sz w:val="28"/>
          <w:szCs w:val="28"/>
        </w:rPr>
      </w:pPr>
    </w:p>
    <w:p w14:paraId="4F193C61"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Principle</w:t>
      </w:r>
    </w:p>
    <w:p w14:paraId="162E24BD" w14:textId="77777777" w:rsidR="00205F50" w:rsidRPr="00E54F86" w:rsidRDefault="00205F50" w:rsidP="00205F50">
      <w:pPr>
        <w:ind w:left="720"/>
        <w:jc w:val="both"/>
        <w:rPr>
          <w:rFonts w:ascii="Times New Roman" w:hAnsi="Times New Roman"/>
          <w:b/>
          <w:sz w:val="28"/>
          <w:szCs w:val="28"/>
        </w:rPr>
      </w:pPr>
    </w:p>
    <w:p w14:paraId="034435CA" w14:textId="77777777" w:rsidR="00205F50" w:rsidRPr="00E54F86" w:rsidRDefault="00205F50" w:rsidP="00205F50">
      <w:pPr>
        <w:pStyle w:val="ListParagraph"/>
        <w:numPr>
          <w:ilvl w:val="1"/>
          <w:numId w:val="16"/>
        </w:numPr>
        <w:autoSpaceDE w:val="0"/>
        <w:autoSpaceDN w:val="0"/>
        <w:adjustRightInd w:val="0"/>
        <w:spacing w:after="0" w:line="240" w:lineRule="auto"/>
        <w:ind w:left="720" w:hanging="720"/>
        <w:contextualSpacing w:val="0"/>
        <w:rPr>
          <w:rFonts w:ascii="Times New Roman" w:hAnsi="Times New Roman"/>
          <w:szCs w:val="24"/>
        </w:rPr>
      </w:pPr>
      <w:r w:rsidRPr="00E54F86">
        <w:rPr>
          <w:rFonts w:ascii="Times New Roman" w:hAnsi="Times New Roman"/>
          <w:szCs w:val="24"/>
        </w:rPr>
        <w:t>Viral infection or reactivation following transplant (stem cell or solid organ) is a significant cause of morbidity and mortality.  Pharmacologic intervention can be helpful, but has associated toxicity and many patients are refractory.</w:t>
      </w:r>
    </w:p>
    <w:p w14:paraId="6AD032AA" w14:textId="77777777" w:rsidR="00205F50" w:rsidRPr="00E54F86" w:rsidRDefault="00205F50" w:rsidP="00205F50">
      <w:pPr>
        <w:pStyle w:val="ListParagraph"/>
        <w:numPr>
          <w:ilvl w:val="1"/>
          <w:numId w:val="16"/>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The use of Cytotoxic T Lymphocytes (CTLs) against these viruses have been used to treat these patients in clinical trials and have shown promise.  However, traditional methods of generating these cells involve weeks of culturing and are very labor intensive.</w:t>
      </w:r>
    </w:p>
    <w:p w14:paraId="50348B03" w14:textId="77777777" w:rsidR="00205F50" w:rsidRPr="00E54F86" w:rsidRDefault="00205F50" w:rsidP="00205F50">
      <w:pPr>
        <w:pStyle w:val="ListParagraph"/>
        <w:numPr>
          <w:ilvl w:val="1"/>
          <w:numId w:val="16"/>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 xml:space="preserve">The </w:t>
      </w:r>
      <w:r>
        <w:rPr>
          <w:rFonts w:ascii="Times New Roman" w:hAnsi="Times New Roman"/>
          <w:szCs w:val="24"/>
        </w:rPr>
        <w:t>CliniMACS C</w:t>
      </w:r>
      <w:r w:rsidRPr="00E54F86">
        <w:rPr>
          <w:rFonts w:ascii="Times New Roman" w:hAnsi="Times New Roman"/>
          <w:szCs w:val="24"/>
        </w:rPr>
        <w:t xml:space="preserve">ytokine </w:t>
      </w:r>
      <w:r>
        <w:rPr>
          <w:rFonts w:ascii="Times New Roman" w:hAnsi="Times New Roman"/>
          <w:szCs w:val="24"/>
        </w:rPr>
        <w:t>C</w:t>
      </w:r>
      <w:r w:rsidRPr="00E54F86">
        <w:rPr>
          <w:rFonts w:ascii="Times New Roman" w:hAnsi="Times New Roman"/>
          <w:szCs w:val="24"/>
        </w:rPr>
        <w:t xml:space="preserve">apture </w:t>
      </w:r>
      <w:r>
        <w:rPr>
          <w:rFonts w:ascii="Times New Roman" w:hAnsi="Times New Roman"/>
          <w:szCs w:val="24"/>
        </w:rPr>
        <w:t>S</w:t>
      </w:r>
      <w:r w:rsidRPr="00E54F86">
        <w:rPr>
          <w:rFonts w:ascii="Times New Roman" w:hAnsi="Times New Roman"/>
          <w:szCs w:val="24"/>
        </w:rPr>
        <w:t xml:space="preserve">ystem (CCS) developed by Miltenyi is a method to isolate virus specific T cells by stimulating them with virus specific peptides.  They will then secret interferon </w:t>
      </w:r>
      <w:r w:rsidRPr="00E54F86">
        <w:rPr>
          <w:rFonts w:ascii="Symbol" w:hAnsi="Symbol"/>
          <w:szCs w:val="24"/>
        </w:rPr>
        <w:t></w:t>
      </w:r>
      <w:r w:rsidRPr="00E54F86">
        <w:rPr>
          <w:rFonts w:ascii="Times New Roman" w:hAnsi="Times New Roman"/>
          <w:szCs w:val="24"/>
        </w:rPr>
        <w:t xml:space="preserve"> (IFN</w:t>
      </w:r>
      <w:r w:rsidRPr="00E54F86">
        <w:rPr>
          <w:rFonts w:ascii="Symbol" w:hAnsi="Symbol"/>
          <w:szCs w:val="24"/>
        </w:rPr>
        <w:t></w:t>
      </w:r>
      <w:r w:rsidRPr="00E54F86">
        <w:rPr>
          <w:rFonts w:ascii="Times New Roman" w:hAnsi="Times New Roman"/>
          <w:szCs w:val="24"/>
        </w:rPr>
        <w:t>), which will be captured on the cell surface using a catch reagent that is essentially a bivalent antibody against both CD45 and IFN</w:t>
      </w:r>
      <w:r w:rsidRPr="00E54F86">
        <w:rPr>
          <w:rFonts w:ascii="Symbol" w:hAnsi="Symbol"/>
          <w:szCs w:val="24"/>
        </w:rPr>
        <w:t></w:t>
      </w:r>
      <w:r w:rsidRPr="00E54F86">
        <w:rPr>
          <w:rFonts w:ascii="Times New Roman" w:hAnsi="Times New Roman"/>
          <w:szCs w:val="24"/>
        </w:rPr>
        <w:t>.   IFN</w:t>
      </w:r>
      <w:r w:rsidRPr="00E54F86">
        <w:rPr>
          <w:rFonts w:ascii="Symbol" w:hAnsi="Symbol"/>
          <w:szCs w:val="24"/>
        </w:rPr>
        <w:t></w:t>
      </w:r>
      <w:r w:rsidRPr="00E54F86">
        <w:rPr>
          <w:rFonts w:ascii="Times New Roman" w:hAnsi="Times New Roman"/>
          <w:szCs w:val="24"/>
        </w:rPr>
        <w:t>-coated cells are then labelled with another anti-IFN</w:t>
      </w:r>
      <w:r w:rsidRPr="00E54F86">
        <w:rPr>
          <w:rFonts w:ascii="Symbol" w:hAnsi="Symbol"/>
          <w:szCs w:val="24"/>
        </w:rPr>
        <w:t></w:t>
      </w:r>
      <w:r w:rsidRPr="00E54F86">
        <w:rPr>
          <w:rFonts w:ascii="Times New Roman" w:hAnsi="Times New Roman"/>
          <w:szCs w:val="24"/>
        </w:rPr>
        <w:t xml:space="preserve"> antibody conjugated with paramagnetic beads and enriched. The CliniMACS prodigy device is a multi-purpose cell processor that will render this procedure largely automated.</w:t>
      </w:r>
    </w:p>
    <w:p w14:paraId="0AC5C830" w14:textId="77777777" w:rsidR="00205F50" w:rsidRPr="00E54F86" w:rsidRDefault="00205F50" w:rsidP="00205F50">
      <w:pPr>
        <w:pStyle w:val="ListParagraph"/>
        <w:numPr>
          <w:ilvl w:val="1"/>
          <w:numId w:val="16"/>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This method can be used to generate viral specific CTLs (vCTLs) against a single, or multiple viruses, depending on the composition of the stimulating viral peptides.  Viral specificity can be assessed by culturing a small portion of the final product with mitotically inactivated feeder cells and expanded for 2 weeks, at the end of which they can be re-stimulated with the same viral peptides individually to assess IFN</w:t>
      </w:r>
      <w:r w:rsidRPr="00E54F86">
        <w:rPr>
          <w:rFonts w:ascii="Symbol" w:hAnsi="Symbol"/>
          <w:szCs w:val="24"/>
        </w:rPr>
        <w:t></w:t>
      </w:r>
      <w:r w:rsidRPr="00E54F86">
        <w:rPr>
          <w:rFonts w:ascii="Times New Roman" w:hAnsi="Times New Roman"/>
          <w:szCs w:val="24"/>
        </w:rPr>
        <w:t xml:space="preserve"> response.</w:t>
      </w:r>
    </w:p>
    <w:p w14:paraId="609D8199" w14:textId="77777777" w:rsidR="00205F50" w:rsidRPr="00E54F86" w:rsidRDefault="00205F50" w:rsidP="00205F50">
      <w:pPr>
        <w:jc w:val="both"/>
        <w:rPr>
          <w:rFonts w:ascii="Times New Roman" w:hAnsi="Times New Roman"/>
          <w:b/>
          <w:szCs w:val="24"/>
        </w:rPr>
      </w:pPr>
    </w:p>
    <w:p w14:paraId="1581B236"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2B9E7D1D" w14:textId="77777777" w:rsidR="00205F50" w:rsidRPr="00E54F86" w:rsidRDefault="00205F50" w:rsidP="00205F50">
      <w:pPr>
        <w:jc w:val="both"/>
        <w:rPr>
          <w:rFonts w:ascii="Times New Roman" w:hAnsi="Times New Roman"/>
          <w:b/>
          <w:sz w:val="28"/>
          <w:szCs w:val="28"/>
        </w:rPr>
      </w:pPr>
    </w:p>
    <w:p w14:paraId="7A327D8D" w14:textId="77777777" w:rsidR="00205F50" w:rsidRPr="00E54F86" w:rsidRDefault="00205F50" w:rsidP="00205F50">
      <w:pPr>
        <w:jc w:val="both"/>
        <w:rPr>
          <w:rFonts w:ascii="Times New Roman" w:hAnsi="Times New Roman"/>
          <w:szCs w:val="24"/>
        </w:rPr>
      </w:pPr>
      <w:r w:rsidRPr="00E54F86">
        <w:rPr>
          <w:rFonts w:ascii="Times New Roman" w:hAnsi="Times New Roman"/>
          <w:szCs w:val="24"/>
        </w:rPr>
        <w:t xml:space="preserve">The purpose of this procedure is to describe the steps to follow in the manufacturing of vCTLs  and the subsequent culture expansion for re-testing.  </w:t>
      </w:r>
    </w:p>
    <w:p w14:paraId="7E077704" w14:textId="77777777" w:rsidR="00205F50" w:rsidRPr="00E54F86" w:rsidRDefault="00205F50" w:rsidP="00205F50">
      <w:pPr>
        <w:jc w:val="both"/>
        <w:rPr>
          <w:rFonts w:ascii="Times New Roman" w:hAnsi="Times New Roman"/>
          <w:b/>
          <w:szCs w:val="24"/>
        </w:rPr>
      </w:pPr>
    </w:p>
    <w:p w14:paraId="7F6DCAC3"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Specimen</w:t>
      </w:r>
    </w:p>
    <w:p w14:paraId="320893DA" w14:textId="77777777" w:rsidR="00205F50" w:rsidRPr="00E54F86" w:rsidRDefault="00205F50" w:rsidP="00205F50">
      <w:pPr>
        <w:ind w:left="720"/>
        <w:jc w:val="both"/>
        <w:rPr>
          <w:rFonts w:ascii="Times New Roman" w:hAnsi="Times New Roman"/>
          <w:b/>
          <w:sz w:val="28"/>
          <w:szCs w:val="28"/>
        </w:rPr>
      </w:pPr>
    </w:p>
    <w:p w14:paraId="0E1CD329" w14:textId="77777777" w:rsidR="00205F50" w:rsidRPr="00E54F86" w:rsidRDefault="00205F50" w:rsidP="00205F50">
      <w:pPr>
        <w:pStyle w:val="ListParagraph"/>
        <w:numPr>
          <w:ilvl w:val="1"/>
          <w:numId w:val="16"/>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T cells, Apheresis</w:t>
      </w:r>
    </w:p>
    <w:p w14:paraId="02DD91E2" w14:textId="77777777" w:rsidR="00205F50" w:rsidRPr="00E54F86" w:rsidRDefault="00205F50" w:rsidP="00205F50">
      <w:pPr>
        <w:pStyle w:val="ListParagraph"/>
        <w:numPr>
          <w:ilvl w:val="1"/>
          <w:numId w:val="16"/>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 xml:space="preserve">T cells, Whole Blood </w:t>
      </w:r>
    </w:p>
    <w:p w14:paraId="0932313E" w14:textId="77777777" w:rsidR="00205F50" w:rsidRPr="00E54F86" w:rsidRDefault="00205F50" w:rsidP="00205F50">
      <w:pPr>
        <w:pStyle w:val="ListParagraph"/>
        <w:ind w:hanging="720"/>
        <w:jc w:val="both"/>
        <w:rPr>
          <w:rFonts w:ascii="Times New Roman" w:hAnsi="Times New Roman"/>
          <w:b/>
          <w:szCs w:val="24"/>
        </w:rPr>
      </w:pPr>
    </w:p>
    <w:p w14:paraId="6597DC75"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Supplies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0DF16989" w14:textId="77777777" w:rsidR="00205F50" w:rsidRPr="00E54F86" w:rsidRDefault="00205F50" w:rsidP="00205F50">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016A6CB0" w14:textId="77777777" w:rsidR="00205F50" w:rsidRPr="00E54F86" w:rsidRDefault="00205F50" w:rsidP="00205F50">
      <w:pPr>
        <w:tabs>
          <w:tab w:val="left" w:pos="5040"/>
        </w:tabs>
      </w:pPr>
      <w:r w:rsidRPr="00E54F86">
        <w:t>4.1 Bag access</w:t>
      </w:r>
      <w:r w:rsidRPr="00E54F86">
        <w:tab/>
        <w:t>Alaris</w:t>
      </w:r>
    </w:p>
    <w:p w14:paraId="6AD84D17" w14:textId="77777777" w:rsidR="00205F50" w:rsidRPr="00E54F86" w:rsidRDefault="00205F50" w:rsidP="00205F50">
      <w:pPr>
        <w:tabs>
          <w:tab w:val="left" w:pos="5040"/>
        </w:tabs>
      </w:pPr>
      <w:r w:rsidRPr="00E54F86">
        <w:t>4.2 Syringes</w:t>
      </w:r>
      <w:r w:rsidRPr="00E54F86">
        <w:tab/>
        <w:t>BD</w:t>
      </w:r>
    </w:p>
    <w:p w14:paraId="07124B32" w14:textId="77777777" w:rsidR="00205F50" w:rsidRPr="00E54F86" w:rsidRDefault="00205F50" w:rsidP="00205F50">
      <w:pPr>
        <w:tabs>
          <w:tab w:val="left" w:pos="5040"/>
        </w:tabs>
      </w:pPr>
      <w:r w:rsidRPr="00E54F86">
        <w:t xml:space="preserve">4.3 Needles </w:t>
      </w:r>
      <w:r w:rsidRPr="00E54F86">
        <w:tab/>
        <w:t>BD</w:t>
      </w:r>
    </w:p>
    <w:p w14:paraId="63DB621A" w14:textId="77777777" w:rsidR="00205F50" w:rsidRPr="00E54F86" w:rsidRDefault="00205F50" w:rsidP="00205F50">
      <w:pPr>
        <w:tabs>
          <w:tab w:val="left" w:pos="5040"/>
        </w:tabs>
      </w:pPr>
      <w:r w:rsidRPr="00E54F86">
        <w:t>4.4 Sterile Fields</w:t>
      </w:r>
      <w:r w:rsidRPr="00E54F86">
        <w:tab/>
        <w:t>Medchoice</w:t>
      </w:r>
    </w:p>
    <w:p w14:paraId="724F6E56" w14:textId="77777777" w:rsidR="00205F50" w:rsidRPr="00E54F86" w:rsidRDefault="00205F50" w:rsidP="00205F50">
      <w:pPr>
        <w:tabs>
          <w:tab w:val="left" w:pos="5040"/>
        </w:tabs>
      </w:pPr>
      <w:r w:rsidRPr="00E54F86">
        <w:t xml:space="preserve">4.5 Alcohol wipes </w:t>
      </w:r>
      <w:r w:rsidRPr="00E54F86">
        <w:tab/>
        <w:t>ITW Textwipe</w:t>
      </w:r>
    </w:p>
    <w:p w14:paraId="6C48D2D9" w14:textId="77777777" w:rsidR="00205F50" w:rsidRPr="00E54F86" w:rsidRDefault="00205F50" w:rsidP="00205F50">
      <w:pPr>
        <w:tabs>
          <w:tab w:val="left" w:pos="5040"/>
        </w:tabs>
      </w:pPr>
      <w:r w:rsidRPr="00E54F86">
        <w:t>4.6 Human se</w:t>
      </w:r>
      <w:r>
        <w:t xml:space="preserve">rum albumin, 25% </w:t>
      </w:r>
      <w:r>
        <w:tab/>
        <w:t>Pharmacy</w:t>
      </w:r>
    </w:p>
    <w:p w14:paraId="40CDC78B" w14:textId="77777777" w:rsidR="00205F50" w:rsidRPr="00E54F86" w:rsidRDefault="00205F50" w:rsidP="00205F50">
      <w:pPr>
        <w:tabs>
          <w:tab w:val="left" w:pos="5040"/>
        </w:tabs>
      </w:pPr>
      <w:r w:rsidRPr="00E54F86">
        <w:t>4.7 Human s</w:t>
      </w:r>
      <w:r>
        <w:t xml:space="preserve">erum albumin, 5% </w:t>
      </w:r>
      <w:r>
        <w:tab/>
        <w:t>Pharmacy</w:t>
      </w:r>
    </w:p>
    <w:p w14:paraId="316CEAF3" w14:textId="77777777" w:rsidR="00205F50" w:rsidRPr="00E54F86" w:rsidRDefault="00205F50" w:rsidP="00205F50">
      <w:pPr>
        <w:tabs>
          <w:tab w:val="left" w:pos="5040"/>
        </w:tabs>
      </w:pPr>
      <w:r w:rsidRPr="00E54F86">
        <w:t>4.8 CliniMACS PBS/EDTA buffer (3L)</w:t>
      </w:r>
      <w:r w:rsidRPr="00E54F86">
        <w:tab/>
        <w:t xml:space="preserve">Miltenyi </w:t>
      </w:r>
    </w:p>
    <w:p w14:paraId="3A7E42BF" w14:textId="77777777" w:rsidR="00205F50" w:rsidRPr="00E54F86" w:rsidRDefault="00205F50" w:rsidP="00205F50">
      <w:pPr>
        <w:tabs>
          <w:tab w:val="left" w:pos="5040"/>
        </w:tabs>
      </w:pPr>
      <w:r w:rsidRPr="00E54F86">
        <w:t>4.9 CliniMACS PBS/EDTA buffer (1L)</w:t>
      </w:r>
      <w:r w:rsidRPr="00E54F86">
        <w:tab/>
        <w:t xml:space="preserve">Miltenyi </w:t>
      </w:r>
    </w:p>
    <w:p w14:paraId="18D36465" w14:textId="77777777" w:rsidR="00205F50" w:rsidRPr="00E54F86" w:rsidRDefault="00205F50" w:rsidP="00205F50">
      <w:pPr>
        <w:tabs>
          <w:tab w:val="left" w:pos="5040"/>
        </w:tabs>
      </w:pPr>
      <w:r w:rsidRPr="00E54F86">
        <w:t>4.10 Lymphocyte separation medium</w:t>
      </w:r>
      <w:r w:rsidRPr="00E54F86">
        <w:tab/>
        <w:t>MP Biomedicals, LLC</w:t>
      </w:r>
    </w:p>
    <w:p w14:paraId="00BF235A" w14:textId="77777777" w:rsidR="00205F50" w:rsidRPr="00E54F86" w:rsidRDefault="00205F50" w:rsidP="00205F50">
      <w:pPr>
        <w:tabs>
          <w:tab w:val="left" w:pos="5040"/>
        </w:tabs>
      </w:pPr>
      <w:r w:rsidRPr="00E54F86">
        <w:lastRenderedPageBreak/>
        <w:t xml:space="preserve">4.11 50 ml polypropylene centrifuge tubes   </w:t>
      </w:r>
      <w:r w:rsidRPr="00E54F86">
        <w:tab/>
        <w:t xml:space="preserve">Sarstedt  </w:t>
      </w:r>
    </w:p>
    <w:p w14:paraId="3FBBF110" w14:textId="77777777" w:rsidR="00205F50" w:rsidRPr="00E54F86" w:rsidRDefault="00205F50" w:rsidP="00205F50">
      <w:pPr>
        <w:tabs>
          <w:tab w:val="left" w:pos="5040"/>
        </w:tabs>
      </w:pPr>
      <w:r w:rsidRPr="00E54F86">
        <w:t xml:space="preserve">4.12 50 ml polystyrene centrifuge tubes </w:t>
      </w:r>
      <w:r w:rsidRPr="00E54F86">
        <w:tab/>
        <w:t>Corning</w:t>
      </w:r>
    </w:p>
    <w:p w14:paraId="281BC397" w14:textId="77777777" w:rsidR="00205F50" w:rsidRPr="00E54F86" w:rsidRDefault="00205F50" w:rsidP="00205F50">
      <w:pPr>
        <w:tabs>
          <w:tab w:val="left" w:pos="5040"/>
        </w:tabs>
      </w:pPr>
      <w:r w:rsidRPr="00E54F86">
        <w:t>4.13 TexMACS GMP medium (2L)</w:t>
      </w:r>
      <w:r w:rsidRPr="00E54F86">
        <w:tab/>
        <w:t xml:space="preserve">Miltenyi </w:t>
      </w:r>
    </w:p>
    <w:p w14:paraId="4C2B2F74" w14:textId="77777777" w:rsidR="00205F50" w:rsidRPr="00E54F86" w:rsidRDefault="00205F50" w:rsidP="00205F50">
      <w:pPr>
        <w:tabs>
          <w:tab w:val="left" w:pos="5040"/>
        </w:tabs>
      </w:pPr>
      <w:r w:rsidRPr="00E54F86">
        <w:t xml:space="preserve">4.14 </w:t>
      </w:r>
      <w:r>
        <w:t xml:space="preserve">MACS </w:t>
      </w:r>
      <w:r w:rsidRPr="00E54F86">
        <w:t>GMP Peptivator CMV pp65 (60nmol)</w:t>
      </w:r>
      <w:r w:rsidRPr="00E54F86">
        <w:tab/>
        <w:t>Miltenyi</w:t>
      </w:r>
    </w:p>
    <w:p w14:paraId="2FC84670" w14:textId="77777777" w:rsidR="00205F50" w:rsidRPr="00E54F86" w:rsidRDefault="00205F50" w:rsidP="00205F50">
      <w:pPr>
        <w:tabs>
          <w:tab w:val="left" w:pos="5040"/>
        </w:tabs>
      </w:pPr>
      <w:r w:rsidRPr="00E54F86">
        <w:t>4.15 CliniMACS cytokine capture system</w:t>
      </w:r>
      <w:r w:rsidRPr="00E54F86">
        <w:tab/>
        <w:t xml:space="preserve">Miltenyi </w:t>
      </w:r>
    </w:p>
    <w:p w14:paraId="3143139A" w14:textId="77777777" w:rsidR="00205F50" w:rsidRPr="00E54F86" w:rsidRDefault="00205F50" w:rsidP="00205F50">
      <w:pPr>
        <w:tabs>
          <w:tab w:val="left" w:pos="2160"/>
          <w:tab w:val="left" w:pos="5040"/>
        </w:tabs>
      </w:pPr>
      <w:r w:rsidRPr="00E54F86">
        <w:t xml:space="preserve">         Containing: </w:t>
      </w:r>
      <w:r w:rsidRPr="00E54F86">
        <w:tab/>
        <w:t>7.5 mL CliniMACS IFN</w:t>
      </w:r>
      <w:r w:rsidRPr="00E54F86">
        <w:rPr>
          <w:rFonts w:ascii="Symbol" w:hAnsi="Symbol"/>
        </w:rPr>
        <w:t></w:t>
      </w:r>
      <w:r w:rsidRPr="00E54F86">
        <w:t xml:space="preserve"> Catchmatrix Reagent</w:t>
      </w:r>
    </w:p>
    <w:p w14:paraId="7553B769" w14:textId="77777777" w:rsidR="00205F50" w:rsidRPr="00E54F86" w:rsidRDefault="00205F50" w:rsidP="00205F50">
      <w:pPr>
        <w:tabs>
          <w:tab w:val="left" w:pos="2160"/>
          <w:tab w:val="left" w:pos="5040"/>
        </w:tabs>
      </w:pPr>
      <w:r w:rsidRPr="00E54F86">
        <w:tab/>
        <w:t>7.5 mL CliniMACS IFN</w:t>
      </w:r>
      <w:r w:rsidRPr="00E54F86">
        <w:rPr>
          <w:rFonts w:ascii="Symbol" w:hAnsi="Symbol"/>
        </w:rPr>
        <w:t></w:t>
      </w:r>
      <w:r w:rsidRPr="00E54F86">
        <w:t xml:space="preserve"> Enrichment Reagent</w:t>
      </w:r>
    </w:p>
    <w:p w14:paraId="27B02764" w14:textId="77777777" w:rsidR="00205F50" w:rsidRPr="00E54F86" w:rsidRDefault="00205F50" w:rsidP="00205F50">
      <w:pPr>
        <w:tabs>
          <w:tab w:val="left" w:pos="5040"/>
        </w:tabs>
      </w:pPr>
      <w:r w:rsidRPr="00E54F86">
        <w:t>4.16 0.9% Sodium Chloride as elution buffer</w:t>
      </w:r>
      <w:r w:rsidRPr="00E54F86">
        <w:tab/>
        <w:t>Baxter</w:t>
      </w:r>
    </w:p>
    <w:p w14:paraId="2BE3DEB4" w14:textId="77777777" w:rsidR="00205F50" w:rsidRPr="00E54F86" w:rsidRDefault="00205F50" w:rsidP="00205F50">
      <w:pPr>
        <w:tabs>
          <w:tab w:val="left" w:pos="5040"/>
        </w:tabs>
      </w:pPr>
      <w:r w:rsidRPr="00E54F86">
        <w:t>4.17 Prodigy TS500 tubing set</w:t>
      </w:r>
      <w:r w:rsidRPr="00E54F86">
        <w:tab/>
        <w:t>Miltenyi</w:t>
      </w:r>
    </w:p>
    <w:p w14:paraId="5FE35BC8" w14:textId="77777777" w:rsidR="00205F50" w:rsidRPr="00E54F86" w:rsidRDefault="00205F50" w:rsidP="00205F50">
      <w:pPr>
        <w:tabs>
          <w:tab w:val="left" w:pos="5040"/>
        </w:tabs>
      </w:pPr>
      <w:r w:rsidRPr="00E54F86">
        <w:t>4.18 Research Peptivator CMV pp65 (6nmol)</w:t>
      </w:r>
      <w:r w:rsidRPr="00E54F86">
        <w:tab/>
        <w:t>Miltenyi</w:t>
      </w:r>
    </w:p>
    <w:p w14:paraId="3044F0EF" w14:textId="77777777" w:rsidR="00205F50" w:rsidRPr="00E54F86" w:rsidRDefault="00205F50" w:rsidP="00205F50">
      <w:pPr>
        <w:tabs>
          <w:tab w:val="left" w:pos="5040"/>
        </w:tabs>
      </w:pPr>
      <w:r w:rsidRPr="00E54F86">
        <w:t>4.</w:t>
      </w:r>
      <w:r>
        <w:t>19</w:t>
      </w:r>
      <w:r w:rsidRPr="00E54F86">
        <w:t xml:space="preserve"> </w:t>
      </w:r>
      <w:r>
        <w:t>IFN-gamma staining</w:t>
      </w:r>
      <w:r w:rsidRPr="00E54F86">
        <w:tab/>
        <w:t>Miltenyi</w:t>
      </w:r>
    </w:p>
    <w:p w14:paraId="5FDBBC2A" w14:textId="77777777" w:rsidR="00205F50" w:rsidRPr="00E54F86" w:rsidRDefault="00205F50" w:rsidP="00205F50">
      <w:pPr>
        <w:tabs>
          <w:tab w:val="left" w:pos="5040"/>
        </w:tabs>
      </w:pPr>
      <w:r w:rsidRPr="00E54F86">
        <w:t>4.2</w:t>
      </w:r>
      <w:r>
        <w:t>0</w:t>
      </w:r>
      <w:r w:rsidRPr="00E54F86">
        <w:t xml:space="preserve"> Rapid Cytokine Inspector kit </w:t>
      </w:r>
      <w:r w:rsidRPr="00E54F86">
        <w:tab/>
        <w:t xml:space="preserve">Miltenyi </w:t>
      </w:r>
    </w:p>
    <w:p w14:paraId="0BCE9212" w14:textId="77777777" w:rsidR="00205F50" w:rsidRPr="00F42B20" w:rsidRDefault="00205F50" w:rsidP="00205F50">
      <w:pPr>
        <w:tabs>
          <w:tab w:val="left" w:pos="5040"/>
        </w:tabs>
        <w:rPr>
          <w:lang w:val="it-IT"/>
        </w:rPr>
      </w:pPr>
      <w:r w:rsidRPr="00F42B20">
        <w:rPr>
          <w:lang w:val="it-IT"/>
        </w:rPr>
        <w:t>4.21 Interleukin 2 (25</w:t>
      </w:r>
      <w:r w:rsidRPr="00E54F86">
        <w:rPr>
          <w:rFonts w:ascii="Symbol" w:hAnsi="Symbol"/>
        </w:rPr>
        <w:t></w:t>
      </w:r>
      <w:r w:rsidRPr="00F42B20">
        <w:rPr>
          <w:lang w:val="it-IT"/>
        </w:rPr>
        <w:t>g)</w:t>
      </w:r>
      <w:r w:rsidRPr="00F42B20">
        <w:rPr>
          <w:lang w:val="it-IT"/>
        </w:rPr>
        <w:tab/>
        <w:t xml:space="preserve">Miltenyi </w:t>
      </w:r>
    </w:p>
    <w:p w14:paraId="0EC664DB" w14:textId="77777777" w:rsidR="00205F50" w:rsidRPr="00F42B20" w:rsidRDefault="00205F50" w:rsidP="00205F50">
      <w:pPr>
        <w:tabs>
          <w:tab w:val="left" w:pos="5040"/>
        </w:tabs>
        <w:rPr>
          <w:lang w:val="it-IT"/>
        </w:rPr>
      </w:pPr>
      <w:r w:rsidRPr="00F42B20">
        <w:rPr>
          <w:lang w:val="it-IT"/>
        </w:rPr>
        <w:t xml:space="preserve">4.22 Pennicillin-Streptomycin </w:t>
      </w:r>
      <w:r w:rsidRPr="00F42B20">
        <w:rPr>
          <w:lang w:val="it-IT"/>
        </w:rPr>
        <w:tab/>
        <w:t>Gibco</w:t>
      </w:r>
    </w:p>
    <w:p w14:paraId="6C17CE64" w14:textId="77777777" w:rsidR="00205F50" w:rsidRPr="00E54F86" w:rsidRDefault="00205F50" w:rsidP="00205F50">
      <w:pPr>
        <w:tabs>
          <w:tab w:val="left" w:pos="5040"/>
        </w:tabs>
      </w:pPr>
      <w:r w:rsidRPr="00E54F86">
        <w:t>4.2</w:t>
      </w:r>
      <w:r>
        <w:t>3</w:t>
      </w:r>
      <w:r w:rsidRPr="00E54F86">
        <w:t xml:space="preserve"> sterile water (250ml)</w:t>
      </w:r>
      <w:r w:rsidRPr="00E54F86">
        <w:tab/>
        <w:t>Baxter</w:t>
      </w:r>
    </w:p>
    <w:p w14:paraId="6855D24E" w14:textId="77777777" w:rsidR="00205F50" w:rsidRPr="00E54F86" w:rsidRDefault="00205F50" w:rsidP="00205F50">
      <w:pPr>
        <w:tabs>
          <w:tab w:val="left" w:pos="5040"/>
        </w:tabs>
      </w:pPr>
      <w:r w:rsidRPr="00E54F86">
        <w:t>4.2</w:t>
      </w:r>
      <w:r>
        <w:t>4</w:t>
      </w:r>
      <w:r w:rsidRPr="00E54F86">
        <w:t xml:space="preserve"> Pipets, individually wrapped</w:t>
      </w:r>
      <w:r w:rsidRPr="00E54F86">
        <w:tab/>
        <w:t>Fisher</w:t>
      </w:r>
    </w:p>
    <w:p w14:paraId="3F71DD77" w14:textId="77777777" w:rsidR="00205F50" w:rsidRPr="00E54F86" w:rsidRDefault="00205F50" w:rsidP="00205F50">
      <w:pPr>
        <w:tabs>
          <w:tab w:val="left" w:pos="5040"/>
        </w:tabs>
      </w:pPr>
      <w:r w:rsidRPr="00E54F86">
        <w:t>4.2</w:t>
      </w:r>
      <w:r>
        <w:t>5</w:t>
      </w:r>
      <w:r w:rsidRPr="00E54F86">
        <w:t xml:space="preserve"> Plasma transfer sets with two couplers</w:t>
      </w:r>
      <w:r w:rsidRPr="00E54F86">
        <w:tab/>
        <w:t xml:space="preserve">Fenwal </w:t>
      </w:r>
    </w:p>
    <w:p w14:paraId="0E4A03FD" w14:textId="77777777" w:rsidR="00205F50" w:rsidRPr="00206011" w:rsidRDefault="00205F50" w:rsidP="00205F50">
      <w:pPr>
        <w:tabs>
          <w:tab w:val="left" w:pos="5040"/>
        </w:tabs>
        <w:rPr>
          <w:lang w:val="de-DE"/>
        </w:rPr>
      </w:pPr>
      <w:r w:rsidRPr="00206011">
        <w:rPr>
          <w:lang w:val="de-DE"/>
        </w:rPr>
        <w:t>4.2</w:t>
      </w:r>
      <w:r>
        <w:rPr>
          <w:lang w:val="de-DE"/>
        </w:rPr>
        <w:t>6</w:t>
      </w:r>
      <w:r w:rsidRPr="00206011">
        <w:rPr>
          <w:lang w:val="de-DE"/>
        </w:rPr>
        <w:t xml:space="preserve"> Transfer bags (1000ml, 600ml, 3000ml)</w:t>
      </w:r>
      <w:r w:rsidRPr="00206011">
        <w:rPr>
          <w:lang w:val="de-DE"/>
        </w:rPr>
        <w:tab/>
        <w:t>Fenwal</w:t>
      </w:r>
    </w:p>
    <w:p w14:paraId="4887A7A6" w14:textId="77777777" w:rsidR="00205F50" w:rsidRPr="00E54F86" w:rsidRDefault="00205F50" w:rsidP="00205F50">
      <w:pPr>
        <w:tabs>
          <w:tab w:val="left" w:pos="5040"/>
        </w:tabs>
      </w:pPr>
      <w:r w:rsidRPr="00E54F86">
        <w:t>4.</w:t>
      </w:r>
      <w:r>
        <w:t>27</w:t>
      </w:r>
      <w:r w:rsidRPr="00E54F86">
        <w:t xml:space="preserve"> Trypan Blue 0.4% in PBS</w:t>
      </w:r>
      <w:r w:rsidRPr="00E54F86">
        <w:tab/>
        <w:t xml:space="preserve">Invitrogen </w:t>
      </w:r>
    </w:p>
    <w:p w14:paraId="173761A0" w14:textId="77777777" w:rsidR="00205F50" w:rsidRPr="00E54F86" w:rsidRDefault="00205F50" w:rsidP="00205F50">
      <w:pPr>
        <w:tabs>
          <w:tab w:val="left" w:pos="5040"/>
        </w:tabs>
      </w:pPr>
      <w:r w:rsidRPr="00E54F86">
        <w:t>4.</w:t>
      </w:r>
      <w:r>
        <w:t>28</w:t>
      </w:r>
      <w:r w:rsidRPr="00E54F86">
        <w:t xml:space="preserve"> Pipet tips</w:t>
      </w:r>
      <w:r w:rsidRPr="00E54F86">
        <w:tab/>
        <w:t>Fischer Scientific</w:t>
      </w:r>
    </w:p>
    <w:p w14:paraId="42A8F431" w14:textId="77777777" w:rsidR="00205F50" w:rsidRPr="00E54F86" w:rsidRDefault="00205F50" w:rsidP="00205F50">
      <w:pPr>
        <w:tabs>
          <w:tab w:val="left" w:pos="5040"/>
        </w:tabs>
      </w:pPr>
      <w:r w:rsidRPr="00E54F86">
        <w:t>4.</w:t>
      </w:r>
      <w:r>
        <w:t>29 Gloves</w:t>
      </w:r>
      <w:r>
        <w:tab/>
        <w:t>SPD</w:t>
      </w:r>
    </w:p>
    <w:p w14:paraId="66ACD710" w14:textId="77777777" w:rsidR="00205F50" w:rsidRPr="00E54F86" w:rsidRDefault="00205F50" w:rsidP="00205F50">
      <w:pPr>
        <w:tabs>
          <w:tab w:val="left" w:pos="5040"/>
        </w:tabs>
      </w:pPr>
      <w:r w:rsidRPr="00E54F86">
        <w:t>4.3</w:t>
      </w:r>
      <w:r>
        <w:t>0</w:t>
      </w:r>
      <w:r w:rsidRPr="00E54F86">
        <w:t xml:space="preserve"> 15ml centrifuge tubes</w:t>
      </w:r>
      <w:r w:rsidRPr="00E54F86">
        <w:tab/>
        <w:t>Corning</w:t>
      </w:r>
    </w:p>
    <w:p w14:paraId="0FC363CC" w14:textId="77777777" w:rsidR="00205F50" w:rsidRPr="00E54F86" w:rsidRDefault="00205F50" w:rsidP="00205F50">
      <w:pPr>
        <w:tabs>
          <w:tab w:val="left" w:pos="5040"/>
        </w:tabs>
      </w:pPr>
      <w:r w:rsidRPr="00E54F86">
        <w:t>4.3</w:t>
      </w:r>
      <w:r>
        <w:t>1</w:t>
      </w:r>
      <w:r w:rsidRPr="00E54F86">
        <w:t xml:space="preserve"> Tissue culture plates (24, 48well)</w:t>
      </w:r>
      <w:r w:rsidRPr="00E54F86">
        <w:tab/>
        <w:t>Corning</w:t>
      </w:r>
    </w:p>
    <w:p w14:paraId="55D83A90" w14:textId="77777777" w:rsidR="00205F50" w:rsidRPr="00E54F86" w:rsidRDefault="00205F50" w:rsidP="00205F50">
      <w:pPr>
        <w:tabs>
          <w:tab w:val="left" w:pos="5040"/>
        </w:tabs>
      </w:pPr>
      <w:r w:rsidRPr="00E54F86">
        <w:t>4.3</w:t>
      </w:r>
      <w:r>
        <w:t>2</w:t>
      </w:r>
      <w:r w:rsidRPr="00E54F86">
        <w:t xml:space="preserve"> Tissue culture flasks (vent cap)</w:t>
      </w:r>
      <w:r w:rsidRPr="00E54F86">
        <w:tab/>
        <w:t>Corning</w:t>
      </w:r>
    </w:p>
    <w:p w14:paraId="634B7BA7" w14:textId="77777777" w:rsidR="00205F50" w:rsidRPr="00E54F86" w:rsidRDefault="00205F50" w:rsidP="00205F50">
      <w:pPr>
        <w:tabs>
          <w:tab w:val="left" w:pos="5040"/>
        </w:tabs>
      </w:pPr>
      <w:r w:rsidRPr="00E54F86">
        <w:t>4.3</w:t>
      </w:r>
      <w:r>
        <w:t>3</w:t>
      </w:r>
      <w:r w:rsidRPr="00E54F86">
        <w:t xml:space="preserve"> Cryotube vials (2ml)</w:t>
      </w:r>
      <w:r w:rsidRPr="00E54F86">
        <w:tab/>
        <w:t>Nunc</w:t>
      </w:r>
    </w:p>
    <w:p w14:paraId="61D3B199" w14:textId="77777777" w:rsidR="00205F50" w:rsidRPr="00E54F86" w:rsidRDefault="00205F50" w:rsidP="00205F50">
      <w:pPr>
        <w:tabs>
          <w:tab w:val="left" w:pos="5040"/>
        </w:tabs>
      </w:pPr>
    </w:p>
    <w:p w14:paraId="1151250F" w14:textId="77777777" w:rsidR="00205F50" w:rsidRPr="00E54F86" w:rsidRDefault="00205F50" w:rsidP="00205F50">
      <w:pPr>
        <w:jc w:val="both"/>
        <w:rPr>
          <w:rFonts w:ascii="Times New Roman" w:hAnsi="Times New Roman"/>
          <w:b/>
          <w:szCs w:val="24"/>
        </w:rPr>
      </w:pPr>
    </w:p>
    <w:p w14:paraId="71076831"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44352566" w14:textId="77777777" w:rsidR="00205F50" w:rsidRPr="00E54F86" w:rsidRDefault="00205F50" w:rsidP="00205F50">
      <w:pPr>
        <w:jc w:val="both"/>
        <w:rPr>
          <w:rFonts w:ascii="Times New Roman" w:hAnsi="Times New Roman"/>
          <w:b/>
          <w:sz w:val="28"/>
          <w:szCs w:val="28"/>
        </w:rPr>
      </w:pPr>
    </w:p>
    <w:p w14:paraId="45E88ECC" w14:textId="77777777" w:rsidR="00205F50" w:rsidRPr="00E54F86" w:rsidRDefault="00205F50" w:rsidP="00205F50">
      <w:pPr>
        <w:tabs>
          <w:tab w:val="left" w:pos="5760"/>
        </w:tabs>
        <w:ind w:left="720" w:hanging="720"/>
      </w:pPr>
      <w:r w:rsidRPr="00E54F86">
        <w:t>5.1</w:t>
      </w:r>
      <w:r w:rsidRPr="00E54F86">
        <w:tab/>
        <w:t xml:space="preserve">CliniMACS Prodigy device </w:t>
      </w:r>
    </w:p>
    <w:p w14:paraId="05BB12A9" w14:textId="77777777" w:rsidR="00205F50" w:rsidRPr="00E54F86" w:rsidRDefault="00205F50" w:rsidP="00205F50">
      <w:pPr>
        <w:tabs>
          <w:tab w:val="left" w:pos="5760"/>
        </w:tabs>
        <w:ind w:left="720" w:hanging="720"/>
      </w:pPr>
      <w:r w:rsidRPr="00E54F86">
        <w:t>5.2</w:t>
      </w:r>
      <w:r w:rsidRPr="00E54F86">
        <w:tab/>
        <w:t>Biological Safety Cabinet</w:t>
      </w:r>
    </w:p>
    <w:p w14:paraId="74C79C1B" w14:textId="77777777" w:rsidR="00205F50" w:rsidRPr="00E54F86" w:rsidRDefault="00205F50" w:rsidP="00205F50">
      <w:pPr>
        <w:tabs>
          <w:tab w:val="left" w:pos="5760"/>
        </w:tabs>
        <w:ind w:left="720" w:hanging="720"/>
      </w:pPr>
      <w:r w:rsidRPr="00E54F86">
        <w:t>5.3</w:t>
      </w:r>
      <w:r w:rsidRPr="00E54F86">
        <w:tab/>
        <w:t>Refrigerated centrifuge</w:t>
      </w:r>
    </w:p>
    <w:p w14:paraId="28BCB949" w14:textId="77777777" w:rsidR="00205F50" w:rsidRPr="00E54F86" w:rsidRDefault="00205F50" w:rsidP="00205F50">
      <w:pPr>
        <w:tabs>
          <w:tab w:val="left" w:pos="5760"/>
        </w:tabs>
        <w:ind w:left="720" w:hanging="720"/>
      </w:pPr>
      <w:r w:rsidRPr="00E54F86">
        <w:t>5.4</w:t>
      </w:r>
      <w:r w:rsidRPr="00E54F86">
        <w:tab/>
        <w:t>COBE 2991</w:t>
      </w:r>
    </w:p>
    <w:p w14:paraId="6B1CFA90" w14:textId="77777777" w:rsidR="00205F50" w:rsidRPr="00E54F86" w:rsidRDefault="00205F50" w:rsidP="00205F50">
      <w:pPr>
        <w:tabs>
          <w:tab w:val="left" w:pos="5760"/>
        </w:tabs>
        <w:ind w:left="720" w:hanging="720"/>
      </w:pPr>
      <w:r w:rsidRPr="00E54F86">
        <w:t>5.5</w:t>
      </w:r>
      <w:r w:rsidRPr="00E54F86">
        <w:tab/>
        <w:t>Pipet-aid</w:t>
      </w:r>
    </w:p>
    <w:p w14:paraId="51C5465F" w14:textId="77777777" w:rsidR="00205F50" w:rsidRPr="00E54F86" w:rsidRDefault="00205F50" w:rsidP="00205F50">
      <w:pPr>
        <w:tabs>
          <w:tab w:val="left" w:pos="5760"/>
        </w:tabs>
        <w:ind w:left="720" w:hanging="720"/>
      </w:pPr>
      <w:r w:rsidRPr="00E54F86">
        <w:t>5.6</w:t>
      </w:r>
      <w:r w:rsidRPr="00E54F86">
        <w:tab/>
        <w:t>Pipettors 100-1000µl, 20-200µl, 2-20µl</w:t>
      </w:r>
      <w:r w:rsidRPr="00E54F86">
        <w:tab/>
      </w:r>
    </w:p>
    <w:p w14:paraId="18297F42" w14:textId="77777777" w:rsidR="00205F50" w:rsidRPr="00E54F86" w:rsidRDefault="00205F50" w:rsidP="00205F50">
      <w:pPr>
        <w:pStyle w:val="Footer"/>
        <w:ind w:left="720" w:hanging="720"/>
        <w:rPr>
          <w:rFonts w:ascii="Times New Roman" w:hAnsi="Times New Roman"/>
        </w:rPr>
      </w:pPr>
      <w:r w:rsidRPr="00E54F86">
        <w:rPr>
          <w:rFonts w:ascii="Times New Roman" w:hAnsi="Times New Roman"/>
        </w:rPr>
        <w:t>5.7</w:t>
      </w:r>
      <w:r w:rsidRPr="00E54F86">
        <w:rPr>
          <w:rFonts w:ascii="Times New Roman" w:hAnsi="Times New Roman"/>
        </w:rPr>
        <w:tab/>
        <w:t>CO</w:t>
      </w:r>
      <w:r w:rsidRPr="00E54F86">
        <w:rPr>
          <w:rFonts w:ascii="Times New Roman" w:hAnsi="Times New Roman"/>
          <w:vertAlign w:val="subscript"/>
        </w:rPr>
        <w:t>2</w:t>
      </w:r>
      <w:r w:rsidRPr="00E54F86">
        <w:rPr>
          <w:rFonts w:ascii="Times New Roman" w:hAnsi="Times New Roman"/>
        </w:rPr>
        <w:t xml:space="preserve"> incubators</w:t>
      </w:r>
    </w:p>
    <w:p w14:paraId="0B03CB2A" w14:textId="77777777" w:rsidR="00205F50" w:rsidRPr="00E54F86" w:rsidRDefault="00205F50" w:rsidP="00205F50">
      <w:pPr>
        <w:tabs>
          <w:tab w:val="left" w:pos="5760"/>
        </w:tabs>
        <w:ind w:left="720" w:hanging="720"/>
      </w:pPr>
      <w:r w:rsidRPr="00E54F86">
        <w:t>5.8</w:t>
      </w:r>
      <w:r w:rsidRPr="00E54F86">
        <w:tab/>
        <w:t>Sebra heat sealer</w:t>
      </w:r>
    </w:p>
    <w:p w14:paraId="2B95C8F9" w14:textId="77777777" w:rsidR="00205F50" w:rsidRPr="00E54F86" w:rsidRDefault="00205F50" w:rsidP="00205F50">
      <w:pPr>
        <w:tabs>
          <w:tab w:val="left" w:pos="5760"/>
        </w:tabs>
        <w:ind w:left="720" w:hanging="720"/>
      </w:pPr>
      <w:r w:rsidRPr="00E54F86">
        <w:t xml:space="preserve">5.9   </w:t>
      </w:r>
      <w:r w:rsidRPr="00E54F86">
        <w:tab/>
        <w:t>Terumo sterile tubing welder</w:t>
      </w:r>
    </w:p>
    <w:p w14:paraId="2C4BD392" w14:textId="77777777" w:rsidR="00205F50" w:rsidRPr="00E54F86" w:rsidRDefault="00205F50" w:rsidP="00205F50">
      <w:pPr>
        <w:tabs>
          <w:tab w:val="left" w:pos="5760"/>
        </w:tabs>
        <w:ind w:left="720" w:hanging="720"/>
      </w:pPr>
      <w:r w:rsidRPr="00E54F86">
        <w:t>5.10</w:t>
      </w:r>
      <w:r w:rsidRPr="00E54F86">
        <w:tab/>
        <w:t>Microscope</w:t>
      </w:r>
    </w:p>
    <w:p w14:paraId="74005D14" w14:textId="77777777" w:rsidR="00205F50" w:rsidRPr="00E54F86" w:rsidRDefault="00205F50" w:rsidP="00205F50">
      <w:pPr>
        <w:tabs>
          <w:tab w:val="left" w:pos="5760"/>
        </w:tabs>
        <w:ind w:left="720" w:hanging="720"/>
      </w:pPr>
      <w:r w:rsidRPr="00E54F86">
        <w:t>5.11</w:t>
      </w:r>
      <w:r w:rsidRPr="00E54F86">
        <w:tab/>
        <w:t>ACT II diff Hematology Analyzer</w:t>
      </w:r>
    </w:p>
    <w:p w14:paraId="4CFFCEB0" w14:textId="77777777" w:rsidR="00205F50" w:rsidRPr="00E54F86" w:rsidRDefault="00205F50" w:rsidP="00205F50">
      <w:pPr>
        <w:tabs>
          <w:tab w:val="left" w:pos="5760"/>
        </w:tabs>
        <w:ind w:left="720" w:hanging="720"/>
      </w:pPr>
      <w:r w:rsidRPr="00E54F86">
        <w:t xml:space="preserve">5.12   </w:t>
      </w:r>
      <w:r w:rsidRPr="00E54F86">
        <w:tab/>
        <w:t>Hemostats</w:t>
      </w:r>
    </w:p>
    <w:p w14:paraId="0CA90AAF" w14:textId="77777777" w:rsidR="00205F50" w:rsidRPr="00E54F86" w:rsidRDefault="00205F50" w:rsidP="00205F50">
      <w:pPr>
        <w:tabs>
          <w:tab w:val="left" w:pos="5760"/>
        </w:tabs>
        <w:ind w:left="720" w:hanging="720"/>
      </w:pPr>
      <w:r w:rsidRPr="00E54F86">
        <w:t>5.13</w:t>
      </w:r>
      <w:r w:rsidRPr="00E54F86">
        <w:tab/>
        <w:t>FACSCalibur Flow cytometer</w:t>
      </w:r>
    </w:p>
    <w:p w14:paraId="4C0B9FC2" w14:textId="77777777" w:rsidR="00205F50" w:rsidRPr="00E54F86" w:rsidRDefault="00205F50" w:rsidP="00205F50">
      <w:pPr>
        <w:tabs>
          <w:tab w:val="left" w:pos="5760"/>
        </w:tabs>
        <w:ind w:left="720" w:hanging="720"/>
      </w:pPr>
      <w:r w:rsidRPr="00E54F86">
        <w:t>5.14</w:t>
      </w:r>
      <w:r w:rsidRPr="00E54F86">
        <w:tab/>
        <w:t>Remote monitoring camera</w:t>
      </w:r>
    </w:p>
    <w:p w14:paraId="74FCBA8D" w14:textId="77777777" w:rsidR="00205F50" w:rsidRPr="00E54F86" w:rsidRDefault="00205F50" w:rsidP="00205F50">
      <w:pPr>
        <w:tabs>
          <w:tab w:val="left" w:pos="5760"/>
        </w:tabs>
        <w:ind w:left="720" w:hanging="720"/>
      </w:pPr>
      <w:r>
        <w:t>5.15</w:t>
      </w:r>
      <w:r>
        <w:tab/>
      </w:r>
      <w:r w:rsidRPr="00E54F86">
        <w:t>laptop</w:t>
      </w:r>
    </w:p>
    <w:p w14:paraId="1E8DB4B3" w14:textId="77777777" w:rsidR="00205F50" w:rsidRPr="00E54F86" w:rsidRDefault="00205F50" w:rsidP="00205F50">
      <w:pPr>
        <w:tabs>
          <w:tab w:val="left" w:pos="5760"/>
        </w:tabs>
        <w:ind w:left="720" w:hanging="720"/>
      </w:pPr>
      <w:r w:rsidRPr="00E54F86">
        <w:t>5.16</w:t>
      </w:r>
      <w:r w:rsidRPr="00E54F86">
        <w:tab/>
        <w:t>Hemacytometer</w:t>
      </w:r>
    </w:p>
    <w:p w14:paraId="3D5A0C12" w14:textId="77777777" w:rsidR="00205F50" w:rsidRPr="00E54F86" w:rsidRDefault="00205F50" w:rsidP="00205F50">
      <w:pPr>
        <w:pStyle w:val="ListParagraph"/>
        <w:jc w:val="both"/>
        <w:rPr>
          <w:rFonts w:ascii="Times New Roman" w:hAnsi="Times New Roman"/>
          <w:b/>
          <w:szCs w:val="24"/>
        </w:rPr>
      </w:pPr>
    </w:p>
    <w:p w14:paraId="428DEE99"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lastRenderedPageBreak/>
        <w:t>Forms/Requisitions/Labels/Log Book</w:t>
      </w:r>
    </w:p>
    <w:p w14:paraId="5A07382D" w14:textId="77777777" w:rsidR="00205F50" w:rsidRPr="00E54F86" w:rsidRDefault="00205F50" w:rsidP="00205F50">
      <w:pPr>
        <w:jc w:val="both"/>
        <w:rPr>
          <w:rFonts w:ascii="Times New Roman" w:hAnsi="Times New Roman"/>
          <w:b/>
          <w:color w:val="BFBFBF" w:themeColor="background1" w:themeShade="BF"/>
          <w:sz w:val="28"/>
          <w:szCs w:val="28"/>
        </w:rPr>
      </w:pPr>
    </w:p>
    <w:p w14:paraId="6202F2F5" w14:textId="77777777" w:rsidR="00205F50" w:rsidRPr="00E54F86" w:rsidRDefault="00205F50" w:rsidP="00205F50">
      <w:pPr>
        <w:tabs>
          <w:tab w:val="left" w:pos="5760"/>
        </w:tabs>
        <w:ind w:left="720" w:hanging="720"/>
      </w:pPr>
      <w:r w:rsidRPr="00E54F86">
        <w:t>6.1</w:t>
      </w:r>
      <w:r w:rsidRPr="00E54F86">
        <w:tab/>
        <w:t>Physician's order</w:t>
      </w:r>
    </w:p>
    <w:p w14:paraId="262F8E54" w14:textId="77777777" w:rsidR="00205F50" w:rsidRPr="00E54F86" w:rsidRDefault="00205F50" w:rsidP="00205F50">
      <w:pPr>
        <w:tabs>
          <w:tab w:val="left" w:pos="5760"/>
        </w:tabs>
        <w:ind w:left="720" w:hanging="720"/>
      </w:pPr>
      <w:r w:rsidRPr="00E54F86">
        <w:t>6.2</w:t>
      </w:r>
      <w:r w:rsidRPr="00E54F86">
        <w:tab/>
        <w:t>Processing record review form</w:t>
      </w:r>
    </w:p>
    <w:p w14:paraId="0973E085" w14:textId="77777777" w:rsidR="00205F50" w:rsidRPr="00E54F86" w:rsidRDefault="00205F50" w:rsidP="00205F50">
      <w:pPr>
        <w:tabs>
          <w:tab w:val="left" w:pos="5760"/>
        </w:tabs>
        <w:ind w:left="720" w:hanging="720"/>
      </w:pPr>
      <w:r w:rsidRPr="00E54F86">
        <w:t>6.3</w:t>
      </w:r>
      <w:r w:rsidRPr="00E54F86">
        <w:tab/>
        <w:t>Acceptance of a stem cell product form</w:t>
      </w:r>
    </w:p>
    <w:p w14:paraId="3D79040A" w14:textId="77777777" w:rsidR="00205F50" w:rsidRPr="00E54F86" w:rsidRDefault="00205F50" w:rsidP="00205F50">
      <w:pPr>
        <w:tabs>
          <w:tab w:val="left" w:pos="5760"/>
        </w:tabs>
        <w:ind w:left="720" w:hanging="720"/>
      </w:pPr>
      <w:r w:rsidRPr="00E54F86">
        <w:t>6.4</w:t>
      </w:r>
      <w:r w:rsidRPr="00E54F86">
        <w:tab/>
        <w:t>Blood Bank acceptance of a stem cell product (if applicable)</w:t>
      </w:r>
    </w:p>
    <w:p w14:paraId="669CD689" w14:textId="77777777" w:rsidR="00205F50" w:rsidRPr="00E54F86" w:rsidRDefault="00205F50" w:rsidP="00205F50">
      <w:pPr>
        <w:tabs>
          <w:tab w:val="left" w:pos="5760"/>
        </w:tabs>
        <w:ind w:left="720" w:hanging="720"/>
      </w:pPr>
      <w:r w:rsidRPr="00E54F86">
        <w:t>6.3</w:t>
      </w:r>
      <w:r w:rsidRPr="00E54F86">
        <w:tab/>
        <w:t xml:space="preserve">Stem Cell Product release form (for products infused fresh) </w:t>
      </w:r>
    </w:p>
    <w:p w14:paraId="29DF3CFB" w14:textId="77777777" w:rsidR="00205F50" w:rsidRPr="009A66EA" w:rsidRDefault="00205F50" w:rsidP="00205F50">
      <w:pPr>
        <w:ind w:left="720" w:hanging="720"/>
      </w:pPr>
      <w:r w:rsidRPr="00E54F86">
        <w:t>6.4</w:t>
      </w:r>
      <w:r w:rsidRPr="00E54F86">
        <w:tab/>
        <w:t>Infusion form (for products infused fresh)</w:t>
      </w:r>
    </w:p>
    <w:p w14:paraId="743342A5" w14:textId="77777777" w:rsidR="00205F50" w:rsidRPr="00887B52" w:rsidRDefault="00205F50" w:rsidP="00205F50">
      <w:pPr>
        <w:pStyle w:val="Footer"/>
        <w:spacing w:after="200" w:line="276" w:lineRule="auto"/>
        <w:ind w:left="720" w:hanging="720"/>
      </w:pPr>
      <w:r w:rsidRPr="00887B52">
        <w:t>6.5</w:t>
      </w:r>
      <w:r w:rsidRPr="00887B52">
        <w:tab/>
      </w:r>
      <w:r w:rsidRPr="00887B52">
        <w:rPr>
          <w:szCs w:val="24"/>
        </w:rPr>
        <w:t>vCTL manufacturing</w:t>
      </w:r>
      <w:r w:rsidRPr="00887B52">
        <w:t xml:space="preserve"> flowsheets</w:t>
      </w:r>
    </w:p>
    <w:p w14:paraId="6D90AF7F" w14:textId="77777777" w:rsidR="00205F50" w:rsidRPr="009A66EA" w:rsidRDefault="00205F50" w:rsidP="00205F50">
      <w:pPr>
        <w:tabs>
          <w:tab w:val="left" w:pos="5760"/>
        </w:tabs>
        <w:ind w:left="720" w:hanging="720"/>
      </w:pPr>
      <w:r w:rsidRPr="009A66EA">
        <w:t>6.6</w:t>
      </w:r>
      <w:r w:rsidRPr="009A66EA">
        <w:tab/>
        <w:t>Microbiology requisitions</w:t>
      </w:r>
    </w:p>
    <w:p w14:paraId="62A98934" w14:textId="77777777" w:rsidR="00205F50" w:rsidRPr="00887B52" w:rsidRDefault="00205F50" w:rsidP="00205F50">
      <w:pPr>
        <w:pStyle w:val="Footer"/>
        <w:spacing w:after="200" w:line="276" w:lineRule="auto"/>
        <w:ind w:left="720" w:hanging="720"/>
      </w:pPr>
      <w:r w:rsidRPr="00887B52">
        <w:t>6.7</w:t>
      </w:r>
      <w:r w:rsidRPr="00887B52">
        <w:tab/>
        <w:t>Blood Bank requisitions</w:t>
      </w:r>
    </w:p>
    <w:p w14:paraId="1D0189A7" w14:textId="77777777" w:rsidR="00205F50" w:rsidRPr="00887B52" w:rsidRDefault="00205F50" w:rsidP="00205F50">
      <w:pPr>
        <w:pStyle w:val="Footer"/>
        <w:tabs>
          <w:tab w:val="left" w:pos="5760"/>
        </w:tabs>
        <w:spacing w:after="200" w:line="276" w:lineRule="auto"/>
        <w:ind w:left="720" w:hanging="720"/>
      </w:pPr>
      <w:r w:rsidRPr="00887B52">
        <w:t xml:space="preserve">6.8  </w:t>
      </w:r>
      <w:r w:rsidRPr="00887B52">
        <w:tab/>
        <w:t>Hematology requisitions</w:t>
      </w:r>
    </w:p>
    <w:p w14:paraId="5F0A8583" w14:textId="77777777" w:rsidR="00205F50" w:rsidRPr="00887B52" w:rsidRDefault="00205F50" w:rsidP="00205F50">
      <w:pPr>
        <w:pStyle w:val="Footer"/>
        <w:tabs>
          <w:tab w:val="left" w:pos="5760"/>
        </w:tabs>
        <w:spacing w:after="200" w:line="276" w:lineRule="auto"/>
        <w:ind w:left="720" w:hanging="720"/>
      </w:pPr>
      <w:r w:rsidRPr="00887B52">
        <w:t>6.9</w:t>
      </w:r>
      <w:r w:rsidRPr="00887B52">
        <w:tab/>
        <w:t>Endotoxin requisition form</w:t>
      </w:r>
    </w:p>
    <w:p w14:paraId="31B0D51F" w14:textId="77777777" w:rsidR="00205F50" w:rsidRPr="00887B52" w:rsidRDefault="00205F50" w:rsidP="00205F50">
      <w:pPr>
        <w:pStyle w:val="Footer"/>
        <w:spacing w:after="200" w:line="276" w:lineRule="auto"/>
        <w:ind w:left="720" w:hanging="720"/>
      </w:pPr>
      <w:r w:rsidRPr="00887B52">
        <w:t>6.10</w:t>
      </w:r>
      <w:r w:rsidRPr="00887B52">
        <w:tab/>
        <w:t>LABS requisition form</w:t>
      </w:r>
    </w:p>
    <w:p w14:paraId="67ECDAA1" w14:textId="77777777" w:rsidR="00205F50" w:rsidRPr="009A66EA" w:rsidRDefault="00205F50" w:rsidP="00205F50">
      <w:pPr>
        <w:tabs>
          <w:tab w:val="left" w:pos="5760"/>
        </w:tabs>
        <w:ind w:left="720" w:hanging="720"/>
      </w:pPr>
      <w:r w:rsidRPr="009A66EA">
        <w:t xml:space="preserve">6.11 </w:t>
      </w:r>
      <w:r w:rsidRPr="009A66EA">
        <w:tab/>
        <w:t xml:space="preserve">Patient's identification labels </w:t>
      </w:r>
    </w:p>
    <w:p w14:paraId="048C4090" w14:textId="77777777" w:rsidR="00205F50" w:rsidRPr="00887B52" w:rsidRDefault="00205F50" w:rsidP="00205F50">
      <w:pPr>
        <w:pStyle w:val="Footer"/>
        <w:tabs>
          <w:tab w:val="left" w:pos="540"/>
          <w:tab w:val="left" w:pos="5760"/>
        </w:tabs>
        <w:spacing w:after="200" w:line="276" w:lineRule="auto"/>
        <w:ind w:left="720" w:hanging="720"/>
      </w:pPr>
      <w:r w:rsidRPr="00887B52">
        <w:t xml:space="preserve">6.12 </w:t>
      </w:r>
      <w:r w:rsidRPr="00887B52">
        <w:tab/>
      </w:r>
      <w:r w:rsidRPr="00887B52">
        <w:tab/>
        <w:t>Intermediate labels</w:t>
      </w:r>
    </w:p>
    <w:p w14:paraId="13958146" w14:textId="77777777" w:rsidR="00205F50" w:rsidRPr="00887B52" w:rsidRDefault="00205F50" w:rsidP="00205F50">
      <w:pPr>
        <w:pStyle w:val="Footer"/>
        <w:tabs>
          <w:tab w:val="left" w:pos="540"/>
          <w:tab w:val="left" w:pos="5760"/>
        </w:tabs>
        <w:spacing w:after="200" w:line="276" w:lineRule="auto"/>
        <w:ind w:left="720" w:hanging="720"/>
      </w:pPr>
      <w:r w:rsidRPr="00887B52">
        <w:t>6.13</w:t>
      </w:r>
      <w:r w:rsidRPr="00887B52">
        <w:tab/>
      </w:r>
      <w:r w:rsidRPr="00887B52">
        <w:tab/>
        <w:t>Certificate of analysis</w:t>
      </w:r>
    </w:p>
    <w:p w14:paraId="698D0D4E" w14:textId="77777777" w:rsidR="00205F50" w:rsidRPr="009A66EA" w:rsidRDefault="00205F50" w:rsidP="00205F50">
      <w:pPr>
        <w:tabs>
          <w:tab w:val="left" w:pos="5760"/>
        </w:tabs>
      </w:pPr>
    </w:p>
    <w:p w14:paraId="63444FFC" w14:textId="77777777" w:rsidR="00205F50" w:rsidRPr="00E54F86" w:rsidRDefault="00205F50" w:rsidP="00205F50">
      <w:pPr>
        <w:pStyle w:val="ListParagraph"/>
        <w:jc w:val="both"/>
        <w:rPr>
          <w:rFonts w:ascii="Times New Roman" w:hAnsi="Times New Roman"/>
          <w:b/>
          <w:szCs w:val="24"/>
        </w:rPr>
      </w:pPr>
    </w:p>
    <w:p w14:paraId="4EBD70E7"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54A13F82" w14:textId="77777777" w:rsidR="00205F50" w:rsidRPr="00E54F86" w:rsidRDefault="00205F50" w:rsidP="00205F50">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490E4627" w14:textId="77777777" w:rsidR="00205F50" w:rsidRPr="00887B52" w:rsidRDefault="00205F50" w:rsidP="00205F50">
      <w:pPr>
        <w:pStyle w:val="BodyTextIndent"/>
        <w:rPr>
          <w:rFonts w:asciiTheme="minorHAnsi" w:hAnsiTheme="minorHAnsi"/>
          <w:b/>
          <w:sz w:val="22"/>
          <w:szCs w:val="22"/>
          <w:u w:val="single"/>
        </w:rPr>
      </w:pPr>
      <w:r w:rsidRPr="00887B52">
        <w:rPr>
          <w:rFonts w:asciiTheme="minorHAnsi" w:hAnsiTheme="minorHAnsi"/>
          <w:b/>
          <w:sz w:val="22"/>
          <w:szCs w:val="22"/>
          <w:u w:val="single"/>
        </w:rPr>
        <w:t>vCTL manfacturing</w:t>
      </w:r>
      <w:r w:rsidRPr="00887B52">
        <w:rPr>
          <w:rFonts w:asciiTheme="minorHAnsi" w:hAnsiTheme="minorHAnsi"/>
          <w:b/>
          <w:sz w:val="22"/>
          <w:szCs w:val="22"/>
          <w:u w:val="single"/>
        </w:rPr>
        <w:tab/>
      </w:r>
    </w:p>
    <w:p w14:paraId="43A61D89" w14:textId="77777777" w:rsidR="00205F50" w:rsidRPr="00887B52" w:rsidRDefault="00205F50" w:rsidP="00205F50">
      <w:pPr>
        <w:pStyle w:val="BodyTextIndent"/>
        <w:ind w:left="720" w:hanging="720"/>
        <w:rPr>
          <w:rFonts w:asciiTheme="minorHAnsi" w:hAnsiTheme="minorHAnsi"/>
          <w:sz w:val="22"/>
          <w:szCs w:val="22"/>
        </w:rPr>
      </w:pPr>
    </w:p>
    <w:p w14:paraId="56C7E2AA" w14:textId="77777777" w:rsidR="00205F50" w:rsidRPr="00887B52" w:rsidRDefault="00205F50" w:rsidP="00205F50">
      <w:pPr>
        <w:pStyle w:val="BodyTextIndent"/>
        <w:ind w:left="720" w:hanging="720"/>
        <w:rPr>
          <w:rFonts w:asciiTheme="minorHAnsi" w:hAnsiTheme="minorHAnsi"/>
          <w:sz w:val="22"/>
          <w:szCs w:val="22"/>
        </w:rPr>
      </w:pPr>
      <w:r w:rsidRPr="00887B52">
        <w:rPr>
          <w:rFonts w:asciiTheme="minorHAnsi" w:hAnsiTheme="minorHAnsi"/>
          <w:sz w:val="22"/>
          <w:szCs w:val="22"/>
        </w:rPr>
        <w:t>7.1</w:t>
      </w:r>
      <w:r w:rsidRPr="00887B52">
        <w:rPr>
          <w:rFonts w:asciiTheme="minorHAnsi" w:hAnsiTheme="minorHAnsi"/>
          <w:sz w:val="22"/>
          <w:szCs w:val="22"/>
        </w:rPr>
        <w:tab/>
        <w:t>When the product is received in the laboratory, assign to it the unique identification and enter it in the log book. If the identification number had been assigned before the collection, enter the date the product was received.</w:t>
      </w:r>
    </w:p>
    <w:p w14:paraId="4D4F820D" w14:textId="77777777" w:rsidR="00205F50" w:rsidRPr="00E54F86" w:rsidRDefault="00205F50" w:rsidP="00205F50">
      <w:pPr>
        <w:pStyle w:val="BodyTextIndent"/>
        <w:ind w:left="0"/>
      </w:pPr>
    </w:p>
    <w:p w14:paraId="7E3D14F2" w14:textId="77777777" w:rsidR="00205F50" w:rsidRPr="00E54F86" w:rsidRDefault="00205F50" w:rsidP="00205F50">
      <w:pPr>
        <w:ind w:left="720" w:hanging="720"/>
        <w:rPr>
          <w:szCs w:val="26"/>
        </w:rPr>
      </w:pPr>
      <w:r w:rsidRPr="00E54F86">
        <w:t xml:space="preserve">7.2 </w:t>
      </w:r>
      <w:r w:rsidRPr="00E54F86">
        <w:tab/>
        <w:t>The cell product should be processed on the day of collection, if at all possible. When the product has to be stored overnight, store it per</w:t>
      </w:r>
      <w:r>
        <w:t xml:space="preserve"> institutional cryopreseration</w:t>
      </w:r>
      <w:r w:rsidRPr="00E54F86">
        <w:t xml:space="preserve"> SOP</w:t>
      </w:r>
      <w:r w:rsidRPr="00E54F86">
        <w:rPr>
          <w:szCs w:val="26"/>
        </w:rPr>
        <w:t xml:space="preserve">. </w:t>
      </w:r>
    </w:p>
    <w:p w14:paraId="08597B28" w14:textId="77777777" w:rsidR="00205F50" w:rsidRPr="00E54F86" w:rsidRDefault="00205F50" w:rsidP="00205F50">
      <w:pPr>
        <w:ind w:left="720" w:hanging="720"/>
        <w:rPr>
          <w:szCs w:val="26"/>
        </w:rPr>
      </w:pPr>
    </w:p>
    <w:p w14:paraId="6BD66F17" w14:textId="77777777" w:rsidR="00205F50" w:rsidRPr="00E54F86" w:rsidRDefault="00205F50" w:rsidP="00205F50">
      <w:pPr>
        <w:ind w:left="720" w:hanging="720"/>
      </w:pPr>
      <w:r w:rsidRPr="00E54F86">
        <w:rPr>
          <w:szCs w:val="26"/>
        </w:rPr>
        <w:t>7.3</w:t>
      </w:r>
      <w:r w:rsidRPr="00E54F86">
        <w:rPr>
          <w:szCs w:val="26"/>
        </w:rPr>
        <w:tab/>
      </w:r>
      <w:r w:rsidRPr="00E54F86">
        <w:t xml:space="preserve">Insert a bag access device into one of the bag ports.  Using a syringe, remove a small volume of product (5.0 ml) for sterility testing, for nucleated cell count, viability count, for CBC and differential.  </w:t>
      </w:r>
    </w:p>
    <w:p w14:paraId="1C70C316" w14:textId="77777777" w:rsidR="00205F50" w:rsidRPr="00E54F86" w:rsidRDefault="00205F50" w:rsidP="00205F50">
      <w:pPr>
        <w:ind w:left="720" w:hanging="720"/>
      </w:pPr>
    </w:p>
    <w:p w14:paraId="2CF8F50A" w14:textId="77777777" w:rsidR="00205F50" w:rsidRPr="00E54F86" w:rsidRDefault="00205F50" w:rsidP="00205F50">
      <w:pPr>
        <w:ind w:left="1440" w:hanging="720"/>
        <w:rPr>
          <w:szCs w:val="26"/>
        </w:rPr>
      </w:pPr>
      <w:r w:rsidRPr="00E54F86">
        <w:t>7.3.1</w:t>
      </w:r>
      <w:r w:rsidRPr="00E54F86">
        <w:tab/>
      </w:r>
      <w:r w:rsidRPr="00E54F86">
        <w:rPr>
          <w:szCs w:val="26"/>
        </w:rPr>
        <w:t>The cell concentration should not exceed 2.0 x 10</w:t>
      </w:r>
      <w:r w:rsidRPr="00E54F86">
        <w:rPr>
          <w:szCs w:val="26"/>
          <w:vertAlign w:val="superscript"/>
        </w:rPr>
        <w:t>8</w:t>
      </w:r>
      <w:r w:rsidRPr="00E54F86">
        <w:rPr>
          <w:szCs w:val="26"/>
        </w:rPr>
        <w:t>/ml during storage. Dilute the product in autologous plasma or in 5% HSA if needed.</w:t>
      </w:r>
    </w:p>
    <w:p w14:paraId="65DD5680" w14:textId="77777777" w:rsidR="00205F50" w:rsidRPr="00E54F86" w:rsidRDefault="00205F50" w:rsidP="00205F50">
      <w:pPr>
        <w:ind w:left="1440" w:hanging="720"/>
      </w:pPr>
    </w:p>
    <w:p w14:paraId="774C4C7B" w14:textId="77777777" w:rsidR="00205F50" w:rsidRPr="00E54F86" w:rsidRDefault="00205F50" w:rsidP="00205F50">
      <w:pPr>
        <w:tabs>
          <w:tab w:val="num" w:pos="540"/>
        </w:tabs>
        <w:ind w:left="720" w:hanging="720"/>
      </w:pPr>
      <w:r w:rsidRPr="00E54F86">
        <w:t>7.4</w:t>
      </w:r>
      <w:r w:rsidRPr="00E54F86">
        <w:tab/>
      </w:r>
      <w:r w:rsidRPr="00E54F86">
        <w:tab/>
        <w:t>Prepare processing buffer by making 0.5% (w/v) HSA into PBS/EDTA buffer.  So for a 3L bag, add 60ml of 25% HSA.  For a 1L bag, add 20ml.</w:t>
      </w:r>
    </w:p>
    <w:p w14:paraId="451EFEAC" w14:textId="77777777" w:rsidR="00205F50" w:rsidRPr="00E54F86" w:rsidRDefault="00205F50" w:rsidP="00205F50">
      <w:pPr>
        <w:pStyle w:val="BodyTextIndent"/>
      </w:pPr>
    </w:p>
    <w:p w14:paraId="511CED37" w14:textId="77777777" w:rsidR="00205F50" w:rsidRPr="00E54F86" w:rsidRDefault="00205F50" w:rsidP="00205F50">
      <w:pPr>
        <w:ind w:left="720" w:hanging="720"/>
      </w:pPr>
      <w:r w:rsidRPr="00E54F86">
        <w:t>7.5</w:t>
      </w:r>
      <w:r w:rsidRPr="00E54F86">
        <w:tab/>
        <w:t>Aliquot 1x10</w:t>
      </w:r>
      <w:r w:rsidRPr="00E54F86">
        <w:rPr>
          <w:vertAlign w:val="superscript"/>
        </w:rPr>
        <w:t>9</w:t>
      </w:r>
      <w:r w:rsidRPr="00E54F86">
        <w:t xml:space="preserve"> total nucleated cells for the manufacturing process on the Prodigy. </w:t>
      </w:r>
    </w:p>
    <w:p w14:paraId="5DC543ED" w14:textId="77777777" w:rsidR="00205F50" w:rsidRPr="00E54F86" w:rsidRDefault="00205F50" w:rsidP="00205F50">
      <w:pPr>
        <w:ind w:left="720" w:hanging="720"/>
      </w:pPr>
    </w:p>
    <w:p w14:paraId="73CBB8FB" w14:textId="77777777" w:rsidR="00205F50" w:rsidRPr="00E54F86" w:rsidRDefault="00205F50" w:rsidP="00205F50">
      <w:pPr>
        <w:ind w:left="1440" w:hanging="720"/>
      </w:pPr>
      <w:r w:rsidRPr="00E54F86">
        <w:t>7.5.1</w:t>
      </w:r>
      <w:r w:rsidRPr="00E54F86">
        <w:tab/>
        <w:t xml:space="preserve">If the product is a whole blood </w:t>
      </w:r>
      <w:r>
        <w:t>product</w:t>
      </w:r>
      <w:r w:rsidRPr="00E54F86">
        <w:t xml:space="preserve">, perform a RBC reduction using </w:t>
      </w:r>
      <w:r>
        <w:t>institutional RBC depletion SOPs</w:t>
      </w:r>
      <w:r w:rsidRPr="00E54F86">
        <w:t>.  Since the expected recovery is at least 23%, a minimum of 4.44 x10</w:t>
      </w:r>
      <w:r w:rsidRPr="00E54F86">
        <w:rPr>
          <w:vertAlign w:val="superscript"/>
        </w:rPr>
        <w:t>9</w:t>
      </w:r>
      <w:r w:rsidRPr="00E54F86">
        <w:t xml:space="preserve"> TNC is needed.</w:t>
      </w:r>
    </w:p>
    <w:p w14:paraId="698465E0" w14:textId="77777777" w:rsidR="00205F50" w:rsidRPr="00E54F86" w:rsidRDefault="00205F50" w:rsidP="00205F50">
      <w:pPr>
        <w:ind w:left="1440" w:hanging="720"/>
      </w:pPr>
      <w:r w:rsidRPr="00E54F86">
        <w:t>7.5.2</w:t>
      </w:r>
      <w:r w:rsidRPr="00E54F86">
        <w:tab/>
        <w:t>An apheresis product even with a high Hct generally does not require RBC reduction because the small volume needed to achieve 1x10</w:t>
      </w:r>
      <w:r w:rsidRPr="00E54F86">
        <w:rPr>
          <w:vertAlign w:val="superscript"/>
        </w:rPr>
        <w:t>9</w:t>
      </w:r>
      <w:r w:rsidRPr="00E54F86">
        <w:t xml:space="preserve"> cells.  </w:t>
      </w:r>
    </w:p>
    <w:p w14:paraId="17452369" w14:textId="77777777" w:rsidR="00205F50" w:rsidRPr="00E54F86" w:rsidRDefault="00205F50" w:rsidP="00205F50">
      <w:pPr>
        <w:ind w:left="1440" w:hanging="720"/>
      </w:pPr>
    </w:p>
    <w:p w14:paraId="526C2F3C" w14:textId="77777777" w:rsidR="00205F50" w:rsidRPr="00E54F86" w:rsidRDefault="00205F50" w:rsidP="00205F50">
      <w:pPr>
        <w:ind w:left="1440" w:hanging="720"/>
      </w:pPr>
      <w:r w:rsidRPr="00E54F86">
        <w:t>7.5.</w:t>
      </w:r>
      <w:r>
        <w:t>3</w:t>
      </w:r>
      <w:r w:rsidRPr="00E54F86">
        <w:tab/>
        <w:t>Final 1x10</w:t>
      </w:r>
      <w:r w:rsidRPr="00E54F86">
        <w:rPr>
          <w:vertAlign w:val="superscript"/>
        </w:rPr>
        <w:t>9</w:t>
      </w:r>
      <w:r w:rsidRPr="00E54F86">
        <w:t xml:space="preserve"> cells are diluted and/or resuspended in 75ml of processing buffer before loading onto Prodigy.</w:t>
      </w:r>
    </w:p>
    <w:p w14:paraId="1B5D0490" w14:textId="77777777" w:rsidR="00205F50" w:rsidRPr="00E54F86" w:rsidRDefault="00205F50" w:rsidP="00205F50">
      <w:pPr>
        <w:ind w:left="720" w:hanging="720"/>
      </w:pPr>
    </w:p>
    <w:p w14:paraId="5A84D423" w14:textId="77777777" w:rsidR="00205F50" w:rsidRPr="00E54F86" w:rsidRDefault="00205F50" w:rsidP="00205F50">
      <w:pPr>
        <w:ind w:left="720" w:hanging="720"/>
      </w:pPr>
      <w:r w:rsidRPr="00E54F86">
        <w:t>7.6</w:t>
      </w:r>
      <w:r w:rsidRPr="00E54F86">
        <w:tab/>
        <w:t xml:space="preserve">Turn on the Prodigy and choose </w:t>
      </w:r>
      <w:r w:rsidRPr="00E54F86">
        <w:rPr>
          <w:b/>
        </w:rPr>
        <w:t>CCS-IFN enrichment</w:t>
      </w:r>
      <w:r w:rsidRPr="00E54F86">
        <w:t xml:space="preserve"> under the </w:t>
      </w:r>
      <w:r w:rsidRPr="00E54F86">
        <w:rPr>
          <w:b/>
        </w:rPr>
        <w:t>Process</w:t>
      </w:r>
      <w:r w:rsidRPr="00E54F86">
        <w:t xml:space="preserve"> tab.  Enter information as prompted using either 1) bar code scanner attached to the machine, or 2) manually using the onscreen keyboard brought out by touching </w:t>
      </w:r>
      <w:r w:rsidRPr="00E54F86">
        <w:rPr>
          <w:b/>
        </w:rPr>
        <w:t>Edit</w:t>
      </w:r>
      <w:r w:rsidRPr="00E54F86">
        <w:t xml:space="preserve"> to the right of the screen.  </w:t>
      </w:r>
    </w:p>
    <w:p w14:paraId="34CB3C06" w14:textId="77777777" w:rsidR="00205F50" w:rsidRPr="00E54F86" w:rsidRDefault="00205F50" w:rsidP="00205F50">
      <w:pPr>
        <w:ind w:left="720" w:hanging="720"/>
      </w:pPr>
    </w:p>
    <w:p w14:paraId="73CA8EF0" w14:textId="77777777" w:rsidR="00205F50" w:rsidRPr="00E54F86" w:rsidRDefault="00205F50" w:rsidP="00205F50">
      <w:pPr>
        <w:ind w:left="720" w:hanging="720"/>
      </w:pPr>
      <w:r w:rsidRPr="00E54F86">
        <w:t>7.7</w:t>
      </w:r>
      <w:r w:rsidRPr="00E54F86">
        <w:tab/>
        <w:t>Install the TS500 tubing set on the Prodigy following instructions on the computer screen.  While every step is clearly illustrated on the computer screen and in the overall picture below, the following areas warrant special attention:</w:t>
      </w:r>
    </w:p>
    <w:p w14:paraId="3CDA8872" w14:textId="77777777" w:rsidR="00205F50" w:rsidRPr="00E54F86" w:rsidRDefault="00205F50" w:rsidP="00205F50">
      <w:pPr>
        <w:ind w:left="720" w:hanging="720"/>
      </w:pPr>
    </w:p>
    <w:p w14:paraId="26B14F9D" w14:textId="77777777" w:rsidR="00205F50" w:rsidRPr="00E54F86" w:rsidRDefault="00205F50" w:rsidP="00205F50">
      <w:pPr>
        <w:ind w:left="720" w:hanging="720"/>
      </w:pPr>
      <w:r w:rsidRPr="00E54F86">
        <w:tab/>
        <w:t>7.7.1</w:t>
      </w:r>
      <w:r w:rsidRPr="00E54F86">
        <w:tab/>
        <w:t>Connections near valves 9, 10 and 12, and pre-column tubing placements.</w:t>
      </w:r>
    </w:p>
    <w:p w14:paraId="7B47F779" w14:textId="77777777" w:rsidR="00205F50" w:rsidRPr="00E54F86" w:rsidRDefault="00205F50" w:rsidP="00205F50">
      <w:pPr>
        <w:ind w:left="720" w:hanging="720"/>
      </w:pPr>
      <w:r w:rsidRPr="00E54F86">
        <w:tab/>
        <w:t>7.7.2</w:t>
      </w:r>
      <w:r w:rsidRPr="00E54F86">
        <w:tab/>
        <w:t>Tubing flow around the pump is opposite of those on the CliniMACS Plus.</w:t>
      </w:r>
    </w:p>
    <w:p w14:paraId="12EDDB10" w14:textId="77777777" w:rsidR="00205F50" w:rsidRPr="00E54F86" w:rsidRDefault="00205F50" w:rsidP="00205F50">
      <w:pPr>
        <w:ind w:left="1440" w:hanging="720"/>
      </w:pPr>
      <w:r w:rsidRPr="00E54F86">
        <w:t>7.7.3</w:t>
      </w:r>
      <w:r w:rsidRPr="00E54F86">
        <w:tab/>
        <w:t>When installing the Heat Exchange Cartridge (HEC) and Chamber into the CentriCult Unit (CCU), make sure 1) the top edge of HEC clicks into place, 2) the three tubings exiting the CCU fit comfortably thru the three slots, 3) the CCU also closes with a click.</w:t>
      </w:r>
    </w:p>
    <w:p w14:paraId="49F9C343" w14:textId="77777777" w:rsidR="00205F50" w:rsidRPr="00E54F86" w:rsidRDefault="00205F50" w:rsidP="00205F50">
      <w:pPr>
        <w:ind w:left="1440" w:hanging="720"/>
      </w:pPr>
      <w:r w:rsidRPr="00E54F86">
        <w:t>7.7.4</w:t>
      </w:r>
      <w:r w:rsidRPr="00E54F86">
        <w:tab/>
        <w:t>The waste bag is to be left on the bench due to expected large fill volume.</w:t>
      </w:r>
    </w:p>
    <w:p w14:paraId="0DC4C200" w14:textId="77777777" w:rsidR="00205F50" w:rsidRPr="00E54F86" w:rsidRDefault="00205F50" w:rsidP="00205F50">
      <w:pPr>
        <w:ind w:left="1440" w:hanging="720"/>
      </w:pPr>
      <w:r w:rsidRPr="00E54F86">
        <w:t>7.7.5</w:t>
      </w:r>
      <w:r w:rsidRPr="00E54F86">
        <w:tab/>
        <w:t>Tubing set must pass both the upper and lower part of integrity test.</w:t>
      </w:r>
    </w:p>
    <w:p w14:paraId="5053399D" w14:textId="77777777" w:rsidR="00205F50" w:rsidRPr="00E54F86" w:rsidRDefault="00205F50" w:rsidP="00205F50">
      <w:pPr>
        <w:ind w:left="1440" w:hanging="720"/>
      </w:pPr>
    </w:p>
    <w:p w14:paraId="23D61E0B" w14:textId="77777777" w:rsidR="00205F50" w:rsidRPr="00E54F86" w:rsidRDefault="00205F50" w:rsidP="00205F50">
      <w:pPr>
        <w:ind w:left="720" w:hanging="720"/>
      </w:pPr>
      <w:r w:rsidRPr="00E54F86">
        <w:t>7.8</w:t>
      </w:r>
      <w:r w:rsidRPr="00E54F86">
        <w:tab/>
        <w:t>After tubing set installation, the following steps are performed in order:</w:t>
      </w:r>
    </w:p>
    <w:p w14:paraId="684B55F3" w14:textId="77777777" w:rsidR="00205F50" w:rsidRPr="00E54F86" w:rsidRDefault="00205F50" w:rsidP="00205F50">
      <w:pPr>
        <w:ind w:left="720" w:hanging="720"/>
      </w:pPr>
      <w:r w:rsidRPr="00E54F86">
        <w:tab/>
        <w:t>7.8.1</w:t>
      </w:r>
      <w:r w:rsidRPr="00E54F86">
        <w:tab/>
        <w:t>Connect TexMACS media, 3L processing buffer and elution buffer (0.9% NaCl).</w:t>
      </w:r>
    </w:p>
    <w:p w14:paraId="2D2D2FD5" w14:textId="77777777" w:rsidR="00205F50" w:rsidRPr="00E54F86" w:rsidRDefault="00205F50" w:rsidP="00205F50">
      <w:pPr>
        <w:ind w:left="720" w:hanging="720"/>
      </w:pPr>
      <w:r w:rsidRPr="00E54F86">
        <w:tab/>
        <w:t>7.8.2</w:t>
      </w:r>
      <w:r w:rsidRPr="00E54F86">
        <w:tab/>
        <w:t>Priming, which takes ~30min</w:t>
      </w:r>
    </w:p>
    <w:p w14:paraId="3990CF14" w14:textId="77777777" w:rsidR="00205F50" w:rsidRPr="00E54F86" w:rsidRDefault="00205F50" w:rsidP="00205F50">
      <w:pPr>
        <w:ind w:left="1440" w:hanging="720"/>
      </w:pPr>
      <w:r w:rsidRPr="00E54F86">
        <w:t>7.8.3</w:t>
      </w:r>
      <w:r w:rsidRPr="00E54F86">
        <w:tab/>
        <w:t>200ml of elution buffer will have been transferred to the reservoir bag at this point.  Supplement with 2.5% HSA by adding 22ml of 25% HSA.</w:t>
      </w:r>
    </w:p>
    <w:p w14:paraId="0364FDCC" w14:textId="77777777" w:rsidR="00205F50" w:rsidRPr="00E54F86" w:rsidRDefault="00205F50" w:rsidP="00205F50">
      <w:pPr>
        <w:ind w:left="1440" w:hanging="720"/>
      </w:pPr>
    </w:p>
    <w:p w14:paraId="5469322E" w14:textId="77777777" w:rsidR="00205F50" w:rsidRPr="000B3347" w:rsidRDefault="00205F50" w:rsidP="00205F50">
      <w:pPr>
        <w:ind w:left="720" w:hanging="720"/>
      </w:pPr>
      <w:r w:rsidRPr="000B3347">
        <w:rPr>
          <w:noProof/>
        </w:rPr>
        <w:lastRenderedPageBreak/>
        <w:drawing>
          <wp:inline distT="0" distB="0" distL="0" distR="0" wp14:anchorId="14FA92AB" wp14:editId="6BD96D11">
            <wp:extent cx="5943600" cy="494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941570"/>
                    </a:xfrm>
                    <a:prstGeom prst="rect">
                      <a:avLst/>
                    </a:prstGeom>
                  </pic:spPr>
                </pic:pic>
              </a:graphicData>
            </a:graphic>
          </wp:inline>
        </w:drawing>
      </w:r>
    </w:p>
    <w:p w14:paraId="62B6FBF4" w14:textId="77777777" w:rsidR="00205F50" w:rsidRPr="00E54F86" w:rsidRDefault="00205F50" w:rsidP="00205F50">
      <w:pPr>
        <w:ind w:left="720" w:hanging="720"/>
      </w:pPr>
    </w:p>
    <w:p w14:paraId="20ECB967" w14:textId="77777777" w:rsidR="00205F50" w:rsidRPr="00E54F86" w:rsidRDefault="00205F50" w:rsidP="00205F50">
      <w:pPr>
        <w:ind w:left="720" w:hanging="720"/>
      </w:pPr>
      <w:r w:rsidRPr="00E54F86">
        <w:t>7.9</w:t>
      </w:r>
      <w:r w:rsidRPr="00E54F86">
        <w:tab/>
        <w:t>Add 1x10</w:t>
      </w:r>
      <w:r w:rsidRPr="00E54F86">
        <w:rPr>
          <w:vertAlign w:val="superscript"/>
        </w:rPr>
        <w:t>9</w:t>
      </w:r>
      <w:r w:rsidRPr="00E54F86">
        <w:t xml:space="preserve"> cells to the application bag.  Resuspend the cells with PBS/EDTA/0.5%HSA to a final volume of 75ml.  Sterile dock with the application bag to transfer the cells.  Seal off and remove the QC pouch attached to the application bag as it is of no use in this procedure.</w:t>
      </w:r>
    </w:p>
    <w:p w14:paraId="34915E43" w14:textId="77777777" w:rsidR="00205F50" w:rsidRPr="00E54F86" w:rsidRDefault="00205F50" w:rsidP="00205F50">
      <w:pPr>
        <w:ind w:left="720" w:hanging="720"/>
      </w:pPr>
    </w:p>
    <w:p w14:paraId="47DA12DF" w14:textId="77777777" w:rsidR="00205F50" w:rsidRPr="00E54F86" w:rsidRDefault="00205F50" w:rsidP="00205F50">
      <w:pPr>
        <w:ind w:left="720" w:hanging="720"/>
      </w:pPr>
      <w:r w:rsidRPr="00E54F86">
        <w:t>7.10</w:t>
      </w:r>
      <w:r w:rsidRPr="00E54F86">
        <w:tab/>
        <w:t>Add reconstituted antigens(s)</w:t>
      </w:r>
    </w:p>
    <w:p w14:paraId="1412C962" w14:textId="77777777" w:rsidR="00205F50" w:rsidRPr="00E54F86" w:rsidRDefault="00205F50" w:rsidP="00205F50">
      <w:pPr>
        <w:ind w:left="720" w:hanging="720"/>
      </w:pPr>
    </w:p>
    <w:p w14:paraId="2FC47C4F" w14:textId="77777777" w:rsidR="00205F50" w:rsidRPr="00E54F86" w:rsidRDefault="00205F50" w:rsidP="00205F50">
      <w:pPr>
        <w:ind w:left="1440" w:hanging="720"/>
        <w:rPr>
          <w:szCs w:val="17"/>
        </w:rPr>
      </w:pPr>
      <w:r w:rsidRPr="00E54F86">
        <w:rPr>
          <w:szCs w:val="17"/>
        </w:rPr>
        <w:t>7.10.1</w:t>
      </w:r>
      <w:r w:rsidRPr="00E54F86">
        <w:rPr>
          <w:szCs w:val="17"/>
        </w:rPr>
        <w:tab/>
        <w:t>Dissolve lyophilized Peptivator powder with 8ml of sterile water by directly injection into the vial.  Mix to dissolve and minimize bubble formation.</w:t>
      </w:r>
    </w:p>
    <w:p w14:paraId="1FE1B606" w14:textId="77777777" w:rsidR="00205F50" w:rsidRPr="00E54F86" w:rsidRDefault="00205F50" w:rsidP="00205F50">
      <w:pPr>
        <w:ind w:left="1440" w:hanging="720"/>
        <w:rPr>
          <w:szCs w:val="17"/>
        </w:rPr>
      </w:pPr>
      <w:r w:rsidRPr="00E54F86">
        <w:rPr>
          <w:szCs w:val="17"/>
        </w:rPr>
        <w:t>7.10.2</w:t>
      </w:r>
      <w:r w:rsidRPr="00E54F86">
        <w:rPr>
          <w:szCs w:val="17"/>
        </w:rPr>
        <w:tab/>
        <w:t>Up to 5 different Peptivators can be combined into one pool.  In this case, serially transfer the ~8ml volume from one vial to another until all are dissolved in one pool of ~8ml.</w:t>
      </w:r>
    </w:p>
    <w:p w14:paraId="3110B70F" w14:textId="77777777" w:rsidR="00205F50" w:rsidRPr="00E54F86" w:rsidRDefault="00205F50" w:rsidP="00205F50">
      <w:pPr>
        <w:ind w:left="720" w:hanging="720"/>
      </w:pPr>
    </w:p>
    <w:p w14:paraId="694B7ABC" w14:textId="77777777" w:rsidR="00205F50" w:rsidRPr="00E54F86" w:rsidRDefault="00205F50" w:rsidP="00205F50">
      <w:pPr>
        <w:ind w:left="720" w:hanging="720"/>
      </w:pPr>
      <w:r w:rsidRPr="00E54F86">
        <w:t>7.11</w:t>
      </w:r>
      <w:r w:rsidRPr="00E54F86">
        <w:tab/>
        <w:t>Connect CCS Catchmatrix and Enrichment reagents.</w:t>
      </w:r>
    </w:p>
    <w:p w14:paraId="0FB078A8" w14:textId="77777777" w:rsidR="00205F50" w:rsidRPr="00E54F86" w:rsidRDefault="00205F50" w:rsidP="00205F50">
      <w:pPr>
        <w:ind w:left="720" w:hanging="720"/>
      </w:pPr>
    </w:p>
    <w:p w14:paraId="00119043" w14:textId="77777777" w:rsidR="00205F50" w:rsidRPr="00E54F86" w:rsidRDefault="00205F50" w:rsidP="00205F50">
      <w:pPr>
        <w:ind w:left="720" w:hanging="720"/>
        <w:rPr>
          <w:szCs w:val="17"/>
        </w:rPr>
      </w:pPr>
      <w:r w:rsidRPr="00E54F86">
        <w:rPr>
          <w:szCs w:val="17"/>
        </w:rPr>
        <w:t>7.12</w:t>
      </w:r>
      <w:r w:rsidRPr="00E54F86">
        <w:rPr>
          <w:szCs w:val="17"/>
        </w:rPr>
        <w:tab/>
        <w:t>The processing will take about 12 hours, and is fully automated.  Processing end time can be specified to coincide within working hours, which will result in a delayed start controlled by the computer.  The entire process must not exceed 36 hours.</w:t>
      </w:r>
    </w:p>
    <w:p w14:paraId="3CD81BE7" w14:textId="77777777" w:rsidR="00205F50" w:rsidRPr="00E54F86" w:rsidRDefault="00205F50" w:rsidP="00205F50">
      <w:pPr>
        <w:ind w:left="720" w:hanging="720"/>
        <w:rPr>
          <w:szCs w:val="17"/>
        </w:rPr>
      </w:pPr>
    </w:p>
    <w:p w14:paraId="49B34449" w14:textId="77777777" w:rsidR="00205F50" w:rsidRPr="00E54F86" w:rsidRDefault="00205F50" w:rsidP="00205F50">
      <w:pPr>
        <w:ind w:left="1440" w:hanging="720"/>
        <w:rPr>
          <w:szCs w:val="17"/>
        </w:rPr>
      </w:pPr>
      <w:r w:rsidRPr="00E54F86">
        <w:rPr>
          <w:szCs w:val="17"/>
        </w:rPr>
        <w:lastRenderedPageBreak/>
        <w:t>7.12.1</w:t>
      </w:r>
      <w:r w:rsidRPr="00E54F86">
        <w:rPr>
          <w:szCs w:val="17"/>
        </w:rPr>
        <w:tab/>
        <w:t>A QC sample needs to be taken ~70 min before the end of processing.  Planning should ensure this time point also happens within working hours.</w:t>
      </w:r>
    </w:p>
    <w:p w14:paraId="7D4F840D" w14:textId="77777777" w:rsidR="00205F50" w:rsidRPr="00E54F86" w:rsidRDefault="00205F50" w:rsidP="00205F50">
      <w:pPr>
        <w:ind w:left="720" w:hanging="720"/>
        <w:rPr>
          <w:szCs w:val="17"/>
        </w:rPr>
      </w:pPr>
      <w:r w:rsidRPr="00E54F86">
        <w:rPr>
          <w:szCs w:val="17"/>
        </w:rPr>
        <w:t>7.13</w:t>
      </w:r>
      <w:r w:rsidRPr="00E54F86">
        <w:rPr>
          <w:szCs w:val="17"/>
        </w:rPr>
        <w:tab/>
        <w:t>~70min before end of processing, seal off the QC bag (antigen stimulated, but not yet IFN</w:t>
      </w:r>
      <w:r w:rsidRPr="00E54F86">
        <w:rPr>
          <w:rFonts w:ascii="Symbol" w:hAnsi="Symbol"/>
          <w:szCs w:val="17"/>
        </w:rPr>
        <w:t></w:t>
      </w:r>
      <w:r w:rsidRPr="00E54F86">
        <w:rPr>
          <w:szCs w:val="17"/>
        </w:rPr>
        <w:t xml:space="preserve"> enriched) and keep at 4C.  At the end of processing, collect the Target cells (TC) bag and non-target cell (NTC) bag, and analyze cell number and composition along with the saved QC.</w:t>
      </w:r>
    </w:p>
    <w:p w14:paraId="6E89D743" w14:textId="77777777" w:rsidR="00205F50" w:rsidRPr="00E54F86" w:rsidRDefault="00205F50" w:rsidP="00205F50">
      <w:pPr>
        <w:ind w:left="720" w:hanging="720"/>
        <w:rPr>
          <w:szCs w:val="17"/>
        </w:rPr>
      </w:pPr>
    </w:p>
    <w:p w14:paraId="39141EF3" w14:textId="77777777" w:rsidR="00205F50" w:rsidRPr="00E54F86" w:rsidRDefault="00205F50" w:rsidP="00205F50">
      <w:pPr>
        <w:ind w:left="1440" w:hanging="720"/>
      </w:pPr>
      <w:r w:rsidRPr="00E54F86">
        <w:rPr>
          <w:szCs w:val="17"/>
        </w:rPr>
        <w:t>7.13.1</w:t>
      </w:r>
      <w:r w:rsidRPr="00E54F86">
        <w:rPr>
          <w:szCs w:val="17"/>
        </w:rPr>
        <w:tab/>
        <w:t>The TC fraction will be ~7-8ml in volume and may contain as few as 10</w:t>
      </w:r>
      <w:r w:rsidRPr="00E54F86">
        <w:rPr>
          <w:szCs w:val="17"/>
          <w:vertAlign w:val="superscript"/>
        </w:rPr>
        <w:t>5</w:t>
      </w:r>
      <w:r w:rsidRPr="00E54F86">
        <w:rPr>
          <w:szCs w:val="17"/>
        </w:rPr>
        <w:t>-10</w:t>
      </w:r>
      <w:r w:rsidRPr="00E54F86">
        <w:rPr>
          <w:szCs w:val="17"/>
          <w:vertAlign w:val="superscript"/>
        </w:rPr>
        <w:t>6</w:t>
      </w:r>
      <w:r w:rsidRPr="00E54F86">
        <w:rPr>
          <w:szCs w:val="17"/>
        </w:rPr>
        <w:t xml:space="preserve"> cells.  Draw 1ml for the following uses: 0.5ml for flow and 0.5ml for expansion. Measure the remaining volume, and dilute with </w:t>
      </w:r>
      <w:r w:rsidRPr="00E54F86">
        <w:t>0.9% Sodium Chloride</w:t>
      </w:r>
      <w:r w:rsidRPr="00E54F86">
        <w:rPr>
          <w:szCs w:val="17"/>
        </w:rPr>
        <w:t xml:space="preserve"> with HSA (50 ml of 25% HSA in a 1000 ml bag of </w:t>
      </w:r>
      <w:r w:rsidRPr="00E54F86">
        <w:t>0.9% Sodium Chloride) to a final volume of 33ml.</w:t>
      </w:r>
    </w:p>
    <w:p w14:paraId="53F4229F" w14:textId="77777777" w:rsidR="00205F50" w:rsidRPr="00E54F86" w:rsidRDefault="00205F50" w:rsidP="00205F50">
      <w:pPr>
        <w:ind w:left="1440" w:hanging="720"/>
        <w:rPr>
          <w:szCs w:val="17"/>
        </w:rPr>
      </w:pPr>
      <w:r w:rsidRPr="00E54F86">
        <w:rPr>
          <w:szCs w:val="17"/>
        </w:rPr>
        <w:t>7.13.2</w:t>
      </w:r>
      <w:r w:rsidRPr="00E54F86">
        <w:rPr>
          <w:szCs w:val="17"/>
        </w:rPr>
        <w:tab/>
        <w:t xml:space="preserve">The QC bag contains a sample of 100ml Original fraction (ORI) of the pre-enriched cells.  Perform cell count and flow analysis. </w:t>
      </w:r>
    </w:p>
    <w:p w14:paraId="57E11F80" w14:textId="77777777" w:rsidR="00205F50" w:rsidRPr="00E54F86" w:rsidRDefault="00205F50" w:rsidP="00205F50">
      <w:pPr>
        <w:ind w:left="1440" w:hanging="720"/>
        <w:rPr>
          <w:szCs w:val="17"/>
        </w:rPr>
      </w:pPr>
      <w:r w:rsidRPr="00E54F86">
        <w:rPr>
          <w:szCs w:val="17"/>
        </w:rPr>
        <w:t>7.13.3</w:t>
      </w:r>
      <w:r w:rsidRPr="00E54F86">
        <w:rPr>
          <w:szCs w:val="17"/>
        </w:rPr>
        <w:tab/>
        <w:t>Also perform cell count and analysis on the NTC.  The volume of NTC can be determined by either weighing or measuring with a syringe.  Save most of the NTC to use as feeder cells for expansion of the IFN</w:t>
      </w:r>
      <w:r w:rsidRPr="00E54F86">
        <w:rPr>
          <w:rFonts w:ascii="Symbol" w:hAnsi="Symbol"/>
          <w:szCs w:val="17"/>
        </w:rPr>
        <w:t></w:t>
      </w:r>
      <w:r w:rsidRPr="00E54F86">
        <w:rPr>
          <w:szCs w:val="17"/>
        </w:rPr>
        <w:t>+ cells. (See below)</w:t>
      </w:r>
    </w:p>
    <w:p w14:paraId="7282675C" w14:textId="77777777" w:rsidR="00205F50" w:rsidRPr="00E54F86" w:rsidRDefault="00205F50" w:rsidP="00205F50">
      <w:pPr>
        <w:ind w:left="720" w:hanging="720"/>
        <w:rPr>
          <w:szCs w:val="17"/>
        </w:rPr>
      </w:pPr>
    </w:p>
    <w:p w14:paraId="0FC429EA" w14:textId="77777777" w:rsidR="00205F50" w:rsidRPr="00E54F86" w:rsidRDefault="00205F50" w:rsidP="00205F50">
      <w:pPr>
        <w:ind w:left="720" w:hanging="720"/>
      </w:pPr>
      <w:r w:rsidRPr="00E54F86">
        <w:t>7.14</w:t>
      </w:r>
      <w:r w:rsidRPr="00E54F86">
        <w:tab/>
        <w:t>For the 0.5ml TC saved for flow, perform cell count and split the rest of the cells 90%-10%, and label them as TC1 and TC2, respectively.  Stain for flow as below:</w:t>
      </w:r>
    </w:p>
    <w:p w14:paraId="7388A24A" w14:textId="77777777" w:rsidR="00205F50" w:rsidRPr="00E54F86" w:rsidRDefault="00205F50" w:rsidP="00205F50">
      <w:pPr>
        <w:ind w:left="720" w:hanging="720"/>
        <w:rPr>
          <w:b/>
          <w:szCs w:val="17"/>
        </w:rPr>
      </w:pPr>
    </w:p>
    <w:p w14:paraId="5BC6D822" w14:textId="77777777" w:rsidR="00205F50" w:rsidRPr="00E54F86" w:rsidRDefault="00205F50" w:rsidP="00205F50">
      <w:pPr>
        <w:ind w:left="1440" w:hanging="720"/>
        <w:rPr>
          <w:szCs w:val="17"/>
        </w:rPr>
      </w:pPr>
      <w:r w:rsidRPr="00E54F86">
        <w:rPr>
          <w:szCs w:val="17"/>
        </w:rPr>
        <w:t>7.14.1</w:t>
      </w:r>
      <w:r w:rsidRPr="00E54F86">
        <w:rPr>
          <w:szCs w:val="17"/>
        </w:rPr>
        <w:tab/>
        <w:t xml:space="preserve">Add 0.5ml pre-chilled </w:t>
      </w:r>
      <w:r w:rsidRPr="00E54F86">
        <w:t xml:space="preserve">PBS/EDTA/0.5% HSA </w:t>
      </w:r>
      <w:r w:rsidRPr="00E54F86">
        <w:rPr>
          <w:szCs w:val="17"/>
        </w:rPr>
        <w:t>and centrifuge at 2700rpm x 5min.</w:t>
      </w:r>
    </w:p>
    <w:p w14:paraId="765E75E0" w14:textId="77777777" w:rsidR="00205F50" w:rsidRPr="00E54F86" w:rsidRDefault="00205F50" w:rsidP="00205F50">
      <w:pPr>
        <w:ind w:left="1440" w:hanging="720"/>
      </w:pPr>
      <w:r w:rsidRPr="00E54F86">
        <w:rPr>
          <w:szCs w:val="17"/>
        </w:rPr>
        <w:t>7.14.2</w:t>
      </w:r>
      <w:r w:rsidRPr="00E54F86">
        <w:rPr>
          <w:szCs w:val="17"/>
        </w:rPr>
        <w:tab/>
        <w:t>Make a master mix of (</w:t>
      </w:r>
      <w:r w:rsidRPr="00E54F86">
        <w:t>90</w:t>
      </w:r>
      <w:r w:rsidRPr="00E54F86">
        <w:rPr>
          <w:rFonts w:ascii="Symbol" w:hAnsi="Symbol"/>
          <w:color w:val="000000"/>
        </w:rPr>
        <w:t></w:t>
      </w:r>
      <w:r w:rsidRPr="00E54F86">
        <w:rPr>
          <w:color w:val="000000"/>
        </w:rPr>
        <w:t>l</w:t>
      </w:r>
      <w:r w:rsidRPr="00E54F86">
        <w:t xml:space="preserve"> cold PBS/EDTA/0.5% HSA + 10</w:t>
      </w:r>
      <w:r w:rsidRPr="00E54F86">
        <w:rPr>
          <w:rFonts w:ascii="Symbol" w:hAnsi="Symbol"/>
          <w:color w:val="000000"/>
        </w:rPr>
        <w:t></w:t>
      </w:r>
      <w:r w:rsidRPr="00E54F86">
        <w:rPr>
          <w:color w:val="000000"/>
        </w:rPr>
        <w:t>l</w:t>
      </w:r>
      <w:r w:rsidRPr="00E54F86">
        <w:t xml:space="preserve"> IFN</w:t>
      </w:r>
      <w:r w:rsidRPr="00E54F86">
        <w:rPr>
          <w:rFonts w:ascii="Symbol" w:hAnsi="Symbol"/>
        </w:rPr>
        <w:t></w:t>
      </w:r>
      <w:r w:rsidRPr="00E54F86">
        <w:rPr>
          <w:rFonts w:ascii="Symbol" w:hAnsi="Symbol"/>
        </w:rPr>
        <w:t></w:t>
      </w:r>
      <w:r w:rsidRPr="00E54F86">
        <w:t>(PE) antibody + 10</w:t>
      </w:r>
      <w:r w:rsidRPr="00E54F86">
        <w:rPr>
          <w:rFonts w:ascii="Symbol" w:hAnsi="Symbol"/>
          <w:color w:val="000000"/>
        </w:rPr>
        <w:t></w:t>
      </w:r>
      <w:r w:rsidRPr="00E54F86">
        <w:rPr>
          <w:color w:val="000000"/>
        </w:rPr>
        <w:t>l</w:t>
      </w:r>
      <w:r w:rsidRPr="00E54F86">
        <w:t xml:space="preserve"> T Cell Detection Cocktail from the Rapid Cytokine Inspector (RCI) kit) x 3.  Add the 110</w:t>
      </w:r>
      <w:r w:rsidRPr="00E54F86">
        <w:rPr>
          <w:rFonts w:ascii="Symbol" w:hAnsi="Symbol"/>
          <w:color w:val="000000"/>
        </w:rPr>
        <w:t></w:t>
      </w:r>
      <w:r w:rsidRPr="00E54F86">
        <w:rPr>
          <w:color w:val="000000"/>
        </w:rPr>
        <w:t>l</w:t>
      </w:r>
      <w:r w:rsidRPr="00E54F86">
        <w:t xml:space="preserve"> to three cell samples, (TC1 (90%), NTC, and ORI) and resuspend.  For TC2 (10%), add CD45-FITC, CD3-PE antibodies.  Incubate at 4C x 10min.</w:t>
      </w:r>
    </w:p>
    <w:p w14:paraId="20DD174D" w14:textId="77777777" w:rsidR="00205F50" w:rsidRPr="00E54F86" w:rsidRDefault="00205F50" w:rsidP="00205F50">
      <w:pPr>
        <w:ind w:left="1440" w:hanging="720"/>
      </w:pPr>
      <w:r w:rsidRPr="00E54F86">
        <w:t>7.14.3</w:t>
      </w:r>
      <w:r w:rsidRPr="00E54F86">
        <w:tab/>
        <w:t>Add 1ml of RBC lysis solution to all 4 and incubate 10min at room temp.</w:t>
      </w:r>
    </w:p>
    <w:p w14:paraId="5CD3A170" w14:textId="77777777" w:rsidR="00205F50" w:rsidRPr="00E54F86" w:rsidRDefault="00205F50" w:rsidP="00205F50">
      <w:pPr>
        <w:ind w:left="1440" w:hanging="720"/>
      </w:pPr>
      <w:r w:rsidRPr="00E54F86">
        <w:t>7.14.4</w:t>
      </w:r>
      <w:r w:rsidRPr="00E54F86">
        <w:tab/>
      </w:r>
      <w:r w:rsidRPr="00E54F86">
        <w:rPr>
          <w:szCs w:val="17"/>
        </w:rPr>
        <w:t>Centrifuge at 2700rpm x 5min.</w:t>
      </w:r>
      <w:r w:rsidRPr="00E54F86">
        <w:t xml:space="preserve"> Remove supernatant carefully, and resuspend cells in 0.5ml PBS/EDTA/0.5% HSA.  Add 5</w:t>
      </w:r>
      <w:r w:rsidRPr="00E54F86">
        <w:rPr>
          <w:rFonts w:ascii="Symbol" w:hAnsi="Symbol"/>
        </w:rPr>
        <w:t></w:t>
      </w:r>
      <w:r w:rsidRPr="00E54F86">
        <w:t>l 7AAD (0.05mg/ml) to a final concentration of ~0.5</w:t>
      </w:r>
      <w:r w:rsidRPr="00E54F86">
        <w:rPr>
          <w:rFonts w:ascii="Symbol" w:hAnsi="Symbol"/>
        </w:rPr>
        <w:t></w:t>
      </w:r>
      <w:r w:rsidRPr="00E54F86">
        <w:t xml:space="preserve">g/ml and perform flow analysis following </w:t>
      </w:r>
      <w:r>
        <w:t xml:space="preserve">institutional </w:t>
      </w:r>
      <w:r w:rsidRPr="00E67938">
        <w:t>SOP</w:t>
      </w:r>
      <w:r w:rsidRPr="00887B52">
        <w:t>s</w:t>
      </w:r>
      <w:r w:rsidRPr="00AA0C40">
        <w:t>.</w:t>
      </w:r>
    </w:p>
    <w:p w14:paraId="3DE535EE" w14:textId="77777777" w:rsidR="00205F50" w:rsidRPr="00E54F86" w:rsidRDefault="00205F50" w:rsidP="00205F50">
      <w:pPr>
        <w:ind w:left="1440" w:hanging="720"/>
        <w:rPr>
          <w:szCs w:val="17"/>
        </w:rPr>
      </w:pPr>
    </w:p>
    <w:p w14:paraId="1D52C90C" w14:textId="77777777" w:rsidR="00205F50" w:rsidRPr="00E54F86" w:rsidRDefault="00205F50" w:rsidP="00205F50">
      <w:pPr>
        <w:ind w:left="720" w:hanging="720"/>
      </w:pPr>
      <w:r w:rsidRPr="00E54F86">
        <w:t>7.15</w:t>
      </w:r>
      <w:r w:rsidRPr="00E54F86">
        <w:tab/>
        <w:t>For the ORI and NTC fractions, there are sufficient cells to perform flow as normal samples.  Pellet 1-2x10</w:t>
      </w:r>
      <w:r w:rsidRPr="00E54F86">
        <w:rPr>
          <w:vertAlign w:val="superscript"/>
        </w:rPr>
        <w:t>6</w:t>
      </w:r>
      <w:r w:rsidRPr="00E54F86">
        <w:t xml:space="preserve"> cells and stain with TC together starting from 7.15.2.</w:t>
      </w:r>
    </w:p>
    <w:p w14:paraId="0BF7A62F" w14:textId="77777777" w:rsidR="00205F50" w:rsidRPr="00E54F86" w:rsidRDefault="00205F50" w:rsidP="00205F50">
      <w:pPr>
        <w:ind w:left="720" w:hanging="720"/>
      </w:pPr>
    </w:p>
    <w:p w14:paraId="36AEFDDD" w14:textId="77777777" w:rsidR="00205F50" w:rsidRPr="00E54F86" w:rsidRDefault="00205F50" w:rsidP="00205F50">
      <w:pPr>
        <w:ind w:left="1440" w:hanging="720"/>
      </w:pPr>
      <w:r w:rsidRPr="00E54F86">
        <w:rPr>
          <w:szCs w:val="17"/>
        </w:rPr>
        <w:t>7.15.1</w:t>
      </w:r>
      <w:r w:rsidRPr="00E54F86">
        <w:rPr>
          <w:szCs w:val="17"/>
        </w:rPr>
        <w:tab/>
      </w:r>
      <w:r w:rsidRPr="00E54F86">
        <w:t>With total cell number only in the tens of thousands for the TC sample, acquire as many events as possible. For ORI and NTC samples, acquire 250,000-500,000 events.</w:t>
      </w:r>
    </w:p>
    <w:p w14:paraId="724DE83D" w14:textId="77777777" w:rsidR="00205F50" w:rsidRPr="00E54F86" w:rsidRDefault="00205F50" w:rsidP="00205F50">
      <w:pPr>
        <w:ind w:left="1440" w:hanging="720"/>
      </w:pPr>
      <w:r w:rsidRPr="00E54F86">
        <w:t>7.15.2</w:t>
      </w:r>
      <w:r w:rsidRPr="00E54F86">
        <w:tab/>
        <w:t>Use same gating strategy as described in Donor PreScreening for Virus Specific Cytotoxic T Lymphocytes.</w:t>
      </w:r>
    </w:p>
    <w:p w14:paraId="31D36E03" w14:textId="77777777" w:rsidR="00205F50" w:rsidRPr="00E54F86" w:rsidRDefault="00205F50" w:rsidP="00205F50">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205F50" w:rsidRPr="00E54F86" w14:paraId="30A66080" w14:textId="77777777" w:rsidTr="002718C5">
        <w:tc>
          <w:tcPr>
            <w:tcW w:w="1368" w:type="dxa"/>
          </w:tcPr>
          <w:p w14:paraId="17303AB1" w14:textId="77777777" w:rsidR="00205F50" w:rsidRPr="00E54F86" w:rsidRDefault="00205F50" w:rsidP="002718C5"/>
        </w:tc>
        <w:tc>
          <w:tcPr>
            <w:tcW w:w="1615" w:type="dxa"/>
          </w:tcPr>
          <w:p w14:paraId="3048445C" w14:textId="77777777" w:rsidR="00205F50" w:rsidRPr="00E54F86" w:rsidRDefault="00205F50" w:rsidP="002718C5">
            <w:r w:rsidRPr="00E54F86">
              <w:t>VioBlue</w:t>
            </w:r>
          </w:p>
        </w:tc>
        <w:tc>
          <w:tcPr>
            <w:tcW w:w="1265" w:type="dxa"/>
          </w:tcPr>
          <w:p w14:paraId="5F734FC4" w14:textId="77777777" w:rsidR="00205F50" w:rsidRPr="00E54F86" w:rsidRDefault="00205F50" w:rsidP="002718C5">
            <w:r w:rsidRPr="00E54F86">
              <w:t>FITC</w:t>
            </w:r>
          </w:p>
        </w:tc>
        <w:tc>
          <w:tcPr>
            <w:tcW w:w="1350" w:type="dxa"/>
          </w:tcPr>
          <w:p w14:paraId="65C803F1" w14:textId="77777777" w:rsidR="00205F50" w:rsidRPr="00E54F86" w:rsidRDefault="00205F50" w:rsidP="002718C5">
            <w:r w:rsidRPr="00E54F86">
              <w:t>PE</w:t>
            </w:r>
          </w:p>
        </w:tc>
        <w:tc>
          <w:tcPr>
            <w:tcW w:w="1821" w:type="dxa"/>
          </w:tcPr>
          <w:p w14:paraId="454C2A6A" w14:textId="77777777" w:rsidR="00205F50" w:rsidRPr="00E54F86" w:rsidRDefault="00205F50" w:rsidP="002718C5">
            <w:r w:rsidRPr="00E54F86">
              <w:t>PerCP</w:t>
            </w:r>
          </w:p>
        </w:tc>
        <w:tc>
          <w:tcPr>
            <w:tcW w:w="1437" w:type="dxa"/>
          </w:tcPr>
          <w:p w14:paraId="1603F3A3" w14:textId="77777777" w:rsidR="00205F50" w:rsidRPr="00E54F86" w:rsidRDefault="00205F50" w:rsidP="002718C5">
            <w:r w:rsidRPr="00E54F86">
              <w:t>APC</w:t>
            </w:r>
          </w:p>
        </w:tc>
      </w:tr>
      <w:tr w:rsidR="00205F50" w:rsidRPr="00E54F86" w14:paraId="43D64CAD" w14:textId="77777777" w:rsidTr="002718C5">
        <w:tc>
          <w:tcPr>
            <w:tcW w:w="1368" w:type="dxa"/>
          </w:tcPr>
          <w:p w14:paraId="79D0CF62" w14:textId="77777777" w:rsidR="00205F50" w:rsidRPr="00E54F86" w:rsidRDefault="00205F50" w:rsidP="002718C5">
            <w:r w:rsidRPr="00E54F86">
              <w:t>RCI cocktail</w:t>
            </w:r>
          </w:p>
        </w:tc>
        <w:tc>
          <w:tcPr>
            <w:tcW w:w="1615" w:type="dxa"/>
          </w:tcPr>
          <w:p w14:paraId="5AB0EE57" w14:textId="77777777" w:rsidR="00205F50" w:rsidRPr="00E54F86" w:rsidRDefault="00205F50" w:rsidP="002718C5">
            <w:r w:rsidRPr="00E54F86">
              <w:t>CD3</w:t>
            </w:r>
          </w:p>
        </w:tc>
        <w:tc>
          <w:tcPr>
            <w:tcW w:w="1265" w:type="dxa"/>
          </w:tcPr>
          <w:p w14:paraId="50B476AA" w14:textId="77777777" w:rsidR="00205F50" w:rsidRPr="00E54F86" w:rsidRDefault="00205F50" w:rsidP="002718C5">
            <w:r w:rsidRPr="00E54F86">
              <w:t>CD8</w:t>
            </w:r>
          </w:p>
        </w:tc>
        <w:tc>
          <w:tcPr>
            <w:tcW w:w="1350" w:type="dxa"/>
          </w:tcPr>
          <w:p w14:paraId="363949A6" w14:textId="77777777" w:rsidR="00205F50" w:rsidRPr="00E54F86" w:rsidRDefault="00205F50" w:rsidP="002718C5">
            <w:r w:rsidRPr="00E54F86">
              <w:t>--</w:t>
            </w:r>
          </w:p>
        </w:tc>
        <w:tc>
          <w:tcPr>
            <w:tcW w:w="1821" w:type="dxa"/>
          </w:tcPr>
          <w:p w14:paraId="4ECB42BD" w14:textId="77777777" w:rsidR="00205F50" w:rsidRPr="00E54F86" w:rsidRDefault="00205F50" w:rsidP="002718C5">
            <w:r w:rsidRPr="00E54F86">
              <w:t>CD14/CD20</w:t>
            </w:r>
          </w:p>
        </w:tc>
        <w:tc>
          <w:tcPr>
            <w:tcW w:w="1437" w:type="dxa"/>
          </w:tcPr>
          <w:p w14:paraId="66CC39E7" w14:textId="77777777" w:rsidR="00205F50" w:rsidRPr="00E54F86" w:rsidRDefault="00205F50" w:rsidP="002718C5">
            <w:r w:rsidRPr="00E54F86">
              <w:t>CD4</w:t>
            </w:r>
          </w:p>
        </w:tc>
      </w:tr>
      <w:tr w:rsidR="00205F50" w:rsidRPr="00E54F86" w14:paraId="4BADE274" w14:textId="77777777" w:rsidTr="002718C5">
        <w:tc>
          <w:tcPr>
            <w:tcW w:w="1368" w:type="dxa"/>
          </w:tcPr>
          <w:p w14:paraId="0F48690F" w14:textId="77777777" w:rsidR="00205F50" w:rsidRPr="00E54F86" w:rsidRDefault="00205F50" w:rsidP="002718C5">
            <w:r w:rsidRPr="00E54F86">
              <w:t>Separate add</w:t>
            </w:r>
          </w:p>
        </w:tc>
        <w:tc>
          <w:tcPr>
            <w:tcW w:w="1615" w:type="dxa"/>
          </w:tcPr>
          <w:p w14:paraId="67F3209D" w14:textId="77777777" w:rsidR="00205F50" w:rsidRPr="00E54F86" w:rsidRDefault="00205F50" w:rsidP="002718C5">
            <w:r w:rsidRPr="00E54F86">
              <w:t>--</w:t>
            </w:r>
          </w:p>
        </w:tc>
        <w:tc>
          <w:tcPr>
            <w:tcW w:w="1265" w:type="dxa"/>
          </w:tcPr>
          <w:p w14:paraId="753721C4" w14:textId="77777777" w:rsidR="00205F50" w:rsidRPr="00E54F86" w:rsidRDefault="00205F50" w:rsidP="002718C5">
            <w:r w:rsidRPr="00E54F86">
              <w:t>--</w:t>
            </w:r>
          </w:p>
        </w:tc>
        <w:tc>
          <w:tcPr>
            <w:tcW w:w="1350" w:type="dxa"/>
          </w:tcPr>
          <w:p w14:paraId="5F174A45" w14:textId="77777777" w:rsidR="00205F50" w:rsidRPr="00E54F86" w:rsidRDefault="00205F50" w:rsidP="002718C5">
            <w:r w:rsidRPr="00E54F86">
              <w:t>IFN</w:t>
            </w:r>
            <w:r w:rsidRPr="00E54F86">
              <w:rPr>
                <w:rFonts w:ascii="Symbol" w:hAnsi="Symbol"/>
              </w:rPr>
              <w:t></w:t>
            </w:r>
          </w:p>
        </w:tc>
        <w:tc>
          <w:tcPr>
            <w:tcW w:w="1821" w:type="dxa"/>
          </w:tcPr>
          <w:p w14:paraId="1B8932D4" w14:textId="77777777" w:rsidR="00205F50" w:rsidRPr="00E54F86" w:rsidRDefault="00205F50" w:rsidP="002718C5">
            <w:r w:rsidRPr="00E54F86">
              <w:t>7AAD (just prior)</w:t>
            </w:r>
          </w:p>
        </w:tc>
        <w:tc>
          <w:tcPr>
            <w:tcW w:w="1437" w:type="dxa"/>
          </w:tcPr>
          <w:p w14:paraId="796FA8DB" w14:textId="77777777" w:rsidR="00205F50" w:rsidRPr="00E54F86" w:rsidRDefault="00205F50" w:rsidP="002718C5">
            <w:r w:rsidRPr="00E54F86">
              <w:t>--</w:t>
            </w:r>
          </w:p>
        </w:tc>
      </w:tr>
      <w:tr w:rsidR="00205F50" w:rsidRPr="00E54F86" w14:paraId="501552C9" w14:textId="77777777" w:rsidTr="002718C5">
        <w:tc>
          <w:tcPr>
            <w:tcW w:w="1368" w:type="dxa"/>
          </w:tcPr>
          <w:p w14:paraId="68D55095" w14:textId="77777777" w:rsidR="00205F50" w:rsidRPr="00E54F86" w:rsidRDefault="00205F50" w:rsidP="002718C5">
            <w:r w:rsidRPr="00E54F86">
              <w:t>Analysis</w:t>
            </w:r>
          </w:p>
        </w:tc>
        <w:tc>
          <w:tcPr>
            <w:tcW w:w="1615" w:type="dxa"/>
          </w:tcPr>
          <w:p w14:paraId="5A81592A" w14:textId="77777777" w:rsidR="00205F50" w:rsidRPr="00E54F86" w:rsidRDefault="00205F50" w:rsidP="002718C5">
            <w:r w:rsidRPr="00E54F86">
              <w:t>ND for Calibur</w:t>
            </w:r>
          </w:p>
        </w:tc>
        <w:tc>
          <w:tcPr>
            <w:tcW w:w="1265" w:type="dxa"/>
          </w:tcPr>
          <w:p w14:paraId="2F4695D2" w14:textId="77777777" w:rsidR="00205F50" w:rsidRPr="00E54F86" w:rsidRDefault="00205F50" w:rsidP="002718C5">
            <w:r w:rsidRPr="00E54F86">
              <w:t>CD8</w:t>
            </w:r>
          </w:p>
        </w:tc>
        <w:tc>
          <w:tcPr>
            <w:tcW w:w="1350" w:type="dxa"/>
          </w:tcPr>
          <w:p w14:paraId="41EE72E7" w14:textId="77777777" w:rsidR="00205F50" w:rsidRPr="00E54F86" w:rsidRDefault="00205F50" w:rsidP="002718C5">
            <w:r w:rsidRPr="00E54F86">
              <w:t>IFN</w:t>
            </w:r>
            <w:r w:rsidRPr="00E54F86">
              <w:rPr>
                <w:rFonts w:ascii="Symbol" w:hAnsi="Symbol"/>
              </w:rPr>
              <w:t></w:t>
            </w:r>
          </w:p>
        </w:tc>
        <w:tc>
          <w:tcPr>
            <w:tcW w:w="1821" w:type="dxa"/>
          </w:tcPr>
          <w:p w14:paraId="73BAEB0C" w14:textId="77777777" w:rsidR="00205F50" w:rsidRPr="00E54F86" w:rsidRDefault="00205F50" w:rsidP="002718C5">
            <w:r w:rsidRPr="00E54F86">
              <w:t>Exclusion gate</w:t>
            </w:r>
          </w:p>
        </w:tc>
        <w:tc>
          <w:tcPr>
            <w:tcW w:w="1437" w:type="dxa"/>
          </w:tcPr>
          <w:p w14:paraId="64D8111C" w14:textId="77777777" w:rsidR="00205F50" w:rsidRPr="00E54F86" w:rsidRDefault="00205F50" w:rsidP="002718C5">
            <w:r w:rsidRPr="00E54F86">
              <w:t>CD4</w:t>
            </w:r>
          </w:p>
        </w:tc>
      </w:tr>
    </w:tbl>
    <w:p w14:paraId="5D15CD46" w14:textId="77777777" w:rsidR="00205F50" w:rsidRPr="00E54F86" w:rsidRDefault="00205F50" w:rsidP="00205F50">
      <w:pPr>
        <w:ind w:left="720" w:hanging="720"/>
        <w:rPr>
          <w:szCs w:val="17"/>
        </w:rPr>
      </w:pPr>
    </w:p>
    <w:p w14:paraId="2870D19F" w14:textId="77777777" w:rsidR="00205F50" w:rsidRPr="00E54F86" w:rsidRDefault="00205F50" w:rsidP="00205F50">
      <w:pPr>
        <w:ind w:left="1440" w:hanging="720"/>
      </w:pPr>
      <w:r w:rsidRPr="00E54F86">
        <w:t>7.15.3</w:t>
      </w:r>
      <w:r w:rsidRPr="00E54F86">
        <w:tab/>
        <w:t>The TC2 tube is for obtaining the viability of CD3+ cells.</w:t>
      </w:r>
    </w:p>
    <w:p w14:paraId="0B26766A" w14:textId="77777777" w:rsidR="00205F50" w:rsidRPr="00E54F86" w:rsidRDefault="00205F50" w:rsidP="00205F50">
      <w:pPr>
        <w:ind w:left="720" w:hanging="720"/>
        <w:rPr>
          <w:szCs w:val="17"/>
        </w:rPr>
      </w:pPr>
    </w:p>
    <w:p w14:paraId="5D997614" w14:textId="77777777" w:rsidR="00205F50" w:rsidRPr="00E54F86" w:rsidRDefault="00205F50" w:rsidP="00205F50">
      <w:pPr>
        <w:ind w:left="720" w:hanging="720"/>
        <w:rPr>
          <w:szCs w:val="17"/>
        </w:rPr>
      </w:pPr>
      <w:r w:rsidRPr="00E54F86">
        <w:rPr>
          <w:szCs w:val="17"/>
        </w:rPr>
        <w:t xml:space="preserve">7.16 </w:t>
      </w:r>
      <w:r w:rsidRPr="00E54F86">
        <w:rPr>
          <w:szCs w:val="17"/>
        </w:rPr>
        <w:tab/>
        <w:t>The performance characteristic of the procedure is assessed by the following:</w:t>
      </w:r>
    </w:p>
    <w:p w14:paraId="6353D899" w14:textId="77777777" w:rsidR="00205F50" w:rsidRPr="00E54F86" w:rsidRDefault="00205F50" w:rsidP="00205F50">
      <w:pPr>
        <w:ind w:left="720" w:hanging="720"/>
        <w:rPr>
          <w:szCs w:val="17"/>
        </w:rPr>
      </w:pPr>
    </w:p>
    <w:p w14:paraId="22A93EAD" w14:textId="77777777" w:rsidR="00205F50" w:rsidRPr="00E54F86" w:rsidRDefault="00205F50" w:rsidP="00205F50">
      <w:pPr>
        <w:ind w:left="720" w:hanging="720"/>
        <w:rPr>
          <w:szCs w:val="17"/>
        </w:rPr>
      </w:pPr>
      <w:r w:rsidRPr="00E54F86">
        <w:rPr>
          <w:szCs w:val="17"/>
        </w:rPr>
        <w:lastRenderedPageBreak/>
        <w:tab/>
        <w:t>7.16.1</w:t>
      </w:r>
      <w:r w:rsidRPr="00E54F86">
        <w:rPr>
          <w:szCs w:val="17"/>
        </w:rPr>
        <w:tab/>
        <w:t>Recovery (CD4 or CD8) = # IFN</w:t>
      </w:r>
      <w:r w:rsidRPr="00E54F86">
        <w:rPr>
          <w:rFonts w:ascii="Symbol" w:hAnsi="Symbol"/>
          <w:szCs w:val="17"/>
        </w:rPr>
        <w:t></w:t>
      </w:r>
      <w:r w:rsidRPr="00E54F86">
        <w:rPr>
          <w:rFonts w:ascii="Symbol" w:hAnsi="Symbol"/>
          <w:szCs w:val="17"/>
        </w:rPr>
        <w:t></w:t>
      </w:r>
      <w:r w:rsidRPr="00E54F86">
        <w:rPr>
          <w:szCs w:val="17"/>
        </w:rPr>
        <w:t xml:space="preserve"> cells (TC) </w:t>
      </w:r>
      <w:r w:rsidRPr="00E54F86">
        <w:rPr>
          <w:b/>
          <w:szCs w:val="17"/>
        </w:rPr>
        <w:t>/</w:t>
      </w:r>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(ORI)</w:t>
      </w:r>
    </w:p>
    <w:p w14:paraId="51D62533" w14:textId="77777777" w:rsidR="00205F50" w:rsidRPr="00E54F86" w:rsidRDefault="00205F50" w:rsidP="00205F50">
      <w:pPr>
        <w:ind w:left="720" w:right="-180" w:hanging="720"/>
        <w:rPr>
          <w:szCs w:val="17"/>
          <w:u w:val="single"/>
        </w:rPr>
      </w:pPr>
      <w:r w:rsidRPr="00E54F86">
        <w:rPr>
          <w:szCs w:val="17"/>
        </w:rPr>
        <w:tab/>
        <w:t>7.16.2</w:t>
      </w:r>
      <w:r w:rsidRPr="00E54F86">
        <w:rPr>
          <w:szCs w:val="17"/>
        </w:rPr>
        <w:tab/>
        <w:t>Corrected Recovery (CD4 or CD8) =</w:t>
      </w:r>
      <w:r w:rsidRPr="00E54F86">
        <w:rPr>
          <w:szCs w:val="17"/>
          <w:u w:val="single"/>
        </w:rPr>
        <w:t xml:space="preserve">                #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(TC)                         </w:t>
      </w:r>
      <w:r w:rsidRPr="00E54F86">
        <w:rPr>
          <w:color w:val="D9D9D9" w:themeColor="background1" w:themeShade="D9"/>
          <w:szCs w:val="17"/>
          <w:u w:val="single"/>
        </w:rPr>
        <w:t>.</w:t>
      </w:r>
    </w:p>
    <w:p w14:paraId="1F5DF1C4" w14:textId="77777777" w:rsidR="00205F50" w:rsidRPr="00E54F86" w:rsidRDefault="00205F50" w:rsidP="00205F50">
      <w:pPr>
        <w:ind w:left="720" w:right="-180" w:hanging="720"/>
        <w:rPr>
          <w:szCs w:val="17"/>
        </w:rPr>
      </w:pPr>
      <w:r w:rsidRPr="00E54F86">
        <w:rPr>
          <w:szCs w:val="17"/>
        </w:rPr>
        <w:tab/>
      </w:r>
      <w:r w:rsidRPr="00E54F86">
        <w:rPr>
          <w:szCs w:val="17"/>
        </w:rPr>
        <w:tab/>
      </w:r>
      <w:r w:rsidRPr="00E54F86">
        <w:rPr>
          <w:szCs w:val="17"/>
        </w:rPr>
        <w:tab/>
      </w:r>
      <w:r w:rsidRPr="00E54F86">
        <w:rPr>
          <w:szCs w:val="17"/>
        </w:rPr>
        <w:tab/>
      </w:r>
      <w:r w:rsidRPr="00E54F86">
        <w:rPr>
          <w:szCs w:val="17"/>
        </w:rPr>
        <w:tab/>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(TC) </w:t>
      </w:r>
      <w:r w:rsidRPr="00E54F86">
        <w:rPr>
          <w:b/>
          <w:szCs w:val="17"/>
        </w:rPr>
        <w:t>+</w:t>
      </w:r>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(NTC)</w:t>
      </w:r>
    </w:p>
    <w:p w14:paraId="7210B6AE" w14:textId="77777777" w:rsidR="00205F50" w:rsidRPr="00E54F86" w:rsidRDefault="00205F50" w:rsidP="00205F50">
      <w:pPr>
        <w:ind w:left="720" w:hanging="720"/>
        <w:rPr>
          <w:szCs w:val="17"/>
        </w:rPr>
      </w:pPr>
      <w:r w:rsidRPr="000B3347">
        <w:rPr>
          <w:b/>
          <w:noProof/>
          <w:szCs w:val="17"/>
        </w:rPr>
        <w:drawing>
          <wp:anchor distT="0" distB="0" distL="114300" distR="114300" simplePos="0" relativeHeight="251659264" behindDoc="1" locked="0" layoutInCell="1" allowOverlap="1" wp14:anchorId="0F3A1D8D" wp14:editId="438C698A">
            <wp:simplePos x="0" y="0"/>
            <wp:positionH relativeFrom="column">
              <wp:posOffset>3619500</wp:posOffset>
            </wp:positionH>
            <wp:positionV relativeFrom="paragraph">
              <wp:posOffset>5080</wp:posOffset>
            </wp:positionV>
            <wp:extent cx="285750" cy="333375"/>
            <wp:effectExtent l="0" t="0" r="0" b="0"/>
            <wp:wrapTight wrapText="bothSides">
              <wp:wrapPolygon edited="0">
                <wp:start x="0" y="0"/>
                <wp:lineTo x="0" y="20983"/>
                <wp:lineTo x="20160" y="20983"/>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285750" cy="333375"/>
                    </a:xfrm>
                    <a:prstGeom prst="rect">
                      <a:avLst/>
                    </a:prstGeom>
                  </pic:spPr>
                </pic:pic>
              </a:graphicData>
            </a:graphic>
          </wp:anchor>
        </w:drawing>
      </w:r>
      <w:r w:rsidRPr="000B3347">
        <w:rPr>
          <w:szCs w:val="17"/>
        </w:rPr>
        <w:t xml:space="preserve"> </w:t>
      </w:r>
      <w:r w:rsidRPr="000B3347">
        <w:rPr>
          <w:szCs w:val="17"/>
        </w:rPr>
        <w:tab/>
        <w:t>7.16</w:t>
      </w:r>
      <w:r w:rsidRPr="00E54F86">
        <w:rPr>
          <w:szCs w:val="17"/>
        </w:rPr>
        <w:t>.3</w:t>
      </w:r>
      <w:r w:rsidRPr="00E54F86">
        <w:rPr>
          <w:szCs w:val="17"/>
        </w:rPr>
        <w:tab/>
        <w:t xml:space="preserve">Enrichment factor =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(TC)</w:t>
      </w:r>
      <w:r w:rsidRPr="00E54F86">
        <w:rPr>
          <w:szCs w:val="17"/>
        </w:rPr>
        <w:t xml:space="preserve">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(TC)</w:t>
      </w:r>
    </w:p>
    <w:p w14:paraId="063D202F" w14:textId="77777777" w:rsidR="00205F50" w:rsidRPr="00E54F86" w:rsidRDefault="00205F50" w:rsidP="00205F50">
      <w:pPr>
        <w:ind w:left="720" w:hanging="720"/>
        <w:rPr>
          <w:szCs w:val="17"/>
        </w:rPr>
      </w:pPr>
      <w:r w:rsidRPr="00E54F86">
        <w:rPr>
          <w:szCs w:val="17"/>
        </w:rPr>
        <w:tab/>
      </w:r>
      <w:r w:rsidRPr="00E54F86">
        <w:rPr>
          <w:szCs w:val="17"/>
        </w:rPr>
        <w:tab/>
        <w:t>(CD4 or CD8)</w:t>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(ORI)      % IFN</w:t>
      </w:r>
      <w:r w:rsidRPr="00E54F86">
        <w:rPr>
          <w:rFonts w:ascii="Symbol" w:hAnsi="Symbol"/>
          <w:szCs w:val="17"/>
        </w:rPr>
        <w:t></w:t>
      </w:r>
      <w:r w:rsidRPr="00E54F86">
        <w:rPr>
          <w:rFonts w:ascii="Symbol" w:hAnsi="Symbol"/>
          <w:szCs w:val="17"/>
        </w:rPr>
        <w:t></w:t>
      </w:r>
      <w:r w:rsidRPr="00E54F86">
        <w:rPr>
          <w:szCs w:val="17"/>
        </w:rPr>
        <w:t xml:space="preserve"> cells (ORI)</w:t>
      </w:r>
    </w:p>
    <w:p w14:paraId="72085EFF" w14:textId="77777777" w:rsidR="00205F50" w:rsidRPr="00E54F86" w:rsidRDefault="00205F50" w:rsidP="00205F50">
      <w:pPr>
        <w:ind w:left="720" w:hanging="720"/>
        <w:rPr>
          <w:szCs w:val="17"/>
        </w:rPr>
      </w:pPr>
    </w:p>
    <w:p w14:paraId="4631581E" w14:textId="77777777" w:rsidR="00205F50" w:rsidRPr="00E54F86" w:rsidRDefault="00205F50" w:rsidP="00205F50">
      <w:pPr>
        <w:ind w:left="720" w:hanging="720"/>
        <w:rPr>
          <w:szCs w:val="17"/>
        </w:rPr>
      </w:pPr>
      <w:r w:rsidRPr="00E54F86">
        <w:rPr>
          <w:szCs w:val="17"/>
        </w:rPr>
        <w:t>7.17</w:t>
      </w:r>
      <w:r w:rsidRPr="00E54F86">
        <w:rPr>
          <w:szCs w:val="17"/>
        </w:rPr>
        <w:tab/>
        <w:t xml:space="preserve">Remove 3 ml from the 33ml product above to be sent to Microbiology (Gram stain), APPTEC for Endotoxin testing and LABS for sterility testing.  The final product cannot be released until the gram stain result is available. The requisitions to Microbiology must be sent “stat”.  </w:t>
      </w:r>
    </w:p>
    <w:p w14:paraId="6E0E5DEC" w14:textId="77777777" w:rsidR="00205F50" w:rsidRPr="00E54F86" w:rsidRDefault="00205F50" w:rsidP="00205F50">
      <w:pPr>
        <w:ind w:left="540" w:hanging="540"/>
        <w:rPr>
          <w:szCs w:val="17"/>
        </w:rPr>
      </w:pPr>
    </w:p>
    <w:p w14:paraId="38361D92" w14:textId="77777777" w:rsidR="00205F50" w:rsidRPr="00E54F86" w:rsidRDefault="00205F50" w:rsidP="00205F50">
      <w:pPr>
        <w:ind w:left="720" w:hanging="720"/>
        <w:rPr>
          <w:b/>
          <w:szCs w:val="17"/>
        </w:rPr>
      </w:pPr>
      <w:r w:rsidRPr="00E54F86">
        <w:rPr>
          <w:szCs w:val="17"/>
        </w:rPr>
        <w:tab/>
      </w:r>
      <w:r w:rsidRPr="00E54F86">
        <w:rPr>
          <w:b/>
          <w:szCs w:val="17"/>
        </w:rPr>
        <w:t>The final product is held in the blood bank refrigerator (</w:t>
      </w:r>
      <w:r w:rsidRPr="00E54F86">
        <w:rPr>
          <w:b/>
        </w:rPr>
        <w:t>2°- 6°C) “in quarantine” until the test results are available.</w:t>
      </w:r>
      <w:r w:rsidRPr="00E54F86">
        <w:rPr>
          <w:b/>
          <w:szCs w:val="17"/>
        </w:rPr>
        <w:t xml:space="preserve"> </w:t>
      </w:r>
    </w:p>
    <w:p w14:paraId="0F19472E" w14:textId="77777777" w:rsidR="00205F50" w:rsidRPr="00E54F86" w:rsidRDefault="00205F50" w:rsidP="00205F50">
      <w:pPr>
        <w:ind w:left="540" w:hanging="540"/>
        <w:rPr>
          <w:b/>
          <w:szCs w:val="17"/>
        </w:rPr>
      </w:pPr>
    </w:p>
    <w:p w14:paraId="57CC5AB8" w14:textId="77777777" w:rsidR="00205F50" w:rsidRPr="00E54F86" w:rsidRDefault="00205F50" w:rsidP="00205F50">
      <w:pPr>
        <w:ind w:left="720"/>
        <w:rPr>
          <w:szCs w:val="17"/>
        </w:rPr>
      </w:pPr>
      <w:r w:rsidRPr="00E54F86">
        <w:rPr>
          <w:szCs w:val="17"/>
        </w:rPr>
        <w:t>The release criteria for products are as follows:</w:t>
      </w:r>
    </w:p>
    <w:p w14:paraId="55C128B9" w14:textId="77777777" w:rsidR="00205F50" w:rsidRPr="00E54F86" w:rsidRDefault="00205F50" w:rsidP="00205F50">
      <w:pPr>
        <w:numPr>
          <w:ilvl w:val="0"/>
          <w:numId w:val="18"/>
        </w:numPr>
        <w:tabs>
          <w:tab w:val="clear" w:pos="720"/>
        </w:tabs>
        <w:autoSpaceDE w:val="0"/>
        <w:autoSpaceDN w:val="0"/>
        <w:adjustRightInd w:val="0"/>
        <w:ind w:left="1080"/>
        <w:rPr>
          <w:szCs w:val="17"/>
        </w:rPr>
      </w:pPr>
      <w:r w:rsidRPr="00E54F86">
        <w:rPr>
          <w:szCs w:val="17"/>
        </w:rPr>
        <w:t>The gram stain is negative.</w:t>
      </w:r>
    </w:p>
    <w:p w14:paraId="6E441FEA" w14:textId="77777777" w:rsidR="00205F50" w:rsidRPr="00E54F86" w:rsidRDefault="00205F50" w:rsidP="00205F50">
      <w:pPr>
        <w:numPr>
          <w:ilvl w:val="0"/>
          <w:numId w:val="18"/>
        </w:numPr>
        <w:tabs>
          <w:tab w:val="clear" w:pos="720"/>
        </w:tabs>
        <w:autoSpaceDE w:val="0"/>
        <w:autoSpaceDN w:val="0"/>
        <w:adjustRightInd w:val="0"/>
        <w:ind w:left="1080"/>
        <w:rPr>
          <w:szCs w:val="17"/>
        </w:rPr>
      </w:pPr>
      <w:r w:rsidRPr="00E54F86">
        <w:rPr>
          <w:szCs w:val="17"/>
        </w:rPr>
        <w:t xml:space="preserve">The cell viability is </w:t>
      </w:r>
      <w:r w:rsidRPr="00E54F86">
        <w:rPr>
          <w:sz w:val="26"/>
          <w:szCs w:val="26"/>
        </w:rPr>
        <w:t>≥</w:t>
      </w:r>
      <w:r w:rsidRPr="00E54F86">
        <w:rPr>
          <w:szCs w:val="17"/>
        </w:rPr>
        <w:t>70% within the T cell population</w:t>
      </w:r>
      <w:r>
        <w:rPr>
          <w:szCs w:val="17"/>
        </w:rPr>
        <w:t>, fresh or prior to cryopreservation</w:t>
      </w:r>
      <w:r w:rsidRPr="00E54F86">
        <w:rPr>
          <w:szCs w:val="17"/>
        </w:rPr>
        <w:t>.</w:t>
      </w:r>
    </w:p>
    <w:p w14:paraId="468944A0" w14:textId="77777777" w:rsidR="00205F50" w:rsidRPr="00E54F86" w:rsidRDefault="00205F50" w:rsidP="00205F50">
      <w:pPr>
        <w:numPr>
          <w:ilvl w:val="0"/>
          <w:numId w:val="18"/>
        </w:numPr>
        <w:tabs>
          <w:tab w:val="clear" w:pos="720"/>
        </w:tabs>
        <w:autoSpaceDE w:val="0"/>
        <w:autoSpaceDN w:val="0"/>
        <w:adjustRightInd w:val="0"/>
        <w:ind w:left="1080"/>
        <w:rPr>
          <w:szCs w:val="17"/>
        </w:rPr>
      </w:pPr>
      <w:r w:rsidRPr="00E54F86">
        <w:rPr>
          <w:szCs w:val="17"/>
        </w:rPr>
        <w:t>Among the CD4 or CD8 T cells, IFN</w:t>
      </w:r>
      <w:r w:rsidRPr="00E54F86">
        <w:rPr>
          <w:rFonts w:ascii="Symbol" w:hAnsi="Symbol"/>
          <w:szCs w:val="17"/>
        </w:rPr>
        <w:t></w:t>
      </w:r>
      <w:r w:rsidRPr="00E54F86">
        <w:rPr>
          <w:szCs w:val="17"/>
        </w:rPr>
        <w:t>+ cells are &gt;10% of total.</w:t>
      </w:r>
    </w:p>
    <w:p w14:paraId="1B1A8844" w14:textId="77777777" w:rsidR="00205F50" w:rsidRPr="00E54F86" w:rsidRDefault="00205F50" w:rsidP="00205F50">
      <w:pPr>
        <w:rPr>
          <w:szCs w:val="17"/>
        </w:rPr>
      </w:pPr>
    </w:p>
    <w:p w14:paraId="63EA5FE2" w14:textId="77777777" w:rsidR="00205F50" w:rsidRPr="00E54F86" w:rsidRDefault="00205F50" w:rsidP="00205F50">
      <w:pPr>
        <w:ind w:left="720"/>
        <w:rPr>
          <w:szCs w:val="17"/>
        </w:rPr>
      </w:pPr>
      <w:r w:rsidRPr="00E54F86">
        <w:rPr>
          <w:szCs w:val="17"/>
        </w:rPr>
        <w:t>The results obtained will be documented on the Certificate of analysis for the product. If the release criteria are not met, notify the Principal Investigator (PI) or, in his or her absence, one of the Co-investigators (CI) for the clinical protocol. This notification is documented on the flowsheet for the procedure (Procedure outcome section).</w:t>
      </w:r>
    </w:p>
    <w:p w14:paraId="316D505F" w14:textId="77777777" w:rsidR="00205F50" w:rsidRPr="00E54F86" w:rsidRDefault="00205F50" w:rsidP="00205F50">
      <w:pPr>
        <w:ind w:left="720"/>
        <w:rPr>
          <w:szCs w:val="17"/>
        </w:rPr>
      </w:pPr>
    </w:p>
    <w:p w14:paraId="49B11C3C" w14:textId="77777777" w:rsidR="00205F50" w:rsidRPr="00E54F86" w:rsidRDefault="00205F50" w:rsidP="00205F50">
      <w:pPr>
        <w:ind w:left="720"/>
        <w:rPr>
          <w:szCs w:val="17"/>
        </w:rPr>
      </w:pPr>
      <w:r w:rsidRPr="00E54F86">
        <w:rPr>
          <w:szCs w:val="17"/>
        </w:rPr>
        <w:t xml:space="preserve">When the tests results are available, the certificate of analysis is reviewed and signed by the Laboratory Director or her designee, </w:t>
      </w:r>
      <w:r>
        <w:rPr>
          <w:szCs w:val="17"/>
        </w:rPr>
        <w:t xml:space="preserve">or </w:t>
      </w:r>
      <w:r w:rsidRPr="00E54F86">
        <w:rPr>
          <w:szCs w:val="17"/>
        </w:rPr>
        <w:t>by</w:t>
      </w:r>
      <w:r>
        <w:rPr>
          <w:szCs w:val="17"/>
        </w:rPr>
        <w:t xml:space="preserve"> institutional SOPs</w:t>
      </w:r>
      <w:r w:rsidRPr="00E54F86">
        <w:rPr>
          <w:szCs w:val="17"/>
        </w:rPr>
        <w:t>.</w:t>
      </w:r>
    </w:p>
    <w:p w14:paraId="2A950DD4" w14:textId="77777777" w:rsidR="00205F50" w:rsidRPr="00E54F86" w:rsidRDefault="00205F50" w:rsidP="00205F50">
      <w:pPr>
        <w:rPr>
          <w:szCs w:val="17"/>
        </w:rPr>
      </w:pPr>
    </w:p>
    <w:p w14:paraId="3340444D" w14:textId="77777777" w:rsidR="00205F50" w:rsidRPr="00E54F86" w:rsidRDefault="00205F50" w:rsidP="00205F50">
      <w:pPr>
        <w:ind w:left="720" w:hanging="720"/>
        <w:rPr>
          <w:szCs w:val="17"/>
        </w:rPr>
      </w:pPr>
      <w:r w:rsidRPr="00E54F86">
        <w:rPr>
          <w:szCs w:val="17"/>
        </w:rPr>
        <w:tab/>
        <w:t xml:space="preserve">Deliver the product, accompanied by the required forms, to the patient unit for infusion following </w:t>
      </w:r>
      <w:r>
        <w:rPr>
          <w:szCs w:val="17"/>
        </w:rPr>
        <w:t xml:space="preserve">institutional infusion </w:t>
      </w:r>
      <w:r w:rsidRPr="00E54F86">
        <w:rPr>
          <w:szCs w:val="17"/>
        </w:rPr>
        <w:t>SOP</w:t>
      </w:r>
      <w:r>
        <w:rPr>
          <w:szCs w:val="17"/>
        </w:rPr>
        <w:t>s</w:t>
      </w:r>
      <w:r w:rsidRPr="00E54F86">
        <w:rPr>
          <w:szCs w:val="17"/>
        </w:rPr>
        <w:t xml:space="preserve">. </w:t>
      </w:r>
    </w:p>
    <w:p w14:paraId="4388FFFC" w14:textId="77777777" w:rsidR="00205F50" w:rsidRPr="00E54F86" w:rsidRDefault="00205F50" w:rsidP="00205F50">
      <w:pPr>
        <w:ind w:left="720" w:hanging="720"/>
        <w:rPr>
          <w:szCs w:val="17"/>
        </w:rPr>
      </w:pPr>
    </w:p>
    <w:p w14:paraId="79D1415B" w14:textId="77777777" w:rsidR="00205F50" w:rsidRPr="00E54F86" w:rsidRDefault="00205F50" w:rsidP="00205F50">
      <w:pPr>
        <w:ind w:left="720" w:hanging="720"/>
        <w:rPr>
          <w:szCs w:val="17"/>
        </w:rPr>
      </w:pPr>
      <w:r w:rsidRPr="00E54F86">
        <w:rPr>
          <w:szCs w:val="17"/>
        </w:rPr>
        <w:t>7.18</w:t>
      </w:r>
      <w:r w:rsidRPr="00E54F86">
        <w:rPr>
          <w:szCs w:val="17"/>
        </w:rPr>
        <w:tab/>
        <w:t xml:space="preserve">Download the Prodigy performance and reagent/supplies data by inserting a USB drive to the right side of the touch screen.  Select </w:t>
      </w:r>
      <w:r w:rsidRPr="00E54F86">
        <w:rPr>
          <w:b/>
          <w:szCs w:val="17"/>
        </w:rPr>
        <w:t>Filed Data</w:t>
      </w:r>
      <w:r w:rsidRPr="00E54F86">
        <w:rPr>
          <w:szCs w:val="17"/>
        </w:rPr>
        <w:t xml:space="preserve"> tab and highlight the data to be saved.  Select </w:t>
      </w:r>
      <w:r w:rsidRPr="00E54F86">
        <w:rPr>
          <w:b/>
          <w:szCs w:val="17"/>
        </w:rPr>
        <w:t>Save</w:t>
      </w:r>
      <w:r w:rsidRPr="00E54F86">
        <w:rPr>
          <w:szCs w:val="17"/>
        </w:rPr>
        <w:t xml:space="preserve">.  After file transfer, select </w:t>
      </w:r>
      <w:r w:rsidRPr="00E54F86">
        <w:rPr>
          <w:b/>
          <w:szCs w:val="17"/>
        </w:rPr>
        <w:t>OK</w:t>
      </w:r>
      <w:r w:rsidRPr="00E54F86">
        <w:rPr>
          <w:szCs w:val="17"/>
        </w:rPr>
        <w:t xml:space="preserve"> to return to home screen and remove the USB stick.  Shut down the machine by going to the </w:t>
      </w:r>
      <w:r w:rsidRPr="00E54F86">
        <w:rPr>
          <w:b/>
          <w:szCs w:val="17"/>
        </w:rPr>
        <w:t>Settings</w:t>
      </w:r>
      <w:r w:rsidRPr="00E54F86">
        <w:rPr>
          <w:szCs w:val="17"/>
        </w:rPr>
        <w:t xml:space="preserve"> tab, then </w:t>
      </w:r>
      <w:r w:rsidRPr="00E54F86">
        <w:rPr>
          <w:b/>
          <w:szCs w:val="17"/>
        </w:rPr>
        <w:t>tools</w:t>
      </w:r>
      <w:r w:rsidRPr="00E54F86">
        <w:rPr>
          <w:szCs w:val="17"/>
        </w:rPr>
        <w:t xml:space="preserve">, then </w:t>
      </w:r>
      <w:r w:rsidRPr="00E54F86">
        <w:rPr>
          <w:b/>
          <w:szCs w:val="17"/>
        </w:rPr>
        <w:t>shut down</w:t>
      </w:r>
      <w:r w:rsidRPr="00E54F86">
        <w:rPr>
          <w:szCs w:val="17"/>
        </w:rPr>
        <w:t>.</w:t>
      </w:r>
    </w:p>
    <w:p w14:paraId="6BC545F4" w14:textId="77777777" w:rsidR="00205F50" w:rsidRPr="00E54F86" w:rsidRDefault="00205F50" w:rsidP="00205F50">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0A199243" w14:textId="77777777" w:rsidR="00205F50" w:rsidRPr="00887B52" w:rsidRDefault="00205F50" w:rsidP="00205F50">
      <w:pPr>
        <w:pStyle w:val="BodyTextIndent"/>
        <w:rPr>
          <w:rFonts w:asciiTheme="minorHAnsi" w:hAnsiTheme="minorHAnsi"/>
          <w:b/>
          <w:sz w:val="22"/>
          <w:szCs w:val="22"/>
          <w:u w:val="single"/>
        </w:rPr>
      </w:pPr>
      <w:r w:rsidRPr="00887B52">
        <w:rPr>
          <w:rFonts w:asciiTheme="minorHAnsi" w:hAnsiTheme="minorHAnsi"/>
          <w:b/>
          <w:sz w:val="22"/>
          <w:szCs w:val="22"/>
          <w:u w:val="single"/>
        </w:rPr>
        <w:t>Cell expansion</w:t>
      </w:r>
      <w:r w:rsidRPr="00887B52">
        <w:rPr>
          <w:rFonts w:asciiTheme="minorHAnsi" w:hAnsiTheme="minorHAnsi"/>
          <w:b/>
          <w:sz w:val="22"/>
          <w:szCs w:val="22"/>
          <w:u w:val="single"/>
        </w:rPr>
        <w:tab/>
      </w:r>
    </w:p>
    <w:p w14:paraId="120CC81E" w14:textId="77777777" w:rsidR="00205F50" w:rsidRPr="00E54F86" w:rsidRDefault="00205F50" w:rsidP="00205F50">
      <w:pPr>
        <w:jc w:val="both"/>
        <w:rPr>
          <w:rFonts w:ascii="Times New Roman" w:hAnsi="Times New Roman"/>
          <w:szCs w:val="24"/>
        </w:rPr>
      </w:pPr>
    </w:p>
    <w:p w14:paraId="0F65EE15" w14:textId="77777777" w:rsidR="00205F50" w:rsidRPr="00E54F86" w:rsidRDefault="00205F50" w:rsidP="00205F50">
      <w:pPr>
        <w:ind w:left="720" w:hanging="720"/>
        <w:jc w:val="both"/>
        <w:rPr>
          <w:szCs w:val="17"/>
        </w:rPr>
      </w:pPr>
      <w:r w:rsidRPr="00E54F86">
        <w:rPr>
          <w:szCs w:val="17"/>
        </w:rPr>
        <w:t>7.19</w:t>
      </w:r>
      <w:r w:rsidRPr="00E54F86">
        <w:rPr>
          <w:szCs w:val="17"/>
        </w:rPr>
        <w:tab/>
        <w:t>Arrange with blood bank to use their irradiator to inactivate the NTC cell fraction.  These will be used as feeder cells at a ratio of 100:1 to TC.  Aliquot 3x as many cells as needed and irradiate at 25Gy.</w:t>
      </w:r>
    </w:p>
    <w:p w14:paraId="546B6489" w14:textId="77777777" w:rsidR="00205F50" w:rsidRPr="00E54F86" w:rsidRDefault="00205F50" w:rsidP="00205F50">
      <w:pPr>
        <w:ind w:left="720" w:hanging="720"/>
        <w:jc w:val="both"/>
        <w:rPr>
          <w:szCs w:val="17"/>
        </w:rPr>
      </w:pPr>
    </w:p>
    <w:p w14:paraId="36FCAB7E" w14:textId="77777777" w:rsidR="00205F50" w:rsidRPr="00E54F86" w:rsidRDefault="00205F50" w:rsidP="00205F50">
      <w:pPr>
        <w:ind w:left="720" w:hanging="720"/>
        <w:jc w:val="both"/>
        <w:rPr>
          <w:szCs w:val="17"/>
        </w:rPr>
      </w:pPr>
      <w:r w:rsidRPr="00E54F86">
        <w:rPr>
          <w:szCs w:val="17"/>
        </w:rPr>
        <w:t>7.20</w:t>
      </w:r>
      <w:r w:rsidRPr="00E54F86">
        <w:rPr>
          <w:szCs w:val="17"/>
        </w:rPr>
        <w:tab/>
        <w:t>Mix 100:1 with TC and culture at a starting concentration of 5x10</w:t>
      </w:r>
      <w:r w:rsidRPr="00E54F86">
        <w:rPr>
          <w:szCs w:val="17"/>
          <w:vertAlign w:val="superscript"/>
        </w:rPr>
        <w:t>6</w:t>
      </w:r>
      <w:r w:rsidRPr="00E54F86">
        <w:rPr>
          <w:szCs w:val="17"/>
        </w:rPr>
        <w:t xml:space="preserve"> (total) cells/ml TexMACS at a density of 5x10e</w:t>
      </w:r>
      <w:r w:rsidRPr="00E54F86">
        <w:rPr>
          <w:szCs w:val="17"/>
          <w:vertAlign w:val="superscript"/>
        </w:rPr>
        <w:t>6</w:t>
      </w:r>
      <w:r w:rsidRPr="00E54F86">
        <w:rPr>
          <w:szCs w:val="17"/>
        </w:rPr>
        <w:t xml:space="preserve"> cells/cm</w:t>
      </w:r>
      <w:r w:rsidRPr="00E54F86">
        <w:rPr>
          <w:szCs w:val="17"/>
          <w:vertAlign w:val="superscript"/>
        </w:rPr>
        <w:t>2</w:t>
      </w:r>
      <w:r w:rsidRPr="00E54F86">
        <w:rPr>
          <w:szCs w:val="17"/>
        </w:rPr>
        <w:t>, supplemented to a final concentration of 100 IU/ml of IL2. Depending on the volume, use 48 or 24 well plates, with a surface area of ~1cm</w:t>
      </w:r>
      <w:r w:rsidRPr="00E54F86">
        <w:rPr>
          <w:szCs w:val="17"/>
          <w:vertAlign w:val="superscript"/>
        </w:rPr>
        <w:t>2</w:t>
      </w:r>
      <w:r w:rsidRPr="00E54F86">
        <w:rPr>
          <w:szCs w:val="17"/>
        </w:rPr>
        <w:t>/well or ~2cm</w:t>
      </w:r>
      <w:r w:rsidRPr="00E54F86">
        <w:rPr>
          <w:szCs w:val="17"/>
          <w:vertAlign w:val="superscript"/>
        </w:rPr>
        <w:t>2</w:t>
      </w:r>
      <w:r w:rsidRPr="00E54F86">
        <w:rPr>
          <w:szCs w:val="17"/>
        </w:rPr>
        <w:t>/well, respectively.  Prepare a control well with NTC only at the same cell number.  Culture in a 37C, 5% CO</w:t>
      </w:r>
      <w:r w:rsidRPr="00E54F86">
        <w:rPr>
          <w:szCs w:val="17"/>
          <w:vertAlign w:val="subscript"/>
        </w:rPr>
        <w:t>2</w:t>
      </w:r>
      <w:r w:rsidRPr="00E54F86">
        <w:rPr>
          <w:szCs w:val="17"/>
        </w:rPr>
        <w:t xml:space="preserve"> incubator.</w:t>
      </w:r>
    </w:p>
    <w:p w14:paraId="164BE4CE" w14:textId="77777777" w:rsidR="00205F50" w:rsidRPr="00E54F86" w:rsidRDefault="00205F50" w:rsidP="00205F50">
      <w:pPr>
        <w:ind w:left="720" w:hanging="720"/>
        <w:jc w:val="both"/>
        <w:rPr>
          <w:szCs w:val="17"/>
        </w:rPr>
      </w:pPr>
    </w:p>
    <w:p w14:paraId="7895791E" w14:textId="77777777" w:rsidR="00205F50" w:rsidRPr="00E54F86" w:rsidRDefault="00205F50" w:rsidP="00205F50">
      <w:pPr>
        <w:ind w:left="1440" w:hanging="720"/>
        <w:rPr>
          <w:szCs w:val="17"/>
        </w:rPr>
      </w:pPr>
      <w:r w:rsidRPr="00E54F86">
        <w:rPr>
          <w:szCs w:val="17"/>
        </w:rPr>
        <w:lastRenderedPageBreak/>
        <w:t>7.20.1</w:t>
      </w:r>
      <w:r w:rsidRPr="00E54F86">
        <w:rPr>
          <w:szCs w:val="17"/>
        </w:rPr>
        <w:tab/>
        <w:t>For example, 1x10</w:t>
      </w:r>
      <w:r w:rsidRPr="00E54F86">
        <w:rPr>
          <w:szCs w:val="17"/>
          <w:vertAlign w:val="superscript"/>
        </w:rPr>
        <w:t>5</w:t>
      </w:r>
      <w:r w:rsidRPr="00E54F86">
        <w:rPr>
          <w:szCs w:val="17"/>
        </w:rPr>
        <w:t xml:space="preserve"> TC is mixed with 1x10</w:t>
      </w:r>
      <w:r w:rsidRPr="00E54F86">
        <w:rPr>
          <w:szCs w:val="17"/>
          <w:vertAlign w:val="superscript"/>
        </w:rPr>
        <w:t xml:space="preserve">7 </w:t>
      </w:r>
      <w:r w:rsidRPr="00E54F86">
        <w:rPr>
          <w:szCs w:val="17"/>
        </w:rPr>
        <w:t>NTC, for a total of 1x10</w:t>
      </w:r>
      <w:r w:rsidRPr="00E54F86">
        <w:rPr>
          <w:szCs w:val="17"/>
          <w:vertAlign w:val="superscript"/>
        </w:rPr>
        <w:t xml:space="preserve">7 </w:t>
      </w:r>
      <w:r w:rsidRPr="00E54F86">
        <w:rPr>
          <w:szCs w:val="17"/>
        </w:rPr>
        <w:t xml:space="preserve">cells.  These will be put in 2ml final volume and a 24well plate. </w:t>
      </w:r>
    </w:p>
    <w:p w14:paraId="19545C47" w14:textId="77777777" w:rsidR="00205F50" w:rsidRPr="00E54F86" w:rsidRDefault="00205F50" w:rsidP="00205F50">
      <w:pPr>
        <w:ind w:left="1440" w:hanging="720"/>
        <w:rPr>
          <w:szCs w:val="17"/>
        </w:rPr>
      </w:pPr>
      <w:r w:rsidRPr="00E54F86">
        <w:rPr>
          <w:szCs w:val="17"/>
        </w:rPr>
        <w:t>7.20.2</w:t>
      </w:r>
      <w:r w:rsidRPr="00E54F86">
        <w:rPr>
          <w:szCs w:val="17"/>
        </w:rPr>
        <w:tab/>
        <w:t>For example, 5x10</w:t>
      </w:r>
      <w:r w:rsidRPr="00E54F86">
        <w:rPr>
          <w:szCs w:val="17"/>
          <w:vertAlign w:val="superscript"/>
        </w:rPr>
        <w:t>4</w:t>
      </w:r>
      <w:r w:rsidRPr="00E54F86">
        <w:rPr>
          <w:szCs w:val="17"/>
        </w:rPr>
        <w:t xml:space="preserve"> TC is mixed with 5x10</w:t>
      </w:r>
      <w:r w:rsidRPr="00E54F86">
        <w:rPr>
          <w:szCs w:val="17"/>
          <w:vertAlign w:val="superscript"/>
        </w:rPr>
        <w:t xml:space="preserve">6 </w:t>
      </w:r>
      <w:r w:rsidRPr="00E54F86">
        <w:rPr>
          <w:szCs w:val="17"/>
        </w:rPr>
        <w:t>NTC, for a total of 5x10</w:t>
      </w:r>
      <w:r w:rsidRPr="00E54F86">
        <w:rPr>
          <w:szCs w:val="17"/>
          <w:vertAlign w:val="superscript"/>
        </w:rPr>
        <w:t xml:space="preserve">6 </w:t>
      </w:r>
      <w:r w:rsidRPr="00E54F86">
        <w:rPr>
          <w:szCs w:val="17"/>
        </w:rPr>
        <w:t xml:space="preserve">cells.  These will be put in 1ml final volume and a 48well plate. </w:t>
      </w:r>
    </w:p>
    <w:p w14:paraId="5464C451" w14:textId="77777777" w:rsidR="00205F50" w:rsidRPr="00E54F86" w:rsidRDefault="00205F50" w:rsidP="00205F50">
      <w:pPr>
        <w:ind w:left="1440" w:hanging="720"/>
        <w:rPr>
          <w:szCs w:val="17"/>
        </w:rPr>
      </w:pPr>
    </w:p>
    <w:p w14:paraId="38CC3DEE" w14:textId="77777777" w:rsidR="00205F50" w:rsidRPr="00E54F86" w:rsidRDefault="00205F50" w:rsidP="00205F50">
      <w:pPr>
        <w:ind w:left="720" w:hanging="720"/>
        <w:jc w:val="both"/>
        <w:rPr>
          <w:szCs w:val="17"/>
        </w:rPr>
      </w:pPr>
      <w:r w:rsidRPr="00E54F86">
        <w:rPr>
          <w:szCs w:val="17"/>
        </w:rPr>
        <w:t>7.21</w:t>
      </w:r>
      <w:r w:rsidRPr="00E54F86">
        <w:rPr>
          <w:szCs w:val="17"/>
        </w:rPr>
        <w:tab/>
        <w:t xml:space="preserve">To make IL2, first prepare 1% HSA by diluting 5% HSA into sterile water.  Resuspend lyophylized IL2 in 1% HSA to a final concentration of 10,000 IU/ml.  </w:t>
      </w:r>
    </w:p>
    <w:p w14:paraId="0E709986" w14:textId="77777777" w:rsidR="00205F50" w:rsidRPr="00E54F86" w:rsidRDefault="00205F50" w:rsidP="00205F50">
      <w:pPr>
        <w:ind w:left="720" w:hanging="720"/>
        <w:jc w:val="both"/>
        <w:rPr>
          <w:szCs w:val="17"/>
        </w:rPr>
      </w:pPr>
    </w:p>
    <w:p w14:paraId="10BE56CA" w14:textId="77777777" w:rsidR="00205F50" w:rsidRPr="00E54F86" w:rsidRDefault="00205F50" w:rsidP="00205F50">
      <w:pPr>
        <w:ind w:left="1440" w:hanging="720"/>
        <w:rPr>
          <w:szCs w:val="17"/>
        </w:rPr>
      </w:pPr>
      <w:r w:rsidRPr="00E54F86">
        <w:rPr>
          <w:szCs w:val="17"/>
        </w:rPr>
        <w:t>7.21.1</w:t>
      </w:r>
      <w:r w:rsidRPr="00E54F86">
        <w:rPr>
          <w:szCs w:val="17"/>
        </w:rPr>
        <w:tab/>
        <w:t>The volume is dispersed in 1ml stocks and 50</w:t>
      </w:r>
      <w:r w:rsidRPr="00E54F86">
        <w:rPr>
          <w:rFonts w:ascii="Symbol" w:hAnsi="Symbol"/>
          <w:szCs w:val="17"/>
        </w:rPr>
        <w:t></w:t>
      </w:r>
      <w:r w:rsidRPr="00E54F86">
        <w:rPr>
          <w:szCs w:val="17"/>
        </w:rPr>
        <w:t>l working stocks. The working stock is at 100x final concentration and is for single-use.  1ml stocks are used to make more working stocks.</w:t>
      </w:r>
    </w:p>
    <w:p w14:paraId="71144431" w14:textId="77777777" w:rsidR="00205F50" w:rsidRPr="00E54F86" w:rsidRDefault="00205F50" w:rsidP="00205F50">
      <w:pPr>
        <w:ind w:left="1440" w:hanging="720"/>
        <w:rPr>
          <w:szCs w:val="17"/>
        </w:rPr>
      </w:pPr>
      <w:r w:rsidRPr="00E54F86">
        <w:rPr>
          <w:szCs w:val="17"/>
        </w:rPr>
        <w:t>7.21.2</w:t>
      </w:r>
      <w:r w:rsidRPr="00E54F86">
        <w:rPr>
          <w:szCs w:val="17"/>
        </w:rPr>
        <w:tab/>
        <w:t>Label the outside container housing the aliquots with reagent name (10,000IU/ml IL2), storage temperature, lot number, date aliquoted, and expiration date. Label each aliquot container with the reagent name, volume (50</w:t>
      </w:r>
      <w:r w:rsidRPr="00E54F86">
        <w:rPr>
          <w:rFonts w:ascii="Symbol" w:hAnsi="Symbol"/>
          <w:szCs w:val="17"/>
        </w:rPr>
        <w:t></w:t>
      </w:r>
      <w:r w:rsidRPr="00E54F86">
        <w:rPr>
          <w:szCs w:val="17"/>
        </w:rPr>
        <w:t>l or other volumes), lot number, expiration date, and hazard pictogram.</w:t>
      </w:r>
    </w:p>
    <w:p w14:paraId="31891093" w14:textId="77777777" w:rsidR="00205F50" w:rsidRPr="00E54F86" w:rsidRDefault="00205F50" w:rsidP="00205F50">
      <w:pPr>
        <w:ind w:left="720" w:hanging="720"/>
        <w:jc w:val="both"/>
        <w:rPr>
          <w:szCs w:val="17"/>
        </w:rPr>
      </w:pPr>
    </w:p>
    <w:p w14:paraId="724DAC25" w14:textId="77777777" w:rsidR="00205F50" w:rsidRPr="00E54F86" w:rsidRDefault="00205F50" w:rsidP="00205F50">
      <w:pPr>
        <w:ind w:left="720" w:hanging="720"/>
        <w:jc w:val="both"/>
        <w:rPr>
          <w:szCs w:val="17"/>
        </w:rPr>
      </w:pPr>
      <w:r w:rsidRPr="00E54F86">
        <w:rPr>
          <w:szCs w:val="17"/>
        </w:rPr>
        <w:t>7.22</w:t>
      </w:r>
      <w:r w:rsidRPr="00E54F86">
        <w:rPr>
          <w:szCs w:val="17"/>
        </w:rPr>
        <w:tab/>
        <w:t>Exchange half of the medium (without disturbing the cells) every 2-3 days with fresh medium containing fresh IL2. Split cells when appropriate (e.g., when proliferating cells start to change media color).  Since the only cells that will proliferate are the non-irradiated TCs, and they start at a very low number, first split may happen after 1 week of culturing and happens every 1-2 days after that.</w:t>
      </w:r>
    </w:p>
    <w:p w14:paraId="28D1F1FE" w14:textId="77777777" w:rsidR="00205F50" w:rsidRPr="00E54F86" w:rsidRDefault="00205F50" w:rsidP="00205F50">
      <w:pPr>
        <w:ind w:left="720" w:hanging="720"/>
        <w:jc w:val="both"/>
        <w:rPr>
          <w:szCs w:val="17"/>
        </w:rPr>
      </w:pPr>
    </w:p>
    <w:p w14:paraId="193D5C24" w14:textId="77777777" w:rsidR="00205F50" w:rsidRPr="00E54F86" w:rsidRDefault="00205F50" w:rsidP="00205F50">
      <w:pPr>
        <w:ind w:left="720" w:hanging="720"/>
        <w:jc w:val="both"/>
        <w:rPr>
          <w:szCs w:val="17"/>
        </w:rPr>
      </w:pPr>
      <w:r w:rsidRPr="00E54F86">
        <w:rPr>
          <w:szCs w:val="17"/>
        </w:rPr>
        <w:t>7.23</w:t>
      </w:r>
      <w:r w:rsidRPr="00E54F86">
        <w:rPr>
          <w:szCs w:val="17"/>
        </w:rPr>
        <w:tab/>
        <w:t xml:space="preserve">Around day 10-14 of culture, most NTCs are expected to have died of apoptosis and only the proliferated TCs remain.  A good expansion will see the TC expand &gt;100 fold in number. Test their viral responses by using individual viral antigens to re-stimulate following </w:t>
      </w:r>
      <w:r w:rsidRPr="00E54F86">
        <w:t>Donor PreScreening for Virus Specific Cytotoxic T Lymphocytes.</w:t>
      </w:r>
    </w:p>
    <w:p w14:paraId="620493C3" w14:textId="77777777" w:rsidR="00205F50" w:rsidRPr="00773C56" w:rsidRDefault="00205F50" w:rsidP="00773C56">
      <w:pPr>
        <w:jc w:val="both"/>
        <w:rPr>
          <w:rFonts w:ascii="Times New Roman" w:hAnsi="Times New Roman"/>
          <w:b/>
          <w:szCs w:val="24"/>
        </w:rPr>
      </w:pPr>
    </w:p>
    <w:p w14:paraId="64A59301" w14:textId="77777777" w:rsidR="00205F50" w:rsidRPr="00E54F86" w:rsidRDefault="00205F50" w:rsidP="00205F50">
      <w:pPr>
        <w:numPr>
          <w:ilvl w:val="0"/>
          <w:numId w:val="16"/>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3F056E2C" w14:textId="77777777" w:rsidR="00205F50" w:rsidRPr="00E54F86" w:rsidRDefault="00205F50" w:rsidP="00205F50">
      <w:pPr>
        <w:pStyle w:val="ListParagraph"/>
        <w:jc w:val="both"/>
      </w:pPr>
    </w:p>
    <w:p w14:paraId="61A47088" w14:textId="4F19C336" w:rsidR="00205F50" w:rsidRPr="00E54F86" w:rsidRDefault="00205F50" w:rsidP="00773C56">
      <w:pPr>
        <w:ind w:left="720" w:hanging="720"/>
        <w:jc w:val="both"/>
        <w:rPr>
          <w:szCs w:val="17"/>
        </w:rPr>
      </w:pPr>
      <w:r w:rsidRPr="00E54F86">
        <w:rPr>
          <w:szCs w:val="17"/>
        </w:rPr>
        <w:t>8.1</w:t>
      </w:r>
      <w:r w:rsidRPr="00E54F86">
        <w:rPr>
          <w:szCs w:val="17"/>
        </w:rPr>
        <w:tab/>
        <w:t>Manufacturing on the Prodigy is expected to significantly enrich for IFN</w:t>
      </w:r>
      <w:r w:rsidRPr="00E54F86">
        <w:rPr>
          <w:rFonts w:ascii="Symbol" w:hAnsi="Symbol"/>
          <w:szCs w:val="17"/>
        </w:rPr>
        <w:t></w:t>
      </w:r>
      <w:r w:rsidRPr="00E54F86">
        <w:rPr>
          <w:szCs w:val="17"/>
        </w:rPr>
        <w:t xml:space="preserve"> positive CD4/CD8 cells to a level of &gt;10%.  </w:t>
      </w:r>
    </w:p>
    <w:p w14:paraId="7C7E0278" w14:textId="77777777" w:rsidR="00205F50" w:rsidRPr="00E54F86" w:rsidRDefault="00205F50" w:rsidP="00205F50">
      <w:pPr>
        <w:jc w:val="both"/>
        <w:rPr>
          <w:rFonts w:ascii="Times New Roman" w:hAnsi="Times New Roman"/>
          <w:b/>
          <w:szCs w:val="24"/>
        </w:rPr>
      </w:pPr>
    </w:p>
    <w:p w14:paraId="0931B979" w14:textId="77777777" w:rsidR="00205F50" w:rsidRPr="00E54F86" w:rsidRDefault="00205F50" w:rsidP="00205F50">
      <w:pPr>
        <w:ind w:left="720" w:hanging="720"/>
        <w:rPr>
          <w:b/>
          <w:sz w:val="28"/>
          <w:szCs w:val="28"/>
        </w:rPr>
      </w:pPr>
      <w:r w:rsidRPr="00E54F86">
        <w:rPr>
          <w:b/>
          <w:sz w:val="28"/>
          <w:szCs w:val="28"/>
        </w:rPr>
        <w:t>9.0</w:t>
      </w:r>
      <w:r w:rsidRPr="00E54F86">
        <w:rPr>
          <w:b/>
          <w:sz w:val="28"/>
          <w:szCs w:val="28"/>
        </w:rPr>
        <w:tab/>
        <w:t>Quality Control Tests</w:t>
      </w:r>
    </w:p>
    <w:p w14:paraId="53A4FE72" w14:textId="77777777" w:rsidR="00205F50" w:rsidRPr="00E54F86" w:rsidRDefault="00205F50" w:rsidP="00205F50">
      <w:pPr>
        <w:rPr>
          <w:sz w:val="26"/>
          <w:szCs w:val="26"/>
        </w:rPr>
      </w:pPr>
    </w:p>
    <w:p w14:paraId="7BC22AAF" w14:textId="77777777" w:rsidR="00205F50" w:rsidRPr="00E54F86" w:rsidRDefault="00205F50" w:rsidP="00205F50">
      <w:pPr>
        <w:ind w:left="720" w:hanging="720"/>
      </w:pPr>
      <w:r w:rsidRPr="00E54F86">
        <w:t>9.1</w:t>
      </w:r>
      <w:r w:rsidRPr="00E54F86">
        <w:tab/>
        <w:t>Nucleated cell counts and viability counts are performed on the initial product, at different points during the procedure as indicated in the SOP and on the final product.</w:t>
      </w:r>
    </w:p>
    <w:p w14:paraId="62EC8285" w14:textId="77777777" w:rsidR="00205F50" w:rsidRPr="00E54F86" w:rsidRDefault="00205F50" w:rsidP="00205F50">
      <w:pPr>
        <w:ind w:left="720" w:hanging="720"/>
        <w:rPr>
          <w:color w:val="BFBFBF" w:themeColor="background1" w:themeShade="BF"/>
        </w:rPr>
      </w:pPr>
    </w:p>
    <w:p w14:paraId="26580767" w14:textId="77777777" w:rsidR="00205F50" w:rsidRPr="00E54F86" w:rsidRDefault="00205F50" w:rsidP="00205F50">
      <w:pPr>
        <w:ind w:left="720" w:hanging="720"/>
      </w:pPr>
      <w:r w:rsidRPr="00E54F86">
        <w:t>9.2</w:t>
      </w:r>
      <w:r w:rsidRPr="00E54F86">
        <w:tab/>
        <w:t>Sterility testing is performed on the initial product and on the final product.</w:t>
      </w:r>
    </w:p>
    <w:p w14:paraId="1A20C127" w14:textId="77777777" w:rsidR="00205F50" w:rsidRPr="00E54F86" w:rsidRDefault="00205F50" w:rsidP="00205F50">
      <w:pPr>
        <w:ind w:left="720" w:hanging="720"/>
      </w:pPr>
    </w:p>
    <w:p w14:paraId="759EBAA0" w14:textId="77777777" w:rsidR="00205F50" w:rsidRPr="00E54F86" w:rsidRDefault="00205F50" w:rsidP="00205F50">
      <w:pPr>
        <w:ind w:left="720" w:hanging="720"/>
      </w:pPr>
      <w:r w:rsidRPr="00E54F86">
        <w:t>9.3</w:t>
      </w:r>
      <w:r w:rsidRPr="00E54F86">
        <w:tab/>
        <w:t>Endotoxin testing is performed on the final product.</w:t>
      </w:r>
    </w:p>
    <w:p w14:paraId="656A7493" w14:textId="77777777" w:rsidR="00205F50" w:rsidRPr="00E54F86" w:rsidRDefault="00205F50" w:rsidP="00205F50">
      <w:pPr>
        <w:ind w:left="720" w:hanging="440"/>
        <w:rPr>
          <w:color w:val="BFBFBF" w:themeColor="background1" w:themeShade="BF"/>
        </w:rPr>
      </w:pPr>
    </w:p>
    <w:p w14:paraId="40070D55" w14:textId="77777777" w:rsidR="00205F50" w:rsidRPr="00E54F86" w:rsidRDefault="00205F50" w:rsidP="00205F50">
      <w:pPr>
        <w:ind w:left="720" w:hanging="720"/>
      </w:pPr>
      <w:r w:rsidRPr="00E54F86">
        <w:t>9.4</w:t>
      </w:r>
      <w:r w:rsidRPr="00E54F86">
        <w:tab/>
        <w:t>CD4/</w:t>
      </w:r>
      <w:r w:rsidRPr="00E54F86">
        <w:rPr>
          <w:szCs w:val="17"/>
        </w:rPr>
        <w:t>IFN</w:t>
      </w:r>
      <w:r w:rsidRPr="00E54F86">
        <w:rPr>
          <w:rFonts w:ascii="Symbol" w:hAnsi="Symbol"/>
          <w:szCs w:val="17"/>
        </w:rPr>
        <w:t></w:t>
      </w:r>
      <w:r w:rsidRPr="00E54F86">
        <w:t xml:space="preserve"> and CD8</w:t>
      </w:r>
      <w:r w:rsidRPr="00E54F86">
        <w:rPr>
          <w:szCs w:val="17"/>
        </w:rPr>
        <w:t>/IFN</w:t>
      </w:r>
      <w:r w:rsidRPr="00E54F86">
        <w:rPr>
          <w:rFonts w:ascii="Symbol" w:hAnsi="Symbol"/>
          <w:szCs w:val="17"/>
        </w:rPr>
        <w:t></w:t>
      </w:r>
      <w:r w:rsidRPr="00E54F86">
        <w:t xml:space="preserve"> determination by Flow Cytometry is performed on the final product.</w:t>
      </w:r>
    </w:p>
    <w:p w14:paraId="69975F3A" w14:textId="77777777" w:rsidR="00205F50" w:rsidRPr="00E54F86" w:rsidRDefault="00205F50" w:rsidP="00205F50">
      <w:pPr>
        <w:ind w:left="440" w:hanging="440"/>
      </w:pPr>
    </w:p>
    <w:p w14:paraId="6F2D1CBE" w14:textId="77777777" w:rsidR="00205F50" w:rsidRPr="00E54F86" w:rsidRDefault="00205F50" w:rsidP="00205F50">
      <w:pPr>
        <w:rPr>
          <w:b/>
          <w:sz w:val="28"/>
          <w:szCs w:val="28"/>
        </w:rPr>
      </w:pPr>
      <w:r w:rsidRPr="00E54F86">
        <w:rPr>
          <w:b/>
          <w:sz w:val="28"/>
          <w:szCs w:val="28"/>
        </w:rPr>
        <w:t>10.0</w:t>
      </w:r>
      <w:r w:rsidRPr="00E54F86">
        <w:rPr>
          <w:b/>
          <w:sz w:val="28"/>
          <w:szCs w:val="28"/>
        </w:rPr>
        <w:tab/>
        <w:t>References</w:t>
      </w:r>
    </w:p>
    <w:p w14:paraId="30B49BB6" w14:textId="77777777" w:rsidR="00205F50" w:rsidRPr="00E54F86" w:rsidRDefault="00205F50" w:rsidP="00205F50">
      <w:pPr>
        <w:rPr>
          <w:b/>
          <w:sz w:val="28"/>
          <w:szCs w:val="28"/>
        </w:rPr>
      </w:pPr>
    </w:p>
    <w:p w14:paraId="1BC6642B" w14:textId="77777777" w:rsidR="00205F50" w:rsidRPr="00E54F86" w:rsidRDefault="00205F50" w:rsidP="00205F50">
      <w:pPr>
        <w:ind w:left="720" w:hanging="720"/>
        <w:rPr>
          <w:bCs/>
          <w:szCs w:val="28"/>
        </w:rPr>
      </w:pPr>
      <w:r w:rsidRPr="00E54F86">
        <w:rPr>
          <w:bCs/>
          <w:szCs w:val="28"/>
        </w:rPr>
        <w:t>10.1</w:t>
      </w:r>
      <w:r w:rsidRPr="00E54F86">
        <w:rPr>
          <w:bCs/>
          <w:szCs w:val="28"/>
        </w:rPr>
        <w:tab/>
        <w:t>CliniMACS Prodigy CCS System User Manual. Miltenyi Biotec.</w:t>
      </w:r>
    </w:p>
    <w:p w14:paraId="2EBBFBFC" w14:textId="77777777" w:rsidR="00205F50" w:rsidRPr="00E54F86" w:rsidRDefault="00205F50" w:rsidP="00773C56">
      <w:pPr>
        <w:rPr>
          <w:rFonts w:ascii="Times New Roman" w:hAnsi="Times New Roman"/>
          <w:b/>
          <w:sz w:val="28"/>
          <w:szCs w:val="28"/>
        </w:rPr>
      </w:pPr>
      <w:r w:rsidRPr="00E54F86">
        <w:rPr>
          <w:rFonts w:ascii="Times New Roman" w:hAnsi="Times New Roman"/>
          <w:b/>
          <w:sz w:val="28"/>
          <w:szCs w:val="28"/>
        </w:rPr>
        <w:lastRenderedPageBreak/>
        <w:t>B. Donor PreScreening for Virus Specific Cytotoxic T Lymphocytes</w:t>
      </w:r>
    </w:p>
    <w:p w14:paraId="7CBEB12F" w14:textId="77777777" w:rsidR="00205F50" w:rsidRPr="00E54F86" w:rsidRDefault="00205F50" w:rsidP="00205F50">
      <w:pPr>
        <w:jc w:val="center"/>
        <w:rPr>
          <w:rFonts w:ascii="Times New Roman" w:hAnsi="Times New Roman"/>
          <w:b/>
          <w:sz w:val="28"/>
          <w:szCs w:val="28"/>
        </w:rPr>
      </w:pPr>
    </w:p>
    <w:p w14:paraId="3AA05295" w14:textId="77777777" w:rsidR="00205F50" w:rsidRPr="00E54F86" w:rsidRDefault="00205F50" w:rsidP="00205F50">
      <w:pPr>
        <w:rPr>
          <w:rFonts w:ascii="Times New Roman" w:hAnsi="Times New Roman"/>
          <w:b/>
          <w:sz w:val="28"/>
          <w:szCs w:val="28"/>
        </w:rPr>
      </w:pPr>
    </w:p>
    <w:p w14:paraId="338CF75F" w14:textId="5BFC8811" w:rsidR="00205F50" w:rsidRPr="00887B52" w:rsidRDefault="002F44EB" w:rsidP="00205F50">
      <w:pPr>
        <w:pStyle w:val="ListParagraph"/>
        <w:numPr>
          <w:ilvl w:val="0"/>
          <w:numId w:val="19"/>
        </w:num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 xml:space="preserve">  </w:t>
      </w:r>
      <w:r w:rsidR="00205F50" w:rsidRPr="00887B52">
        <w:rPr>
          <w:rFonts w:ascii="Times New Roman" w:hAnsi="Times New Roman"/>
          <w:b/>
          <w:sz w:val="28"/>
          <w:szCs w:val="28"/>
        </w:rPr>
        <w:t>Principle</w:t>
      </w:r>
    </w:p>
    <w:p w14:paraId="41FAB7CD" w14:textId="77777777" w:rsidR="00205F50" w:rsidRPr="00E54F86" w:rsidRDefault="00205F50" w:rsidP="00205F50">
      <w:pPr>
        <w:ind w:left="720"/>
        <w:jc w:val="both"/>
        <w:rPr>
          <w:rFonts w:ascii="Times New Roman" w:hAnsi="Times New Roman"/>
          <w:b/>
          <w:sz w:val="28"/>
          <w:szCs w:val="28"/>
        </w:rPr>
      </w:pPr>
    </w:p>
    <w:p w14:paraId="4A6A0778" w14:textId="77777777" w:rsidR="00205F50" w:rsidRPr="00E54F86" w:rsidRDefault="00205F50" w:rsidP="00205F50">
      <w:pPr>
        <w:rPr>
          <w:rFonts w:ascii="Times New Roman" w:eastAsiaTheme="minorEastAsia" w:hAnsi="Times New Roman"/>
          <w:szCs w:val="24"/>
          <w:lang w:eastAsia="zh-CN"/>
        </w:rPr>
      </w:pPr>
      <w:r w:rsidRPr="00E54F86">
        <w:rPr>
          <w:rFonts w:ascii="Times New Roman" w:hAnsi="Times New Roman"/>
        </w:rPr>
        <w:t xml:space="preserve">In order to manufacture virus specific cytotoxic T lymphocytes (vCTLs), donor cells need to be prescreened to determine if the T cells can be stimulated with corresponding virus peptides.  Positive serology for certain viruses is not a guarantee that the T cells will respond to the peptides used. Mononuclear cell preparation will be stimulated with either medium (negative control), virus specific peptide, or a combination of </w:t>
      </w:r>
      <w:r w:rsidRPr="00E54F86">
        <w:t xml:space="preserve">Phorbol 12-myristate 13-acetate (PMA) </w:t>
      </w:r>
      <w:r w:rsidRPr="00E54F86">
        <w:rPr>
          <w:rFonts w:ascii="Times New Roman" w:hAnsi="Times New Roman"/>
        </w:rPr>
        <w:t xml:space="preserve">/ionomycine (positive control).  The read-out is </w:t>
      </w:r>
      <w:r>
        <w:rPr>
          <w:rFonts w:ascii="Times New Roman" w:hAnsi="Times New Roman"/>
        </w:rPr>
        <w:t>intracellular IFN-gamma</w:t>
      </w:r>
      <w:r w:rsidRPr="00E54F86">
        <w:rPr>
          <w:rFonts w:ascii="Times New Roman" w:hAnsi="Times New Roman"/>
        </w:rPr>
        <w:t xml:space="preserve"> measured by cell surface capture using a catch reagent, followed by flow cytometric analysis.</w:t>
      </w:r>
    </w:p>
    <w:p w14:paraId="60AD51D2" w14:textId="77777777" w:rsidR="00205F50" w:rsidRPr="00E54F86" w:rsidRDefault="00205F50" w:rsidP="00205F50">
      <w:pPr>
        <w:jc w:val="both"/>
        <w:rPr>
          <w:rFonts w:ascii="Times New Roman" w:hAnsi="Times New Roman"/>
          <w:b/>
          <w:szCs w:val="24"/>
        </w:rPr>
      </w:pPr>
    </w:p>
    <w:p w14:paraId="7428CD36"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5C558E58" w14:textId="77777777" w:rsidR="00205F50" w:rsidRPr="00E54F86" w:rsidRDefault="00205F50" w:rsidP="00205F50">
      <w:pPr>
        <w:jc w:val="both"/>
        <w:rPr>
          <w:rFonts w:ascii="Times New Roman" w:hAnsi="Times New Roman"/>
          <w:b/>
          <w:sz w:val="28"/>
          <w:szCs w:val="28"/>
        </w:rPr>
      </w:pPr>
    </w:p>
    <w:p w14:paraId="5942BE61" w14:textId="77777777" w:rsidR="00205F50" w:rsidRPr="00E54F86" w:rsidRDefault="00205F50" w:rsidP="00205F50">
      <w:pPr>
        <w:jc w:val="both"/>
        <w:rPr>
          <w:rFonts w:ascii="Times New Roman" w:hAnsi="Times New Roman"/>
          <w:szCs w:val="24"/>
        </w:rPr>
      </w:pPr>
      <w:r w:rsidRPr="00E54F86">
        <w:rPr>
          <w:rFonts w:ascii="Times New Roman" w:hAnsi="Times New Roman"/>
          <w:szCs w:val="24"/>
        </w:rPr>
        <w:t>The purpose of this procedure is to describe the steps to follow while prescreening T cells from donors to determine their suitability for manufacturing vCTLs.</w:t>
      </w:r>
    </w:p>
    <w:p w14:paraId="708E651A" w14:textId="77777777" w:rsidR="00205F50" w:rsidRPr="00E54F86" w:rsidRDefault="00205F50" w:rsidP="00205F50">
      <w:pPr>
        <w:jc w:val="both"/>
        <w:rPr>
          <w:rFonts w:ascii="Times New Roman" w:hAnsi="Times New Roman"/>
          <w:b/>
          <w:szCs w:val="24"/>
        </w:rPr>
      </w:pPr>
    </w:p>
    <w:p w14:paraId="21C99CCB" w14:textId="77777777" w:rsidR="00205F50" w:rsidRPr="006E2BD8" w:rsidRDefault="00205F50" w:rsidP="00205F50">
      <w:pPr>
        <w:jc w:val="both"/>
        <w:rPr>
          <w:rFonts w:ascii="Arial" w:hAnsi="Arial" w:cs="Arial"/>
          <w:b/>
        </w:rPr>
      </w:pPr>
      <w:r w:rsidRPr="00E54F86">
        <w:rPr>
          <w:rFonts w:ascii="Times New Roman" w:hAnsi="Times New Roman"/>
          <w:b/>
          <w:sz w:val="28"/>
          <w:szCs w:val="28"/>
        </w:rPr>
        <w:t>Specimen</w:t>
      </w:r>
    </w:p>
    <w:p w14:paraId="4E90E572" w14:textId="77777777" w:rsidR="00205F50" w:rsidRPr="00C14F65" w:rsidRDefault="00205F50" w:rsidP="00205F50">
      <w:pPr>
        <w:pStyle w:val="ListParagraph"/>
        <w:ind w:left="375"/>
        <w:jc w:val="both"/>
        <w:rPr>
          <w:rFonts w:ascii="Arial" w:hAnsi="Arial" w:cs="Arial"/>
          <w:bCs/>
          <w:u w:val="single"/>
        </w:rPr>
      </w:pPr>
      <w:r w:rsidRPr="00C14F65">
        <w:rPr>
          <w:rFonts w:ascii="Arial" w:hAnsi="Arial" w:cs="Arial"/>
          <w:bCs/>
          <w:u w:val="single"/>
        </w:rPr>
        <w:t>Please collect 30 ml of peripheral blood in EDTA tubes on donor.</w:t>
      </w:r>
    </w:p>
    <w:p w14:paraId="27BF2E1E" w14:textId="77777777" w:rsidR="00205F50" w:rsidRPr="00E54F86" w:rsidRDefault="00205F50" w:rsidP="00205F50">
      <w:pPr>
        <w:pStyle w:val="ListParagraph"/>
        <w:ind w:hanging="720"/>
        <w:jc w:val="both"/>
        <w:rPr>
          <w:rFonts w:ascii="Times New Roman" w:hAnsi="Times New Roman"/>
          <w:b/>
          <w:szCs w:val="24"/>
        </w:rPr>
      </w:pPr>
    </w:p>
    <w:p w14:paraId="6C58F75C"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Supplies and reagents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2C1662AF" w14:textId="77777777" w:rsidR="00205F50" w:rsidRPr="00E54F86" w:rsidRDefault="00205F50" w:rsidP="00205F50">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71D49A87" w14:textId="77777777" w:rsidR="00205F50" w:rsidRPr="00F42B20" w:rsidRDefault="00205F50" w:rsidP="00205F50">
      <w:pPr>
        <w:tabs>
          <w:tab w:val="left" w:pos="5040"/>
        </w:tabs>
        <w:rPr>
          <w:lang w:val="it-IT"/>
        </w:rPr>
      </w:pPr>
      <w:r w:rsidRPr="00F42B20">
        <w:rPr>
          <w:lang w:val="it-IT"/>
        </w:rPr>
        <w:t>4.1 PepTivator® CMV pp65 (6nmol)</w:t>
      </w:r>
      <w:r w:rsidRPr="00F42B20">
        <w:rPr>
          <w:lang w:val="it-IT"/>
        </w:rPr>
        <w:tab/>
        <w:t xml:space="preserve">Miltenyi Biotec </w:t>
      </w:r>
    </w:p>
    <w:p w14:paraId="04392DC6" w14:textId="77777777" w:rsidR="00205F50" w:rsidRPr="00E54F86" w:rsidRDefault="00205F50" w:rsidP="00205F50">
      <w:pPr>
        <w:tabs>
          <w:tab w:val="left" w:pos="5040"/>
        </w:tabs>
      </w:pPr>
      <w:r w:rsidRPr="00E54F86">
        <w:t>4.2 TexMACS medium</w:t>
      </w:r>
      <w:r w:rsidRPr="00E54F86">
        <w:tab/>
        <w:t xml:space="preserve">Miltenyi Biotec </w:t>
      </w:r>
    </w:p>
    <w:p w14:paraId="209DBACE" w14:textId="77777777" w:rsidR="00205F50" w:rsidRPr="00E54F86" w:rsidRDefault="00205F50" w:rsidP="00205F50">
      <w:pPr>
        <w:tabs>
          <w:tab w:val="left" w:pos="5040"/>
        </w:tabs>
      </w:pPr>
      <w:r w:rsidRPr="00E54F86">
        <w:t xml:space="preserve">4.3 Rapid Cytokine Inspector kit </w:t>
      </w:r>
      <w:r w:rsidRPr="00E54F86">
        <w:tab/>
        <w:t xml:space="preserve">Miltenyi Biotec </w:t>
      </w:r>
    </w:p>
    <w:p w14:paraId="5E143B50" w14:textId="77777777" w:rsidR="00205F50" w:rsidRPr="00E54F86" w:rsidRDefault="00205F50" w:rsidP="00205F50">
      <w:pPr>
        <w:tabs>
          <w:tab w:val="left" w:pos="5040"/>
          <w:tab w:val="center" w:pos="7200"/>
        </w:tabs>
        <w:contextualSpacing/>
        <w:jc w:val="both"/>
        <w:rPr>
          <w:rFonts w:ascii="Times New Roman" w:hAnsi="Times New Roman"/>
        </w:rPr>
      </w:pPr>
      <w:r w:rsidRPr="00E54F86">
        <w:rPr>
          <w:rFonts w:ascii="Times New Roman" w:hAnsi="Times New Roman"/>
        </w:rPr>
        <w:t xml:space="preserve">4.4 </w:t>
      </w:r>
      <w:r w:rsidRPr="00E54F86">
        <w:rPr>
          <w:bCs/>
          <w:szCs w:val="24"/>
        </w:rPr>
        <w:t>IFN</w:t>
      </w:r>
      <w:r w:rsidRPr="00E54F86">
        <w:rPr>
          <w:rFonts w:ascii="Symbol" w:hAnsi="Symbol"/>
          <w:bCs/>
          <w:szCs w:val="24"/>
        </w:rPr>
        <w:t></w:t>
      </w:r>
      <w:r w:rsidRPr="00E54F86">
        <w:rPr>
          <w:bCs/>
          <w:szCs w:val="24"/>
        </w:rPr>
        <w:t xml:space="preserve"> secretion assay detection kit</w:t>
      </w:r>
      <w:r w:rsidRPr="00E54F86">
        <w:rPr>
          <w:rFonts w:ascii="Times New Roman" w:hAnsi="Times New Roman"/>
        </w:rPr>
        <w:t xml:space="preserve"> </w:t>
      </w:r>
      <w:r w:rsidRPr="00E54F86">
        <w:rPr>
          <w:rFonts w:ascii="Times New Roman" w:hAnsi="Times New Roman"/>
        </w:rPr>
        <w:tab/>
      </w:r>
      <w:r w:rsidRPr="00E54F86">
        <w:t xml:space="preserve">Miltenyi Biotec </w:t>
      </w:r>
    </w:p>
    <w:p w14:paraId="49345B08" w14:textId="77777777" w:rsidR="00205F50" w:rsidRPr="00F42B20" w:rsidRDefault="00205F50" w:rsidP="00205F50">
      <w:pPr>
        <w:tabs>
          <w:tab w:val="left" w:pos="5040"/>
        </w:tabs>
        <w:rPr>
          <w:lang w:val="it-IT"/>
        </w:rPr>
      </w:pPr>
      <w:r w:rsidRPr="00F42B20">
        <w:rPr>
          <w:lang w:val="it-IT"/>
        </w:rPr>
        <w:t>4.5 Phorbol 12-myristate 13-acetate (PMA)</w:t>
      </w:r>
      <w:r w:rsidRPr="00F42B20">
        <w:rPr>
          <w:lang w:val="it-IT"/>
        </w:rPr>
        <w:tab/>
        <w:t xml:space="preserve">Sigma </w:t>
      </w:r>
    </w:p>
    <w:p w14:paraId="78951C1E" w14:textId="77777777" w:rsidR="00205F50" w:rsidRPr="00F42B20" w:rsidRDefault="00205F50" w:rsidP="00205F50">
      <w:pPr>
        <w:tabs>
          <w:tab w:val="left" w:pos="5040"/>
        </w:tabs>
        <w:rPr>
          <w:lang w:val="it-IT"/>
        </w:rPr>
      </w:pPr>
      <w:r w:rsidRPr="00F42B20">
        <w:rPr>
          <w:lang w:val="it-IT"/>
        </w:rPr>
        <w:t xml:space="preserve">4.6 Ionomycin calcium salt </w:t>
      </w:r>
      <w:r w:rsidRPr="00F42B20">
        <w:rPr>
          <w:lang w:val="it-IT"/>
        </w:rPr>
        <w:tab/>
        <w:t xml:space="preserve">Sigma </w:t>
      </w:r>
    </w:p>
    <w:p w14:paraId="0B649F6A" w14:textId="77777777" w:rsidR="00205F50" w:rsidRPr="00E54F86" w:rsidRDefault="00205F50" w:rsidP="00205F50">
      <w:pPr>
        <w:tabs>
          <w:tab w:val="left" w:pos="5040"/>
        </w:tabs>
      </w:pPr>
      <w:r w:rsidRPr="00E54F86">
        <w:t>4.7 Sterile Fields</w:t>
      </w:r>
      <w:r w:rsidRPr="00E54F86">
        <w:tab/>
        <w:t>Medchoice</w:t>
      </w:r>
    </w:p>
    <w:p w14:paraId="2E446A5E" w14:textId="77777777" w:rsidR="00205F50" w:rsidRPr="00E54F86" w:rsidRDefault="00205F50" w:rsidP="00205F50">
      <w:pPr>
        <w:tabs>
          <w:tab w:val="left" w:pos="5040"/>
        </w:tabs>
      </w:pPr>
      <w:r w:rsidRPr="00E54F86">
        <w:t>4.8 15 ml centrifuge tubes</w:t>
      </w:r>
      <w:r w:rsidRPr="00E54F86">
        <w:tab/>
        <w:t xml:space="preserve">Corning </w:t>
      </w:r>
    </w:p>
    <w:p w14:paraId="11B16F38" w14:textId="77777777" w:rsidR="00205F50" w:rsidRPr="00E54F86" w:rsidRDefault="00205F50" w:rsidP="00205F50">
      <w:pPr>
        <w:tabs>
          <w:tab w:val="left" w:pos="5040"/>
        </w:tabs>
      </w:pPr>
      <w:r w:rsidRPr="00E54F86">
        <w:t xml:space="preserve">4.9 50 ml centrifuge tubes </w:t>
      </w:r>
      <w:r w:rsidRPr="00E54F86">
        <w:tab/>
        <w:t>Corning</w:t>
      </w:r>
      <w:r w:rsidRPr="00E54F86">
        <w:tab/>
      </w:r>
    </w:p>
    <w:p w14:paraId="5F046D5E" w14:textId="77777777" w:rsidR="00205F50" w:rsidRPr="00E54F86" w:rsidRDefault="00205F50" w:rsidP="00205F50">
      <w:pPr>
        <w:tabs>
          <w:tab w:val="left" w:pos="5040"/>
        </w:tabs>
      </w:pPr>
      <w:r w:rsidRPr="00E54F86">
        <w:t>4.10 Tissue culture plate (24-well)</w:t>
      </w:r>
      <w:r w:rsidRPr="00E54F86">
        <w:tab/>
        <w:t xml:space="preserve">Corning </w:t>
      </w:r>
    </w:p>
    <w:p w14:paraId="47E48790" w14:textId="77777777" w:rsidR="00205F50" w:rsidRPr="00E54F86" w:rsidRDefault="00205F50" w:rsidP="00205F50">
      <w:pPr>
        <w:tabs>
          <w:tab w:val="left" w:pos="5040"/>
        </w:tabs>
      </w:pPr>
      <w:r w:rsidRPr="00E54F86">
        <w:t>4.11 12 x 75 mm test tubes</w:t>
      </w:r>
      <w:r w:rsidRPr="00E54F86">
        <w:tab/>
        <w:t>BD Falcon</w:t>
      </w:r>
    </w:p>
    <w:p w14:paraId="2531860B" w14:textId="77777777" w:rsidR="00205F50" w:rsidRPr="00E54F86" w:rsidRDefault="00205F50" w:rsidP="00205F50">
      <w:pPr>
        <w:tabs>
          <w:tab w:val="left" w:pos="5040"/>
        </w:tabs>
      </w:pPr>
      <w:r w:rsidRPr="00E54F86">
        <w:t>4.12</w:t>
      </w:r>
      <w:r>
        <w:t xml:space="preserve"> Gloves </w:t>
      </w:r>
      <w:r>
        <w:tab/>
        <w:t>SPD</w:t>
      </w:r>
    </w:p>
    <w:p w14:paraId="77F00898" w14:textId="77777777" w:rsidR="00205F50" w:rsidRPr="00E54F86" w:rsidRDefault="00205F50" w:rsidP="00205F50">
      <w:pPr>
        <w:tabs>
          <w:tab w:val="left" w:pos="5040"/>
        </w:tabs>
      </w:pPr>
      <w:r w:rsidRPr="00E54F86">
        <w:t>4.13 Pipets (5, 10, 25ml), individually wrapped</w:t>
      </w:r>
      <w:r w:rsidRPr="00E54F86">
        <w:tab/>
        <w:t>Fisher Scientific</w:t>
      </w:r>
    </w:p>
    <w:p w14:paraId="4E869CB0" w14:textId="77777777" w:rsidR="00205F50" w:rsidRPr="00E54F86" w:rsidRDefault="00205F50" w:rsidP="00205F50">
      <w:pPr>
        <w:tabs>
          <w:tab w:val="left" w:pos="5040"/>
        </w:tabs>
      </w:pPr>
      <w:r w:rsidRPr="00E54F86">
        <w:t>4.14 Pipettor tips 1-100 µl, 101-1000 µl</w:t>
      </w:r>
      <w:r w:rsidRPr="00E54F86">
        <w:tab/>
        <w:t xml:space="preserve">Fisher </w:t>
      </w:r>
    </w:p>
    <w:p w14:paraId="1D35F451" w14:textId="77777777" w:rsidR="00205F50" w:rsidRPr="00E54F86" w:rsidRDefault="00205F50" w:rsidP="00205F50">
      <w:pPr>
        <w:tabs>
          <w:tab w:val="left" w:pos="5040"/>
        </w:tabs>
      </w:pPr>
      <w:r w:rsidRPr="00E54F86">
        <w:t>4.15 Sterile water</w:t>
      </w:r>
      <w:r w:rsidRPr="00E54F86">
        <w:tab/>
        <w:t xml:space="preserve">Fisher </w:t>
      </w:r>
    </w:p>
    <w:p w14:paraId="39EA7BE0" w14:textId="77777777" w:rsidR="00205F50" w:rsidRPr="00E54F86" w:rsidRDefault="00205F50" w:rsidP="00205F50">
      <w:pPr>
        <w:tabs>
          <w:tab w:val="left" w:pos="5040"/>
        </w:tabs>
      </w:pPr>
      <w:r w:rsidRPr="00E54F86">
        <w:t>4.16 Microcentrifuge tubes</w:t>
      </w:r>
      <w:r w:rsidRPr="00E54F86">
        <w:tab/>
        <w:t xml:space="preserve">Fisher </w:t>
      </w:r>
    </w:p>
    <w:p w14:paraId="739F1FE8" w14:textId="77777777" w:rsidR="00205F50" w:rsidRPr="00E54F86" w:rsidRDefault="00205F50" w:rsidP="00205F50">
      <w:pPr>
        <w:tabs>
          <w:tab w:val="left" w:pos="5040"/>
        </w:tabs>
      </w:pPr>
      <w:r w:rsidRPr="00E54F86">
        <w:t>4.17 T25 tissue culture flask</w:t>
      </w:r>
      <w:r w:rsidRPr="00E54F86">
        <w:tab/>
        <w:t xml:space="preserve">Nunc </w:t>
      </w:r>
    </w:p>
    <w:p w14:paraId="3A97F7D3" w14:textId="77777777" w:rsidR="00205F50" w:rsidRPr="00206011" w:rsidRDefault="00205F50" w:rsidP="00205F50">
      <w:pPr>
        <w:tabs>
          <w:tab w:val="left" w:pos="5040"/>
          <w:tab w:val="center" w:pos="7200"/>
        </w:tabs>
        <w:contextualSpacing/>
        <w:jc w:val="both"/>
        <w:rPr>
          <w:rFonts w:ascii="Times New Roman" w:hAnsi="Times New Roman"/>
          <w:lang w:val="de-DE"/>
        </w:rPr>
      </w:pPr>
      <w:r w:rsidRPr="00206011">
        <w:rPr>
          <w:lang w:val="de-DE"/>
        </w:rPr>
        <w:t xml:space="preserve">4.18 </w:t>
      </w:r>
      <w:r w:rsidRPr="00206011">
        <w:rPr>
          <w:rFonts w:ascii="Times New Roman" w:hAnsi="Times New Roman"/>
          <w:lang w:val="de-DE"/>
        </w:rPr>
        <w:t>Dimethyl sulfoxide (DMSO)</w:t>
      </w:r>
      <w:r w:rsidRPr="00206011">
        <w:rPr>
          <w:rFonts w:ascii="Times New Roman" w:hAnsi="Times New Roman"/>
          <w:lang w:val="de-DE"/>
        </w:rPr>
        <w:tab/>
        <w:t>Origen</w:t>
      </w:r>
    </w:p>
    <w:p w14:paraId="730B2CE5" w14:textId="77777777" w:rsidR="00205F50" w:rsidRPr="00206011" w:rsidRDefault="00205F50" w:rsidP="00205F50">
      <w:pPr>
        <w:tabs>
          <w:tab w:val="left" w:pos="5040"/>
        </w:tabs>
        <w:rPr>
          <w:lang w:val="de-DE"/>
        </w:rPr>
      </w:pPr>
      <w:r w:rsidRPr="00206011">
        <w:rPr>
          <w:lang w:val="de-DE"/>
        </w:rPr>
        <w:t>4.19 Syringe (1cc)</w:t>
      </w:r>
      <w:r w:rsidRPr="00206011">
        <w:rPr>
          <w:lang w:val="de-DE"/>
        </w:rPr>
        <w:tab/>
        <w:t>BD</w:t>
      </w:r>
    </w:p>
    <w:p w14:paraId="0EC645D4" w14:textId="77777777" w:rsidR="00205F50" w:rsidRPr="00E54F86" w:rsidRDefault="00205F50" w:rsidP="00205F50">
      <w:pPr>
        <w:tabs>
          <w:tab w:val="left" w:pos="5040"/>
        </w:tabs>
      </w:pPr>
      <w:r w:rsidRPr="00E54F86">
        <w:t>4.20 Needles (18 gauge)</w:t>
      </w:r>
      <w:r w:rsidRPr="00E54F86">
        <w:tab/>
        <w:t>BD</w:t>
      </w:r>
    </w:p>
    <w:p w14:paraId="67719A93" w14:textId="77777777" w:rsidR="00205F50" w:rsidRPr="00E54F86" w:rsidRDefault="00205F50" w:rsidP="00205F50">
      <w:pPr>
        <w:tabs>
          <w:tab w:val="left" w:pos="5040"/>
        </w:tabs>
      </w:pPr>
      <w:r w:rsidRPr="00E54F86">
        <w:t xml:space="preserve">4.21 Alcohol wipes </w:t>
      </w:r>
      <w:r w:rsidRPr="00E54F86">
        <w:tab/>
        <w:t>ITW Textwipe</w:t>
      </w:r>
    </w:p>
    <w:p w14:paraId="0C43DAF6" w14:textId="77777777" w:rsidR="00205F50" w:rsidRPr="00E54F86" w:rsidRDefault="00205F50" w:rsidP="00205F50">
      <w:pPr>
        <w:tabs>
          <w:tab w:val="left" w:pos="5040"/>
        </w:tabs>
      </w:pPr>
      <w:r w:rsidRPr="00E54F86">
        <w:t>4.22 Lymphocyte separation medium</w:t>
      </w:r>
      <w:r w:rsidRPr="00E54F86">
        <w:tab/>
        <w:t>MP Biomedicals, LLC</w:t>
      </w:r>
    </w:p>
    <w:p w14:paraId="2233D5E0" w14:textId="77777777" w:rsidR="00205F50" w:rsidRPr="00E54F86" w:rsidRDefault="00205F50" w:rsidP="00205F50">
      <w:pPr>
        <w:tabs>
          <w:tab w:val="left" w:pos="5040"/>
        </w:tabs>
      </w:pPr>
    </w:p>
    <w:p w14:paraId="39A0C94B"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685710B2" w14:textId="77777777" w:rsidR="00205F50" w:rsidRPr="00E54F86" w:rsidRDefault="00205F50" w:rsidP="00205F50">
      <w:pPr>
        <w:jc w:val="both"/>
        <w:rPr>
          <w:rFonts w:ascii="Times New Roman" w:hAnsi="Times New Roman"/>
          <w:b/>
          <w:sz w:val="28"/>
          <w:szCs w:val="28"/>
        </w:rPr>
      </w:pPr>
    </w:p>
    <w:p w14:paraId="6F285D52" w14:textId="77777777" w:rsidR="00205F50" w:rsidRPr="00E54F86" w:rsidRDefault="00205F50" w:rsidP="00205F50">
      <w:pPr>
        <w:tabs>
          <w:tab w:val="left" w:pos="5760"/>
        </w:tabs>
        <w:ind w:left="720" w:hanging="720"/>
      </w:pPr>
      <w:r w:rsidRPr="00E54F86">
        <w:t>5.1</w:t>
      </w:r>
      <w:r w:rsidRPr="00E54F86">
        <w:tab/>
        <w:t>Biological Safety Cabinet</w:t>
      </w:r>
    </w:p>
    <w:p w14:paraId="7A90F8C3" w14:textId="77777777" w:rsidR="00205F50" w:rsidRPr="00E54F86" w:rsidRDefault="00205F50" w:rsidP="00205F50">
      <w:pPr>
        <w:tabs>
          <w:tab w:val="left" w:pos="5760"/>
        </w:tabs>
        <w:ind w:left="720" w:hanging="720"/>
      </w:pPr>
      <w:r w:rsidRPr="00E54F86">
        <w:t>5.2</w:t>
      </w:r>
      <w:r w:rsidRPr="00E54F86">
        <w:tab/>
        <w:t>Refrigerated centrifuge</w:t>
      </w:r>
    </w:p>
    <w:p w14:paraId="26A45949" w14:textId="77777777" w:rsidR="00205F50" w:rsidRPr="00E54F86" w:rsidRDefault="00205F50" w:rsidP="00205F50">
      <w:pPr>
        <w:tabs>
          <w:tab w:val="left" w:pos="5760"/>
        </w:tabs>
        <w:ind w:left="720" w:hanging="720"/>
      </w:pPr>
      <w:r w:rsidRPr="00E54F86">
        <w:t>5.3</w:t>
      </w:r>
      <w:r w:rsidRPr="00E54F86">
        <w:tab/>
        <w:t>Pipet-aid</w:t>
      </w:r>
    </w:p>
    <w:p w14:paraId="0A021685" w14:textId="77777777" w:rsidR="00205F50" w:rsidRPr="00F42B20" w:rsidRDefault="00205F50" w:rsidP="00205F50">
      <w:pPr>
        <w:tabs>
          <w:tab w:val="left" w:pos="5760"/>
        </w:tabs>
        <w:ind w:left="720" w:hanging="720"/>
        <w:rPr>
          <w:lang w:val="it-IT"/>
        </w:rPr>
      </w:pPr>
      <w:r w:rsidRPr="00F42B20">
        <w:rPr>
          <w:lang w:val="it-IT"/>
        </w:rPr>
        <w:t>5.4</w:t>
      </w:r>
      <w:r w:rsidRPr="00F42B20">
        <w:rPr>
          <w:lang w:val="it-IT"/>
        </w:rPr>
        <w:tab/>
        <w:t xml:space="preserve">Pipettors 100-1000µl, 20-200µl, 2-20µl, </w:t>
      </w:r>
      <w:r w:rsidRPr="00F42B20">
        <w:rPr>
          <w:rFonts w:ascii="Times New Roman" w:hAnsi="Times New Roman"/>
          <w:lang w:val="it-IT"/>
        </w:rPr>
        <w:t>1-10µl</w:t>
      </w:r>
      <w:r w:rsidRPr="00F42B20">
        <w:rPr>
          <w:lang w:val="it-IT"/>
        </w:rPr>
        <w:tab/>
      </w:r>
    </w:p>
    <w:p w14:paraId="0D26AD5C" w14:textId="77777777" w:rsidR="00205F50" w:rsidRPr="00E54F86" w:rsidRDefault="00205F50" w:rsidP="00205F50">
      <w:pPr>
        <w:tabs>
          <w:tab w:val="left" w:pos="5760"/>
        </w:tabs>
        <w:ind w:left="720" w:hanging="720"/>
      </w:pPr>
      <w:r w:rsidRPr="00E54F86">
        <w:t>5.5</w:t>
      </w:r>
      <w:r w:rsidRPr="00E54F86">
        <w:tab/>
        <w:t>Microscope</w:t>
      </w:r>
    </w:p>
    <w:p w14:paraId="1FD54903" w14:textId="77777777" w:rsidR="00205F50" w:rsidRPr="00E54F86" w:rsidRDefault="00205F50" w:rsidP="00205F50">
      <w:pPr>
        <w:tabs>
          <w:tab w:val="left" w:pos="5760"/>
        </w:tabs>
        <w:ind w:left="720" w:hanging="720"/>
      </w:pPr>
      <w:r w:rsidRPr="00E54F86">
        <w:t xml:space="preserve">5.6   </w:t>
      </w:r>
      <w:r w:rsidRPr="00E54F86">
        <w:tab/>
        <w:t>ACT II diff Hematology Analyzer</w:t>
      </w:r>
    </w:p>
    <w:p w14:paraId="545EC078" w14:textId="77777777" w:rsidR="00205F50" w:rsidRPr="00E54F86" w:rsidRDefault="00205F50" w:rsidP="00205F50">
      <w:pPr>
        <w:tabs>
          <w:tab w:val="left" w:pos="5760"/>
        </w:tabs>
        <w:ind w:left="720" w:hanging="720"/>
      </w:pPr>
      <w:r w:rsidRPr="00E54F86">
        <w:t>5.7</w:t>
      </w:r>
      <w:r w:rsidRPr="00E54F86">
        <w:tab/>
        <w:t>Table top microcentrifuge</w:t>
      </w:r>
    </w:p>
    <w:p w14:paraId="520AA744" w14:textId="77777777" w:rsidR="00205F50" w:rsidRPr="00E54F86" w:rsidRDefault="00205F50" w:rsidP="00205F50">
      <w:pPr>
        <w:tabs>
          <w:tab w:val="left" w:pos="5760"/>
        </w:tabs>
        <w:ind w:left="720" w:hanging="720"/>
      </w:pPr>
      <w:r w:rsidRPr="00E54F86">
        <w:t xml:space="preserve">5.8 </w:t>
      </w:r>
      <w:r w:rsidRPr="00E54F86">
        <w:tab/>
        <w:t>CO</w:t>
      </w:r>
      <w:r w:rsidRPr="00E54F86">
        <w:rPr>
          <w:vertAlign w:val="subscript"/>
        </w:rPr>
        <w:t>2</w:t>
      </w:r>
      <w:r w:rsidRPr="00E54F86">
        <w:t xml:space="preserve"> incubator</w:t>
      </w:r>
    </w:p>
    <w:p w14:paraId="7DBFB637" w14:textId="77777777" w:rsidR="00205F50" w:rsidRPr="00E54F86" w:rsidRDefault="00205F50" w:rsidP="00205F50">
      <w:pPr>
        <w:pStyle w:val="ListParagraph"/>
        <w:jc w:val="both"/>
        <w:rPr>
          <w:rFonts w:ascii="Times New Roman" w:hAnsi="Times New Roman"/>
          <w:b/>
          <w:szCs w:val="24"/>
        </w:rPr>
      </w:pPr>
    </w:p>
    <w:p w14:paraId="3EBE4601"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Forms/Requisitions/Labels/Log Book</w:t>
      </w:r>
    </w:p>
    <w:p w14:paraId="24906F1A" w14:textId="77777777" w:rsidR="00205F50" w:rsidRPr="00E54F86" w:rsidRDefault="00205F50" w:rsidP="00205F50">
      <w:pPr>
        <w:jc w:val="both"/>
        <w:rPr>
          <w:rFonts w:ascii="Times New Roman" w:hAnsi="Times New Roman"/>
          <w:b/>
          <w:sz w:val="28"/>
          <w:szCs w:val="28"/>
        </w:rPr>
      </w:pPr>
    </w:p>
    <w:p w14:paraId="54031102" w14:textId="77777777" w:rsidR="00205F50" w:rsidRPr="00D11B0C" w:rsidRDefault="00205F50" w:rsidP="00205F50">
      <w:pPr>
        <w:tabs>
          <w:tab w:val="left" w:pos="5760"/>
        </w:tabs>
        <w:ind w:left="720" w:hanging="720"/>
      </w:pPr>
      <w:r w:rsidRPr="002623F8">
        <w:t>6.1</w:t>
      </w:r>
      <w:r w:rsidRPr="002623F8">
        <w:tab/>
        <w:t>Physician's order</w:t>
      </w:r>
    </w:p>
    <w:p w14:paraId="14B06E65" w14:textId="77777777" w:rsidR="00205F50" w:rsidRPr="00083FB6" w:rsidRDefault="00205F50" w:rsidP="00205F50">
      <w:pPr>
        <w:tabs>
          <w:tab w:val="left" w:pos="5760"/>
        </w:tabs>
        <w:ind w:left="720" w:hanging="720"/>
      </w:pPr>
      <w:r w:rsidRPr="00083FB6">
        <w:t>6.2</w:t>
      </w:r>
      <w:r w:rsidRPr="00083FB6">
        <w:tab/>
        <w:t>Acceptance of a stem cell product form</w:t>
      </w:r>
    </w:p>
    <w:p w14:paraId="4F87C50C" w14:textId="77777777" w:rsidR="00205F50" w:rsidRPr="00887B52" w:rsidRDefault="00205F50" w:rsidP="00205F50">
      <w:pPr>
        <w:pStyle w:val="Footer"/>
        <w:ind w:left="720" w:hanging="720"/>
      </w:pPr>
      <w:r w:rsidRPr="00887B52">
        <w:t>6.3</w:t>
      </w:r>
      <w:r w:rsidRPr="00887B52">
        <w:tab/>
      </w:r>
      <w:r w:rsidRPr="00887B52">
        <w:rPr>
          <w:szCs w:val="24"/>
        </w:rPr>
        <w:t>Donor prescreening for vCTL</w:t>
      </w:r>
      <w:r w:rsidRPr="00887B52">
        <w:t xml:space="preserve"> flowsheet</w:t>
      </w:r>
    </w:p>
    <w:p w14:paraId="269F4B95" w14:textId="77777777" w:rsidR="00205F50" w:rsidRPr="00887B52" w:rsidRDefault="00205F50" w:rsidP="00205F50">
      <w:pPr>
        <w:pStyle w:val="Footer"/>
        <w:ind w:left="720" w:hanging="720"/>
      </w:pPr>
      <w:r w:rsidRPr="00887B52">
        <w:t>6.4</w:t>
      </w:r>
      <w:r w:rsidRPr="00887B52">
        <w:tab/>
        <w:t>Blood Bank requisitions</w:t>
      </w:r>
    </w:p>
    <w:p w14:paraId="48234E06" w14:textId="77777777" w:rsidR="00205F50" w:rsidRPr="00887B52" w:rsidRDefault="00205F50" w:rsidP="00205F50">
      <w:pPr>
        <w:pStyle w:val="Footer"/>
        <w:ind w:left="720" w:hanging="720"/>
      </w:pPr>
      <w:r w:rsidRPr="00887B52">
        <w:t>6.5</w:t>
      </w:r>
      <w:r w:rsidRPr="00887B52">
        <w:tab/>
        <w:t>Virology requisitions</w:t>
      </w:r>
    </w:p>
    <w:p w14:paraId="0D750D2E" w14:textId="77777777" w:rsidR="00205F50" w:rsidRPr="00D11B0C" w:rsidRDefault="00205F50" w:rsidP="00205F50">
      <w:pPr>
        <w:tabs>
          <w:tab w:val="left" w:pos="5760"/>
        </w:tabs>
        <w:ind w:left="720" w:hanging="720"/>
      </w:pPr>
      <w:r w:rsidRPr="002623F8">
        <w:t xml:space="preserve">6.6 </w:t>
      </w:r>
      <w:r w:rsidRPr="002623F8">
        <w:tab/>
        <w:t xml:space="preserve">Patient's identification labels </w:t>
      </w:r>
    </w:p>
    <w:p w14:paraId="5E875EBF" w14:textId="77777777" w:rsidR="00205F50" w:rsidRPr="00887B52" w:rsidRDefault="00205F50" w:rsidP="00205F50">
      <w:pPr>
        <w:pStyle w:val="Footer"/>
        <w:tabs>
          <w:tab w:val="left" w:pos="540"/>
          <w:tab w:val="left" w:pos="5760"/>
        </w:tabs>
        <w:ind w:left="720" w:hanging="720"/>
      </w:pPr>
      <w:r w:rsidRPr="00887B52">
        <w:t xml:space="preserve">6.7 </w:t>
      </w:r>
      <w:r w:rsidRPr="00887B52">
        <w:tab/>
      </w:r>
      <w:r w:rsidRPr="00887B52">
        <w:tab/>
        <w:t>Intermediate labels</w:t>
      </w:r>
    </w:p>
    <w:p w14:paraId="0A4AB8B4" w14:textId="77777777" w:rsidR="00205F50" w:rsidRPr="00E54F86" w:rsidRDefault="00205F50" w:rsidP="00205F50">
      <w:pPr>
        <w:pStyle w:val="ListParagraph"/>
        <w:jc w:val="both"/>
        <w:rPr>
          <w:rFonts w:ascii="Times New Roman" w:hAnsi="Times New Roman"/>
          <w:b/>
          <w:szCs w:val="24"/>
        </w:rPr>
      </w:pPr>
    </w:p>
    <w:p w14:paraId="6F9C99C5"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65C4063D" w14:textId="77777777" w:rsidR="00205F50" w:rsidRPr="00E54F86" w:rsidRDefault="00205F50" w:rsidP="00205F50">
      <w:pPr>
        <w:pStyle w:val="ListParagraph"/>
        <w:rPr>
          <w:rFonts w:ascii="Times New Roman" w:hAnsi="Times New Roman"/>
          <w:b/>
          <w:sz w:val="28"/>
          <w:szCs w:val="28"/>
        </w:rPr>
      </w:pPr>
    </w:p>
    <w:p w14:paraId="2C302CC0" w14:textId="77777777" w:rsidR="00205F50" w:rsidRPr="00E54F86" w:rsidRDefault="00205F50" w:rsidP="00205F50">
      <w:pPr>
        <w:pStyle w:val="BodyTextIndent"/>
        <w:numPr>
          <w:ilvl w:val="1"/>
          <w:numId w:val="19"/>
        </w:numPr>
        <w:ind w:left="720" w:hanging="720"/>
        <w:jc w:val="left"/>
        <w:rPr>
          <w:szCs w:val="26"/>
        </w:rPr>
      </w:pPr>
      <w:r w:rsidRPr="00E54F86">
        <w:t>Reconstitute the 6 nmol viral peptides (CMV) with 200</w:t>
      </w:r>
      <w:r w:rsidRPr="00E54F86">
        <w:rPr>
          <w:rFonts w:ascii="Symbol" w:hAnsi="Symbol"/>
        </w:rPr>
        <w:t></w:t>
      </w:r>
      <w:r w:rsidRPr="00E54F86">
        <w:t>L sterile water by directly injecting through the rubber stopper using a 1ml syringe.  Vortex to mix.  Make 20</w:t>
      </w:r>
      <w:r w:rsidRPr="00E54F86">
        <w:rPr>
          <w:rFonts w:ascii="Symbol" w:hAnsi="Symbol"/>
        </w:rPr>
        <w:t></w:t>
      </w:r>
      <w:r w:rsidRPr="00E54F86">
        <w:t>L aliquots and store in ultra low freezer</w:t>
      </w:r>
      <w:r w:rsidRPr="00E54F86">
        <w:rPr>
          <w:szCs w:val="26"/>
        </w:rPr>
        <w:t xml:space="preserve">.  Each aliquot is labelled as 0.6nmol </w:t>
      </w:r>
      <w:r w:rsidRPr="00E54F86">
        <w:t>CMV</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and expiration date.</w:t>
      </w:r>
      <w:r w:rsidRPr="00E54F86">
        <w:t xml:space="preserve"> Label each aliquot container with the reagent name, lot number, expiration date, and hazard pictogram.</w:t>
      </w:r>
    </w:p>
    <w:p w14:paraId="4F318C61" w14:textId="77777777" w:rsidR="00205F50" w:rsidRPr="00E54F86" w:rsidRDefault="00205F50" w:rsidP="00205F50">
      <w:pPr>
        <w:pStyle w:val="BodyTextIndent"/>
        <w:ind w:left="0"/>
        <w:rPr>
          <w:szCs w:val="26"/>
        </w:rPr>
      </w:pPr>
    </w:p>
    <w:p w14:paraId="3AE33BC8" w14:textId="77777777" w:rsidR="00205F50" w:rsidRPr="00E54F86" w:rsidRDefault="00205F50" w:rsidP="00205F50">
      <w:pPr>
        <w:pStyle w:val="BodyTextIndent"/>
        <w:numPr>
          <w:ilvl w:val="1"/>
          <w:numId w:val="19"/>
        </w:numPr>
        <w:ind w:left="720" w:hanging="720"/>
        <w:jc w:val="left"/>
        <w:rPr>
          <w:szCs w:val="26"/>
        </w:rPr>
      </w:pPr>
      <w:r w:rsidRPr="00E54F86">
        <w:rPr>
          <w:szCs w:val="26"/>
        </w:rPr>
        <w:t>The positive control used is 20ng/ml PMA and 1</w:t>
      </w:r>
      <w:r w:rsidRPr="00E54F86">
        <w:rPr>
          <w:rFonts w:hint="eastAsia"/>
          <w:szCs w:val="26"/>
        </w:rPr>
        <w:t>μ</w:t>
      </w:r>
      <w:r w:rsidRPr="00E54F86">
        <w:rPr>
          <w:szCs w:val="26"/>
        </w:rPr>
        <w:t xml:space="preserve">g/ml ionomycin.  </w:t>
      </w:r>
    </w:p>
    <w:p w14:paraId="3A7939A1" w14:textId="77777777" w:rsidR="00205F50" w:rsidRPr="00E54F86" w:rsidRDefault="00205F50" w:rsidP="00205F50">
      <w:pPr>
        <w:pStyle w:val="ListParagraph"/>
        <w:rPr>
          <w:szCs w:val="26"/>
        </w:rPr>
      </w:pPr>
    </w:p>
    <w:p w14:paraId="57A4A463" w14:textId="77777777" w:rsidR="00205F50" w:rsidRPr="00E54F86" w:rsidRDefault="00205F50" w:rsidP="00205F50">
      <w:pPr>
        <w:pStyle w:val="BodyTextIndent"/>
        <w:numPr>
          <w:ilvl w:val="2"/>
          <w:numId w:val="19"/>
        </w:numPr>
        <w:ind w:left="1440"/>
        <w:jc w:val="left"/>
        <w:rPr>
          <w:szCs w:val="26"/>
        </w:rPr>
      </w:pPr>
      <w:r w:rsidRPr="00E54F86">
        <w:t>Resuspend 1mg of PMA in 1ml DMSO (1mg/ml). Vortex to mix.  Make 50</w:t>
      </w:r>
      <w:r w:rsidRPr="00E54F86">
        <w:rPr>
          <w:rFonts w:ascii="Symbol" w:hAnsi="Symbol"/>
        </w:rPr>
        <w:t></w:t>
      </w:r>
      <w:r w:rsidRPr="00E54F86">
        <w:t>l aliquots and store at -20C</w:t>
      </w:r>
      <w:r w:rsidRPr="00E54F86">
        <w:rPr>
          <w:szCs w:val="26"/>
        </w:rPr>
        <w:t xml:space="preserve">.  Make 1mg/ml </w:t>
      </w:r>
      <w:r w:rsidRPr="00E54F86">
        <w:t>ionomycin in DMSO the same way.</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and expiration date.</w:t>
      </w:r>
      <w:r w:rsidRPr="00E54F86">
        <w:t xml:space="preserve"> Label each aliquot container with the reagent name, lot number, expiration date, and hazard pictogram</w:t>
      </w:r>
      <w:r w:rsidRPr="00E54F86">
        <w:rPr>
          <w:szCs w:val="26"/>
        </w:rPr>
        <w:t>.</w:t>
      </w:r>
    </w:p>
    <w:p w14:paraId="62434E11" w14:textId="77777777" w:rsidR="00205F50" w:rsidRPr="00E54F86" w:rsidRDefault="00205F50" w:rsidP="00205F50">
      <w:pPr>
        <w:pStyle w:val="BodyTextIndent"/>
        <w:ind w:left="720"/>
        <w:rPr>
          <w:szCs w:val="26"/>
        </w:rPr>
      </w:pPr>
    </w:p>
    <w:p w14:paraId="4B16D5CA" w14:textId="77777777" w:rsidR="00205F50" w:rsidRPr="00E54F86" w:rsidRDefault="00205F50" w:rsidP="00205F50">
      <w:pPr>
        <w:pStyle w:val="BodyTextIndent"/>
        <w:numPr>
          <w:ilvl w:val="2"/>
          <w:numId w:val="19"/>
        </w:numPr>
        <w:ind w:left="1440"/>
        <w:jc w:val="left"/>
        <w:rPr>
          <w:szCs w:val="26"/>
        </w:rPr>
      </w:pPr>
      <w:r w:rsidRPr="00E54F86">
        <w:t>To make the PMA+ionomycin needed for step 7.6, thaw an aliquot of the two reagents:  Dilute 5</w:t>
      </w:r>
      <w:r w:rsidRPr="00E54F86">
        <w:rPr>
          <w:rFonts w:ascii="Symbol" w:hAnsi="Symbol"/>
        </w:rPr>
        <w:t></w:t>
      </w:r>
      <w:r w:rsidRPr="00E54F86">
        <w:t>l of 1mg/ml ionomycin (in DMSO) with 85</w:t>
      </w:r>
      <w:r w:rsidRPr="00E54F86">
        <w:rPr>
          <w:rFonts w:ascii="Symbol" w:hAnsi="Symbol"/>
        </w:rPr>
        <w:t></w:t>
      </w:r>
      <w:r w:rsidRPr="00E54F86">
        <w:t>l TexMACS medium. Vortex to mix.  Dilute 10</w:t>
      </w:r>
      <w:r w:rsidRPr="00E54F86">
        <w:rPr>
          <w:rFonts w:ascii="Symbol" w:hAnsi="Symbol"/>
        </w:rPr>
        <w:t></w:t>
      </w:r>
      <w:r w:rsidRPr="00E54F86">
        <w:t>l 1mg/ml PMA (in DMSO) into 990</w:t>
      </w:r>
      <w:r w:rsidRPr="00E54F86">
        <w:rPr>
          <w:rFonts w:ascii="Symbol" w:hAnsi="Symbol"/>
        </w:rPr>
        <w:t></w:t>
      </w:r>
      <w:r w:rsidRPr="00E54F86">
        <w:t>l TexMACS medium (now 10</w:t>
      </w:r>
      <w:r w:rsidRPr="00E54F86">
        <w:rPr>
          <w:rFonts w:hint="eastAsia"/>
          <w:szCs w:val="26"/>
        </w:rPr>
        <w:t>μ</w:t>
      </w:r>
      <w:r w:rsidRPr="00E54F86">
        <w:rPr>
          <w:szCs w:val="26"/>
        </w:rPr>
        <w:t>g/ml)</w:t>
      </w:r>
      <w:r w:rsidRPr="00E54F86">
        <w:t>. Vortex to mix.  Take 10</w:t>
      </w:r>
      <w:r w:rsidRPr="00E54F86">
        <w:rPr>
          <w:rFonts w:ascii="Symbol" w:hAnsi="Symbol"/>
        </w:rPr>
        <w:t></w:t>
      </w:r>
      <w:r w:rsidRPr="00E54F86">
        <w:t>l of 10</w:t>
      </w:r>
      <w:r w:rsidRPr="00E54F86">
        <w:rPr>
          <w:rFonts w:hint="eastAsia"/>
          <w:szCs w:val="26"/>
        </w:rPr>
        <w:t>μ</w:t>
      </w:r>
      <w:r w:rsidRPr="00E54F86">
        <w:rPr>
          <w:szCs w:val="26"/>
        </w:rPr>
        <w:t>g/ml</w:t>
      </w:r>
      <w:r w:rsidRPr="00E54F86">
        <w:t xml:space="preserve"> PMA and add it to the 90</w:t>
      </w:r>
      <w:r w:rsidRPr="00E54F86">
        <w:rPr>
          <w:rFonts w:ascii="Symbol" w:hAnsi="Symbol"/>
        </w:rPr>
        <w:t></w:t>
      </w:r>
      <w:r w:rsidRPr="00E54F86">
        <w:t>l of TexMACS containing ionomycin.  Thus, this 100</w:t>
      </w:r>
      <w:r w:rsidRPr="00E54F86">
        <w:rPr>
          <w:rFonts w:ascii="Symbol" w:hAnsi="Symbol"/>
        </w:rPr>
        <w:t></w:t>
      </w:r>
      <w:r w:rsidRPr="00E54F86">
        <w:t>l TexMACS contains 1</w:t>
      </w:r>
      <w:r w:rsidRPr="00E54F86">
        <w:rPr>
          <w:rFonts w:hint="eastAsia"/>
          <w:szCs w:val="26"/>
        </w:rPr>
        <w:t>μ</w:t>
      </w:r>
      <w:r w:rsidRPr="00E54F86">
        <w:rPr>
          <w:szCs w:val="26"/>
        </w:rPr>
        <w:t>g/ml</w:t>
      </w:r>
      <w:r w:rsidRPr="00E54F86">
        <w:t xml:space="preserve"> PMA and 50</w:t>
      </w:r>
      <w:r w:rsidRPr="00E54F86">
        <w:rPr>
          <w:rFonts w:hint="eastAsia"/>
          <w:szCs w:val="26"/>
        </w:rPr>
        <w:t>μ</w:t>
      </w:r>
      <w:r w:rsidRPr="00E54F86">
        <w:rPr>
          <w:szCs w:val="26"/>
        </w:rPr>
        <w:t>g/ml of ionomycin.</w:t>
      </w:r>
    </w:p>
    <w:p w14:paraId="46148AA3" w14:textId="77777777" w:rsidR="00205F50" w:rsidRPr="00E54F86" w:rsidRDefault="00205F50" w:rsidP="00205F50">
      <w:pPr>
        <w:pStyle w:val="BodyTextIndent"/>
        <w:ind w:left="1440" w:hanging="720"/>
        <w:rPr>
          <w:szCs w:val="26"/>
        </w:rPr>
      </w:pPr>
    </w:p>
    <w:tbl>
      <w:tblPr>
        <w:tblStyle w:val="TableGrid"/>
        <w:tblW w:w="8883" w:type="dxa"/>
        <w:tblInd w:w="720" w:type="dxa"/>
        <w:tblLook w:val="04A0" w:firstRow="1" w:lastRow="0" w:firstColumn="1" w:lastColumn="0" w:noHBand="0" w:noVBand="1"/>
      </w:tblPr>
      <w:tblGrid>
        <w:gridCol w:w="1256"/>
        <w:gridCol w:w="989"/>
        <w:gridCol w:w="2211"/>
        <w:gridCol w:w="1060"/>
        <w:gridCol w:w="2219"/>
        <w:gridCol w:w="1148"/>
      </w:tblGrid>
      <w:tr w:rsidR="00205F50" w:rsidRPr="00E54F86" w14:paraId="6C332D64" w14:textId="77777777" w:rsidTr="002718C5">
        <w:trPr>
          <w:trHeight w:val="267"/>
        </w:trPr>
        <w:tc>
          <w:tcPr>
            <w:tcW w:w="1256" w:type="dxa"/>
            <w:shd w:val="clear" w:color="auto" w:fill="BFBFBF" w:themeFill="background1" w:themeFillShade="BF"/>
          </w:tcPr>
          <w:p w14:paraId="1D176A68" w14:textId="77777777" w:rsidR="00205F50" w:rsidRPr="00E54F86" w:rsidRDefault="00205F50" w:rsidP="002718C5">
            <w:pPr>
              <w:jc w:val="center"/>
            </w:pPr>
          </w:p>
        </w:tc>
        <w:tc>
          <w:tcPr>
            <w:tcW w:w="989" w:type="dxa"/>
          </w:tcPr>
          <w:p w14:paraId="2659CD6F" w14:textId="77777777" w:rsidR="00205F50" w:rsidRPr="00E54F86" w:rsidRDefault="00205F50" w:rsidP="002718C5">
            <w:pPr>
              <w:jc w:val="center"/>
            </w:pPr>
            <w:r w:rsidRPr="00E54F86">
              <w:t>Conc</w:t>
            </w:r>
          </w:p>
        </w:tc>
        <w:tc>
          <w:tcPr>
            <w:tcW w:w="2211" w:type="dxa"/>
          </w:tcPr>
          <w:p w14:paraId="5E2AD0E5" w14:textId="77777777" w:rsidR="00205F50" w:rsidRPr="00E54F86" w:rsidRDefault="00205F50" w:rsidP="002718C5">
            <w:pPr>
              <w:jc w:val="center"/>
            </w:pPr>
            <w:r w:rsidRPr="00E54F86">
              <w:t>Ddilution</w:t>
            </w:r>
          </w:p>
        </w:tc>
        <w:tc>
          <w:tcPr>
            <w:tcW w:w="1060" w:type="dxa"/>
          </w:tcPr>
          <w:p w14:paraId="2B9CDC86" w14:textId="77777777" w:rsidR="00205F50" w:rsidRPr="00E54F86" w:rsidRDefault="00205F50" w:rsidP="002718C5">
            <w:pPr>
              <w:jc w:val="center"/>
            </w:pPr>
            <w:r w:rsidRPr="00E54F86">
              <w:t>Conc</w:t>
            </w:r>
          </w:p>
        </w:tc>
        <w:tc>
          <w:tcPr>
            <w:tcW w:w="2219" w:type="dxa"/>
          </w:tcPr>
          <w:p w14:paraId="3BC4D9C5" w14:textId="77777777" w:rsidR="00205F50" w:rsidRPr="00E54F86" w:rsidRDefault="00205F50" w:rsidP="002718C5">
            <w:pPr>
              <w:jc w:val="center"/>
            </w:pPr>
            <w:r w:rsidRPr="00E54F86">
              <w:t>Dilution</w:t>
            </w:r>
          </w:p>
        </w:tc>
        <w:tc>
          <w:tcPr>
            <w:tcW w:w="1148" w:type="dxa"/>
          </w:tcPr>
          <w:p w14:paraId="09E33349" w14:textId="77777777" w:rsidR="00205F50" w:rsidRPr="00E54F86" w:rsidRDefault="00205F50" w:rsidP="002718C5">
            <w:pPr>
              <w:jc w:val="center"/>
            </w:pPr>
            <w:r w:rsidRPr="00E54F86">
              <w:t>Conc</w:t>
            </w:r>
          </w:p>
        </w:tc>
      </w:tr>
      <w:tr w:rsidR="00205F50" w:rsidRPr="00E54F86" w14:paraId="422DB6ED" w14:textId="77777777" w:rsidTr="002718C5">
        <w:trPr>
          <w:trHeight w:val="549"/>
        </w:trPr>
        <w:tc>
          <w:tcPr>
            <w:tcW w:w="1256" w:type="dxa"/>
            <w:vAlign w:val="center"/>
          </w:tcPr>
          <w:p w14:paraId="0261462D" w14:textId="77777777" w:rsidR="00205F50" w:rsidRPr="00BC0D4F" w:rsidRDefault="00205F50" w:rsidP="002718C5">
            <w:r w:rsidRPr="00BC0D4F">
              <w:lastRenderedPageBreak/>
              <w:t>PMA</w:t>
            </w:r>
          </w:p>
        </w:tc>
        <w:tc>
          <w:tcPr>
            <w:tcW w:w="989" w:type="dxa"/>
            <w:vAlign w:val="center"/>
          </w:tcPr>
          <w:p w14:paraId="68CDCEBD" w14:textId="77777777" w:rsidR="00205F50" w:rsidRPr="00E54F86" w:rsidRDefault="00205F50" w:rsidP="002718C5">
            <w:r w:rsidRPr="00E54F86">
              <w:rPr>
                <w:rFonts w:ascii="Times New Roman" w:hAnsi="Times New Roman"/>
              </w:rPr>
              <w:t>1mg/ml</w:t>
            </w:r>
          </w:p>
        </w:tc>
        <w:tc>
          <w:tcPr>
            <w:tcW w:w="2211" w:type="dxa"/>
            <w:vAlign w:val="center"/>
          </w:tcPr>
          <w:p w14:paraId="3A8110D0" w14:textId="77777777" w:rsidR="00205F50" w:rsidRPr="00E54F86" w:rsidRDefault="00205F50" w:rsidP="002718C5">
            <w:r w:rsidRPr="00E54F86">
              <w:t>1:100 (10 into 990)</w:t>
            </w:r>
          </w:p>
        </w:tc>
        <w:tc>
          <w:tcPr>
            <w:tcW w:w="1060" w:type="dxa"/>
            <w:vAlign w:val="center"/>
          </w:tcPr>
          <w:p w14:paraId="046ED87A" w14:textId="77777777" w:rsidR="00205F50" w:rsidRPr="00E54F86" w:rsidRDefault="00205F50" w:rsidP="002718C5">
            <w:r w:rsidRPr="00E54F86">
              <w:t>10</w:t>
            </w:r>
            <w:r w:rsidRPr="00E54F86">
              <w:rPr>
                <w:rFonts w:hint="eastAsia"/>
                <w:szCs w:val="26"/>
              </w:rPr>
              <w:t>μ</w:t>
            </w:r>
            <w:r w:rsidRPr="00E54F86">
              <w:rPr>
                <w:szCs w:val="26"/>
              </w:rPr>
              <w:t>g/ml</w:t>
            </w:r>
          </w:p>
        </w:tc>
        <w:tc>
          <w:tcPr>
            <w:tcW w:w="2219" w:type="dxa"/>
            <w:vAlign w:val="center"/>
          </w:tcPr>
          <w:p w14:paraId="2B737CCA" w14:textId="77777777" w:rsidR="00205F50" w:rsidRPr="00BC0D4F" w:rsidRDefault="00205F50" w:rsidP="002718C5">
            <w:r w:rsidRPr="00BC0D4F">
              <w:t>1:10 (10 into 5+85)</w:t>
            </w:r>
          </w:p>
        </w:tc>
        <w:tc>
          <w:tcPr>
            <w:tcW w:w="1148" w:type="dxa"/>
            <w:vAlign w:val="center"/>
          </w:tcPr>
          <w:p w14:paraId="08871B44" w14:textId="77777777" w:rsidR="00205F50" w:rsidRPr="00E54F86" w:rsidRDefault="00205F50" w:rsidP="002718C5">
            <w:r w:rsidRPr="00E54F86">
              <w:t>1</w:t>
            </w:r>
            <w:r w:rsidRPr="00E54F86">
              <w:rPr>
                <w:rFonts w:hint="eastAsia"/>
                <w:szCs w:val="26"/>
              </w:rPr>
              <w:t>μ</w:t>
            </w:r>
            <w:r w:rsidRPr="00E54F86">
              <w:rPr>
                <w:szCs w:val="26"/>
              </w:rPr>
              <w:t>g/ml</w:t>
            </w:r>
          </w:p>
        </w:tc>
      </w:tr>
      <w:tr w:rsidR="00205F50" w:rsidRPr="00E54F86" w14:paraId="06ABAFB5" w14:textId="77777777" w:rsidTr="002718C5">
        <w:trPr>
          <w:trHeight w:val="534"/>
        </w:trPr>
        <w:tc>
          <w:tcPr>
            <w:tcW w:w="1256" w:type="dxa"/>
            <w:vAlign w:val="center"/>
          </w:tcPr>
          <w:p w14:paraId="6ECF76EA" w14:textId="77777777" w:rsidR="00205F50" w:rsidRPr="00BC0D4F" w:rsidRDefault="00205F50" w:rsidP="002718C5">
            <w:r w:rsidRPr="00BC0D4F">
              <w:t>Ionomycin</w:t>
            </w:r>
          </w:p>
        </w:tc>
        <w:tc>
          <w:tcPr>
            <w:tcW w:w="989" w:type="dxa"/>
            <w:vAlign w:val="center"/>
          </w:tcPr>
          <w:p w14:paraId="2811E087" w14:textId="77777777" w:rsidR="00205F50" w:rsidRPr="00E54F86" w:rsidRDefault="00205F50" w:rsidP="002718C5">
            <w:r w:rsidRPr="00E54F86">
              <w:rPr>
                <w:rFonts w:ascii="Times New Roman" w:hAnsi="Times New Roman"/>
              </w:rPr>
              <w:t>1mg/ml</w:t>
            </w:r>
          </w:p>
        </w:tc>
        <w:tc>
          <w:tcPr>
            <w:tcW w:w="2211" w:type="dxa"/>
            <w:shd w:val="clear" w:color="auto" w:fill="BFBFBF" w:themeFill="background1" w:themeFillShade="BF"/>
            <w:vAlign w:val="center"/>
          </w:tcPr>
          <w:p w14:paraId="50DF55B6" w14:textId="77777777" w:rsidR="00205F50" w:rsidRPr="00E54F86" w:rsidRDefault="00205F50" w:rsidP="002718C5"/>
        </w:tc>
        <w:tc>
          <w:tcPr>
            <w:tcW w:w="1060" w:type="dxa"/>
            <w:shd w:val="clear" w:color="auto" w:fill="BFBFBF" w:themeFill="background1" w:themeFillShade="BF"/>
            <w:vAlign w:val="center"/>
          </w:tcPr>
          <w:p w14:paraId="22E80993" w14:textId="77777777" w:rsidR="00205F50" w:rsidRPr="00E54F86" w:rsidRDefault="00205F50" w:rsidP="002718C5"/>
        </w:tc>
        <w:tc>
          <w:tcPr>
            <w:tcW w:w="2219" w:type="dxa"/>
            <w:vAlign w:val="center"/>
          </w:tcPr>
          <w:p w14:paraId="3AC419CE" w14:textId="77777777" w:rsidR="00205F50" w:rsidRPr="00BC0D4F" w:rsidRDefault="00205F50" w:rsidP="002718C5">
            <w:r w:rsidRPr="00BC0D4F">
              <w:t>1:20 (5 into 85+10)</w:t>
            </w:r>
          </w:p>
        </w:tc>
        <w:tc>
          <w:tcPr>
            <w:tcW w:w="1148" w:type="dxa"/>
            <w:vAlign w:val="center"/>
          </w:tcPr>
          <w:p w14:paraId="101EBFAB" w14:textId="77777777" w:rsidR="00205F50" w:rsidRPr="00E54F86" w:rsidRDefault="00205F50" w:rsidP="002718C5">
            <w:r w:rsidRPr="00E54F86">
              <w:t>50</w:t>
            </w:r>
            <w:r w:rsidRPr="00E54F86">
              <w:rPr>
                <w:rFonts w:hint="eastAsia"/>
                <w:szCs w:val="26"/>
              </w:rPr>
              <w:t>μ</w:t>
            </w:r>
            <w:r w:rsidRPr="00E54F86">
              <w:rPr>
                <w:szCs w:val="26"/>
              </w:rPr>
              <w:t>g/ml</w:t>
            </w:r>
          </w:p>
        </w:tc>
      </w:tr>
    </w:tbl>
    <w:p w14:paraId="03806928" w14:textId="77777777" w:rsidR="00205F50" w:rsidRPr="00E54F86" w:rsidRDefault="00205F50" w:rsidP="00205F50">
      <w:pPr>
        <w:pStyle w:val="BodyTextIndent"/>
        <w:ind w:left="720" w:hanging="720"/>
      </w:pPr>
    </w:p>
    <w:p w14:paraId="704ED20F" w14:textId="77777777" w:rsidR="00205F50" w:rsidRPr="00E54F86" w:rsidRDefault="00205F50" w:rsidP="00205F50">
      <w:pPr>
        <w:pStyle w:val="BodyTextIndent"/>
        <w:ind w:left="1440" w:hanging="720"/>
        <w:rPr>
          <w:szCs w:val="26"/>
        </w:rPr>
      </w:pPr>
      <w:r w:rsidRPr="00E54F86">
        <w:tab/>
        <w:t>After adding to the cells at 20</w:t>
      </w:r>
      <w:r w:rsidRPr="00E54F86">
        <w:rPr>
          <w:rFonts w:ascii="Symbol" w:hAnsi="Symbol"/>
        </w:rPr>
        <w:t></w:t>
      </w:r>
      <w:r w:rsidRPr="00E54F86">
        <w:t xml:space="preserve">l into ~1ml (~1:50), final concentrations will be </w:t>
      </w:r>
      <w:r w:rsidRPr="00E54F86">
        <w:rPr>
          <w:szCs w:val="26"/>
        </w:rPr>
        <w:t>20ng/ml PMA and 1</w:t>
      </w:r>
      <w:r w:rsidRPr="00E54F86">
        <w:rPr>
          <w:rFonts w:hint="eastAsia"/>
          <w:szCs w:val="26"/>
        </w:rPr>
        <w:t>μ</w:t>
      </w:r>
      <w:r w:rsidRPr="00E54F86">
        <w:rPr>
          <w:szCs w:val="26"/>
        </w:rPr>
        <w:t>g/ml ionomycin.</w:t>
      </w:r>
    </w:p>
    <w:p w14:paraId="1ADD81F0" w14:textId="77777777" w:rsidR="00205F50" w:rsidRPr="00E54F86" w:rsidRDefault="00205F50" w:rsidP="00205F50">
      <w:pPr>
        <w:pStyle w:val="BodyTextIndent"/>
        <w:ind w:left="1440" w:hanging="720"/>
        <w:rPr>
          <w:szCs w:val="26"/>
        </w:rPr>
      </w:pPr>
    </w:p>
    <w:p w14:paraId="3ECE8AA9" w14:textId="77777777" w:rsidR="00205F50" w:rsidRPr="00E54F86" w:rsidRDefault="00205F50" w:rsidP="00205F50">
      <w:pPr>
        <w:pStyle w:val="BodyTextIndent"/>
        <w:numPr>
          <w:ilvl w:val="2"/>
          <w:numId w:val="19"/>
        </w:numPr>
        <w:ind w:left="1440"/>
        <w:jc w:val="left"/>
      </w:pPr>
      <w:r w:rsidRPr="00E54F86">
        <w:t>All aliquots used in steps 7.2 are for single use.</w:t>
      </w:r>
    </w:p>
    <w:p w14:paraId="14AA5142" w14:textId="77777777" w:rsidR="00205F50" w:rsidRPr="00E54F86" w:rsidRDefault="00205F50" w:rsidP="00205F50">
      <w:pPr>
        <w:pStyle w:val="BodyTextIndent"/>
        <w:ind w:left="1440" w:hanging="720"/>
      </w:pPr>
    </w:p>
    <w:p w14:paraId="64FC1EFA" w14:textId="77777777" w:rsidR="00205F50" w:rsidRPr="00E54F86" w:rsidRDefault="00205F50" w:rsidP="00205F50">
      <w:pPr>
        <w:pStyle w:val="BodyTextIndent"/>
        <w:numPr>
          <w:ilvl w:val="1"/>
          <w:numId w:val="19"/>
        </w:numPr>
        <w:ind w:left="720" w:hanging="720"/>
        <w:jc w:val="left"/>
      </w:pPr>
      <w:r w:rsidRPr="00E54F86">
        <w:t>To prepare freshly collected (room temperature or higher) cells for testing for this protocol, prepare a PBMC sample using Ficoll gradient by centrifuging at 1500 rpm x 16.5 min.  Use at least 1-2x10</w:t>
      </w:r>
      <w:r w:rsidRPr="00E54F86">
        <w:rPr>
          <w:vertAlign w:val="superscript"/>
        </w:rPr>
        <w:t>8</w:t>
      </w:r>
      <w:r w:rsidRPr="00E54F86">
        <w:t xml:space="preserve"> total nucleated cells.  For apheresis product, this usually means ~1ml of volume, which can be diluted to 5ml using TexMACS medium and overlaid over 5ml of Ficoll in a 15ml tube.  For whole blood or marrow, this usually means more volume, which can be directly overlaid on Ficoll in a 15 or 50ml tube.</w:t>
      </w:r>
    </w:p>
    <w:p w14:paraId="373D3A08" w14:textId="77777777" w:rsidR="00205F50" w:rsidRPr="00E54F86" w:rsidRDefault="00205F50" w:rsidP="00205F50">
      <w:pPr>
        <w:pStyle w:val="BodyTextIndent"/>
        <w:ind w:left="0"/>
      </w:pPr>
    </w:p>
    <w:p w14:paraId="42E81D3F" w14:textId="77777777" w:rsidR="00205F50" w:rsidRPr="00E54F86" w:rsidRDefault="00205F50" w:rsidP="00205F50">
      <w:pPr>
        <w:pStyle w:val="BodyTextIndent"/>
        <w:numPr>
          <w:ilvl w:val="1"/>
          <w:numId w:val="19"/>
        </w:numPr>
        <w:ind w:left="720" w:hanging="720"/>
        <w:jc w:val="left"/>
      </w:pPr>
      <w:r w:rsidRPr="00E54F86">
        <w:t>Cells that have been refrigerated/frozen:</w:t>
      </w:r>
    </w:p>
    <w:p w14:paraId="5DB6D9A5" w14:textId="77777777" w:rsidR="00205F50" w:rsidRPr="00E54F86" w:rsidRDefault="00205F50" w:rsidP="00205F50">
      <w:pPr>
        <w:pStyle w:val="BodyTextIndent"/>
        <w:numPr>
          <w:ilvl w:val="2"/>
          <w:numId w:val="19"/>
        </w:numPr>
        <w:ind w:left="1440"/>
        <w:jc w:val="left"/>
      </w:pPr>
      <w:r w:rsidRPr="00E54F86">
        <w:t>If using frozen cells, start the procedure a day before.  Thaw a QC vial and resuspend the cells in 10ml TexMACS medium in a 15ml tube.  Centrifuge at 1200 rpm x 10min to wash away the DMSO.  Resuspend the pellet in a T25 tissue culture flask in TexMACS at a concentration &lt; 1x10</w:t>
      </w:r>
      <w:r w:rsidRPr="00E54F86">
        <w:rPr>
          <w:vertAlign w:val="superscript"/>
        </w:rPr>
        <w:t>7</w:t>
      </w:r>
      <w:r w:rsidRPr="00E54F86">
        <w:t xml:space="preserve">/ml, and let the cells recover in a 37C incubator overnight.  Non-viable cells and debris are expected.  </w:t>
      </w:r>
    </w:p>
    <w:p w14:paraId="4AC86E06" w14:textId="77777777" w:rsidR="00205F50" w:rsidRPr="00E54F86" w:rsidRDefault="00205F50" w:rsidP="00205F50">
      <w:pPr>
        <w:pStyle w:val="BodyTextIndent"/>
        <w:numPr>
          <w:ilvl w:val="3"/>
          <w:numId w:val="19"/>
        </w:numPr>
        <w:ind w:left="2160" w:hanging="720"/>
        <w:jc w:val="left"/>
      </w:pPr>
      <w:r w:rsidRPr="00E54F86">
        <w:t>Next day, mix the cells well and if possible, carefully pipette out the DNA aggregate or visible debris while minimizing cell loss.  Perform a cell count and viability using trypan blue.  Add fresh TexMACS and perform Ficoll as described in step 7.3.</w:t>
      </w:r>
    </w:p>
    <w:p w14:paraId="0631C947" w14:textId="77777777" w:rsidR="00205F50" w:rsidRPr="00E54F86" w:rsidRDefault="00205F50" w:rsidP="00205F50">
      <w:pPr>
        <w:pStyle w:val="BodyTextIndent"/>
        <w:numPr>
          <w:ilvl w:val="2"/>
          <w:numId w:val="19"/>
        </w:numPr>
        <w:ind w:left="1440"/>
        <w:jc w:val="left"/>
      </w:pPr>
      <w:r w:rsidRPr="00E54F86">
        <w:t>If using fresh cells that arrived in chilled state during transport/storage, culture them at 37C in TexMACS at &lt; 1x10</w:t>
      </w:r>
      <w:r w:rsidRPr="00E54F86">
        <w:rPr>
          <w:vertAlign w:val="superscript"/>
        </w:rPr>
        <w:t>7</w:t>
      </w:r>
      <w:r w:rsidRPr="00E54F86">
        <w:t xml:space="preserve">/ml for at least 1 hour and then perform Ficoll as described in step 7.3.  (Example: an NDMP product arriving the night before processing and stored at 4C.) </w:t>
      </w:r>
    </w:p>
    <w:p w14:paraId="3F036E40" w14:textId="77777777" w:rsidR="00205F50" w:rsidRPr="00E54F86" w:rsidRDefault="00205F50" w:rsidP="00205F50">
      <w:pPr>
        <w:pStyle w:val="BodyTextIndent"/>
        <w:ind w:left="396"/>
      </w:pPr>
    </w:p>
    <w:p w14:paraId="01A975B4" w14:textId="77777777" w:rsidR="00205F50" w:rsidRPr="00E54F86" w:rsidRDefault="00205F50" w:rsidP="00205F50">
      <w:pPr>
        <w:pStyle w:val="BodyTextIndent"/>
        <w:numPr>
          <w:ilvl w:val="1"/>
          <w:numId w:val="19"/>
        </w:numPr>
        <w:ind w:left="720" w:hanging="720"/>
        <w:jc w:val="left"/>
      </w:pPr>
      <w:r w:rsidRPr="00E54F86">
        <w:t>Collect the PBMC layer and transfer into a new 50ml tube.  Add more TexMACS to 45ml and centrifuge at 1200 rpm x 16.5min to wash away Ficoll.  Aspirate supernatant and resuspend cells in TexMACS to a final volume of 2ml.  Perform a cell count.  (With 2x10</w:t>
      </w:r>
      <w:r w:rsidRPr="00E54F86">
        <w:rPr>
          <w:vertAlign w:val="superscript"/>
        </w:rPr>
        <w:t>8</w:t>
      </w:r>
      <w:r w:rsidRPr="00E54F86">
        <w:t xml:space="preserve"> starting cells and a hypothetical 30% recovery, this gives 3x10</w:t>
      </w:r>
      <w:r w:rsidRPr="00E54F86">
        <w:rPr>
          <w:vertAlign w:val="superscript"/>
        </w:rPr>
        <w:t>7</w:t>
      </w:r>
      <w:r w:rsidRPr="00E54F86">
        <w:t>/ml x 2ml = 6x10</w:t>
      </w:r>
      <w:r w:rsidRPr="00E54F86">
        <w:rPr>
          <w:vertAlign w:val="superscript"/>
        </w:rPr>
        <w:t>7</w:t>
      </w:r>
      <w:r w:rsidRPr="00E54F86">
        <w:t xml:space="preserve"> cells.)  Adjust to a final live cell concentration of ~1x10</w:t>
      </w:r>
      <w:r w:rsidRPr="00E54F86">
        <w:rPr>
          <w:vertAlign w:val="superscript"/>
        </w:rPr>
        <w:t>7</w:t>
      </w:r>
      <w:r w:rsidRPr="00E54F86">
        <w:t>/ml.  (Take into account trypan blue viability if using thawed cells).</w:t>
      </w:r>
    </w:p>
    <w:p w14:paraId="5D1535CF" w14:textId="77777777" w:rsidR="00205F50" w:rsidRPr="00E54F86" w:rsidRDefault="00205F50" w:rsidP="00205F50">
      <w:pPr>
        <w:pStyle w:val="BodyTextIndent"/>
        <w:ind w:left="0"/>
      </w:pPr>
    </w:p>
    <w:p w14:paraId="11BE219E" w14:textId="77777777" w:rsidR="00205F50" w:rsidRPr="00E54F86" w:rsidRDefault="00205F50" w:rsidP="00205F50">
      <w:pPr>
        <w:pStyle w:val="BodyTextIndent"/>
        <w:numPr>
          <w:ilvl w:val="1"/>
          <w:numId w:val="19"/>
        </w:numPr>
        <w:ind w:left="720" w:hanging="720"/>
        <w:jc w:val="left"/>
      </w:pPr>
      <w:r w:rsidRPr="00E54F86">
        <w:t>Add 1ml (~1x10</w:t>
      </w:r>
      <w:r w:rsidRPr="00E54F86">
        <w:rPr>
          <w:vertAlign w:val="superscript"/>
        </w:rPr>
        <w:t>7</w:t>
      </w:r>
      <w:r w:rsidRPr="00E54F86">
        <w:t xml:space="preserve"> cells) to separate wells in a 24-well plate, with at least one empty well separating those with cells.  Use 20</w:t>
      </w:r>
      <w:r w:rsidRPr="00E54F86">
        <w:rPr>
          <w:rFonts w:ascii="Symbol" w:hAnsi="Symbol"/>
        </w:rPr>
        <w:t></w:t>
      </w:r>
      <w:r w:rsidRPr="00E54F86">
        <w:t>l TexMACS as negative control, 20</w:t>
      </w:r>
      <w:r w:rsidRPr="00E54F86">
        <w:rPr>
          <w:rFonts w:ascii="Symbol" w:hAnsi="Symbol"/>
        </w:rPr>
        <w:t></w:t>
      </w:r>
      <w:r w:rsidRPr="00E54F86">
        <w:t>l of the peptide aliquot for each virus to be tested, and 20</w:t>
      </w:r>
      <w:r w:rsidRPr="00E54F86">
        <w:rPr>
          <w:rFonts w:ascii="Symbol" w:hAnsi="Symbol"/>
        </w:rPr>
        <w:t></w:t>
      </w:r>
      <w:r w:rsidRPr="00E54F86">
        <w:t>L of the PMA+ionomycin mix (see step 7.2) as positive control.  Always process the cells in such an order to minimize carry-over contamination.  Mix carefully and place in 37C incubator with 5% CO</w:t>
      </w:r>
      <w:r w:rsidRPr="00E54F86">
        <w:rPr>
          <w:vertAlign w:val="subscript"/>
        </w:rPr>
        <w:t>2</w:t>
      </w:r>
      <w:r w:rsidRPr="00E54F86">
        <w:t xml:space="preserve"> for 4 hours.</w:t>
      </w:r>
    </w:p>
    <w:p w14:paraId="461C5A0E" w14:textId="77777777" w:rsidR="00205F50" w:rsidRPr="00E54F86" w:rsidRDefault="00205F50" w:rsidP="00205F50">
      <w:pPr>
        <w:pStyle w:val="ListParagraph"/>
        <w:rPr>
          <w:rFonts w:ascii="Times New Roman" w:hAnsi="Times New Roman"/>
        </w:rPr>
      </w:pPr>
    </w:p>
    <w:p w14:paraId="48B792A4" w14:textId="77777777" w:rsidR="00205F50" w:rsidRPr="00E54F86" w:rsidRDefault="00205F50" w:rsidP="00205F50">
      <w:pPr>
        <w:pStyle w:val="BodyTextIndent"/>
        <w:numPr>
          <w:ilvl w:val="2"/>
          <w:numId w:val="19"/>
        </w:numPr>
        <w:ind w:left="1440"/>
        <w:jc w:val="left"/>
      </w:pPr>
      <w:r w:rsidRPr="00E54F86">
        <w:t>If cell numbers are not adequate, sacrifice positive control volume first, before reducing volume in other wells.  A minimum of 0.5ml is needed to cover the well surface with adequate mixing.  Reduce the 20</w:t>
      </w:r>
      <w:r w:rsidRPr="00E54F86">
        <w:rPr>
          <w:rFonts w:ascii="Symbol" w:hAnsi="Symbol"/>
        </w:rPr>
        <w:t></w:t>
      </w:r>
      <w:r w:rsidRPr="00E54F86">
        <w:t>l media/peptide/PMA+ionomycin proportionally if &lt;1ml of cells are used.</w:t>
      </w:r>
    </w:p>
    <w:p w14:paraId="45818953" w14:textId="77777777" w:rsidR="00205F50" w:rsidRPr="00E54F86" w:rsidRDefault="00205F50" w:rsidP="00205F50">
      <w:pPr>
        <w:pStyle w:val="BodyTextIndent"/>
        <w:numPr>
          <w:ilvl w:val="2"/>
          <w:numId w:val="19"/>
        </w:numPr>
        <w:ind w:left="1440"/>
        <w:jc w:val="left"/>
      </w:pPr>
      <w:r w:rsidRPr="00E54F86">
        <w:t>This step and later ones, if needed, can be performed on an open bench.</w:t>
      </w:r>
    </w:p>
    <w:p w14:paraId="157E16A3" w14:textId="77777777" w:rsidR="00205F50" w:rsidRPr="00E54F86" w:rsidRDefault="00205F50" w:rsidP="00205F50">
      <w:pPr>
        <w:pStyle w:val="BodyTextIndent"/>
        <w:ind w:left="720"/>
      </w:pPr>
    </w:p>
    <w:p w14:paraId="21372AC2" w14:textId="77777777" w:rsidR="00205F50" w:rsidRPr="00E54F86" w:rsidRDefault="00205F50" w:rsidP="00205F50">
      <w:pPr>
        <w:pStyle w:val="BodyTextIndent"/>
        <w:numPr>
          <w:ilvl w:val="1"/>
          <w:numId w:val="19"/>
        </w:numPr>
        <w:ind w:left="720" w:hanging="720"/>
        <w:jc w:val="left"/>
      </w:pPr>
      <w:r w:rsidRPr="00E54F86">
        <w:rPr>
          <w:b/>
        </w:rPr>
        <w:t>COLD</w:t>
      </w:r>
      <w:r w:rsidRPr="00E54F86">
        <w:t>.  After 4 hours, mix the cells well and transfer 0.1ml (~1x10</w:t>
      </w:r>
      <w:r w:rsidRPr="00E54F86">
        <w:rPr>
          <w:vertAlign w:val="superscript"/>
        </w:rPr>
        <w:t>6</w:t>
      </w:r>
      <w:r w:rsidRPr="00E54F86">
        <w:t xml:space="preserve"> cells) of each of the treatment into an microfuge tube.  Add 0.4ml of cold TexMACS medium.  Quick spin 1 min in the microcentrifuge to pellet the cells. Pipette out the media carefully and completely, careful not to disturb the pellet.  Make a master mix of (90</w:t>
      </w:r>
      <w:r w:rsidRPr="00E54F86">
        <w:rPr>
          <w:rFonts w:ascii="Symbol" w:hAnsi="Symbol"/>
        </w:rPr>
        <w:t></w:t>
      </w:r>
      <w:r w:rsidRPr="00E54F86">
        <w:t>L cold TexMACS + 10</w:t>
      </w:r>
      <w:r w:rsidRPr="00E54F86">
        <w:rPr>
          <w:rFonts w:ascii="Symbol" w:hAnsi="Symbol"/>
        </w:rPr>
        <w:t></w:t>
      </w:r>
      <w:r w:rsidRPr="00E54F86">
        <w:t>L IFN</w:t>
      </w:r>
      <w:r w:rsidRPr="00E54F86">
        <w:rPr>
          <w:rFonts w:ascii="Symbol" w:hAnsi="Symbol"/>
        </w:rPr>
        <w:t></w:t>
      </w:r>
      <w:r w:rsidRPr="00E54F86">
        <w:t xml:space="preserve"> catch reagent) </w:t>
      </w:r>
      <w:r w:rsidRPr="00E54F86">
        <w:rPr>
          <w:rFonts w:ascii="Arial" w:hAnsi="Arial" w:cs="Arial"/>
        </w:rPr>
        <w:t>x</w:t>
      </w:r>
      <w:r w:rsidRPr="00E54F86">
        <w:t xml:space="preserve"> n, where n=number of samples.  Add 100</w:t>
      </w:r>
      <w:r w:rsidRPr="00E54F86">
        <w:rPr>
          <w:rFonts w:ascii="Symbol" w:hAnsi="Symbol"/>
        </w:rPr>
        <w:t></w:t>
      </w:r>
      <w:r w:rsidRPr="00E54F86">
        <w:t>l each to the cell pellet and resuspend. Incubate at 4C x 5min.</w:t>
      </w:r>
    </w:p>
    <w:p w14:paraId="5C700926" w14:textId="77777777" w:rsidR="00205F50" w:rsidRPr="00E54F86" w:rsidRDefault="00205F50" w:rsidP="00205F50">
      <w:pPr>
        <w:pStyle w:val="BodyTextIndent"/>
        <w:ind w:left="0"/>
      </w:pPr>
    </w:p>
    <w:p w14:paraId="511BEB3E" w14:textId="77777777" w:rsidR="00205F50" w:rsidRPr="00E54F86" w:rsidRDefault="00205F50" w:rsidP="00205F50">
      <w:pPr>
        <w:pStyle w:val="BodyTextIndent"/>
        <w:numPr>
          <w:ilvl w:val="1"/>
          <w:numId w:val="19"/>
        </w:numPr>
        <w:ind w:left="720" w:hanging="720"/>
        <w:jc w:val="left"/>
      </w:pPr>
      <w:r w:rsidRPr="00E54F86">
        <w:rPr>
          <w:b/>
        </w:rPr>
        <w:t>WARM</w:t>
      </w:r>
      <w:r w:rsidRPr="00E54F86">
        <w:t>.  After 5min, add 1ml of 37C TexMACS to each tube.  Incubate upright in a 37C incubator for 45min, inverting the tubes every 5-10 minutes to prevent the cells from settling.</w:t>
      </w:r>
    </w:p>
    <w:p w14:paraId="371C8DB4" w14:textId="77777777" w:rsidR="00205F50" w:rsidRPr="00E54F86" w:rsidRDefault="00205F50" w:rsidP="00205F50">
      <w:pPr>
        <w:pStyle w:val="ListParagraph"/>
        <w:rPr>
          <w:rFonts w:ascii="Times New Roman" w:hAnsi="Times New Roman"/>
        </w:rPr>
      </w:pPr>
    </w:p>
    <w:p w14:paraId="5D75069C" w14:textId="77777777" w:rsidR="00205F50" w:rsidRPr="00E54F86" w:rsidRDefault="00205F50" w:rsidP="00205F50">
      <w:pPr>
        <w:pStyle w:val="BodyTextIndent"/>
        <w:numPr>
          <w:ilvl w:val="1"/>
          <w:numId w:val="19"/>
        </w:numPr>
        <w:ind w:left="720" w:hanging="720"/>
        <w:jc w:val="left"/>
      </w:pPr>
      <w:r w:rsidRPr="00E54F86">
        <w:rPr>
          <w:b/>
        </w:rPr>
        <w:t xml:space="preserve">COLD. </w:t>
      </w:r>
      <w:r w:rsidRPr="00E54F86">
        <w:t xml:space="preserve"> After 45min, quick spin 1min in the microcentrifuge to pellet the cells. Remove supernatant carefully with a pipettor, be careful with the small pellet of ~1x10</w:t>
      </w:r>
      <w:r w:rsidRPr="00E54F86">
        <w:rPr>
          <w:vertAlign w:val="superscript"/>
        </w:rPr>
        <w:t>6</w:t>
      </w:r>
      <w:r w:rsidRPr="00E54F86">
        <w:t xml:space="preserve"> cells. Resuspend in 1ml of cold TexMACS and pellet in microcentrifuge again.  Remove supernatant carefully with a pipettor.  Make a master mix of (90</w:t>
      </w:r>
      <w:r w:rsidRPr="00E54F86">
        <w:rPr>
          <w:rFonts w:ascii="Symbol" w:hAnsi="Symbol"/>
        </w:rPr>
        <w:t></w:t>
      </w:r>
      <w:r w:rsidRPr="00E54F86">
        <w:t>l cold TexMACS + 10</w:t>
      </w:r>
      <w:r w:rsidRPr="00E54F86">
        <w:rPr>
          <w:rFonts w:ascii="Symbol" w:hAnsi="Symbol"/>
        </w:rPr>
        <w:t></w:t>
      </w:r>
      <w:r w:rsidRPr="00E54F86">
        <w:t>l IFN</w:t>
      </w:r>
      <w:r w:rsidRPr="00E54F86">
        <w:rPr>
          <w:rFonts w:ascii="Symbol" w:hAnsi="Symbol"/>
        </w:rPr>
        <w:t></w:t>
      </w:r>
      <w:r w:rsidRPr="00E54F86">
        <w:rPr>
          <w:rFonts w:ascii="Symbol" w:hAnsi="Symbol"/>
        </w:rPr>
        <w:t></w:t>
      </w:r>
      <w:r w:rsidRPr="00E54F86">
        <w:t>(PE) antibody + 10</w:t>
      </w:r>
      <w:r w:rsidRPr="00E54F86">
        <w:rPr>
          <w:rFonts w:ascii="Symbol" w:hAnsi="Symbol"/>
        </w:rPr>
        <w:t></w:t>
      </w:r>
      <w:r w:rsidRPr="00E54F86">
        <w:t xml:space="preserve">l CD4/CD8 T Cell detection cocktail) </w:t>
      </w:r>
      <w:r w:rsidRPr="00E54F86">
        <w:rPr>
          <w:rFonts w:ascii="Arial" w:hAnsi="Arial" w:cs="Arial"/>
        </w:rPr>
        <w:t>x</w:t>
      </w:r>
      <w:r w:rsidRPr="00E54F86">
        <w:t xml:space="preserve"> n.  Add 110</w:t>
      </w:r>
      <w:r w:rsidRPr="00E54F86">
        <w:rPr>
          <w:rFonts w:ascii="Symbol" w:hAnsi="Symbol"/>
        </w:rPr>
        <w:t></w:t>
      </w:r>
      <w:r w:rsidRPr="00E54F86">
        <w:t>l each to the cell pellet and resuspend.  Incubate at 4C x 10min.</w:t>
      </w:r>
    </w:p>
    <w:p w14:paraId="6D8B6ECD" w14:textId="77777777" w:rsidR="00205F50" w:rsidRPr="00E54F86" w:rsidRDefault="00205F50" w:rsidP="00205F50">
      <w:pPr>
        <w:pStyle w:val="ListParagraph"/>
        <w:rPr>
          <w:rFonts w:ascii="Times New Roman" w:hAnsi="Times New Roman"/>
        </w:rPr>
      </w:pPr>
    </w:p>
    <w:p w14:paraId="1926B067" w14:textId="77777777" w:rsidR="00205F50" w:rsidRPr="00E54F86" w:rsidRDefault="00205F50" w:rsidP="00205F50">
      <w:pPr>
        <w:pStyle w:val="BodyTextIndent"/>
        <w:numPr>
          <w:ilvl w:val="1"/>
          <w:numId w:val="19"/>
        </w:numPr>
        <w:ind w:left="720" w:hanging="720"/>
        <w:jc w:val="left"/>
      </w:pPr>
      <w:r w:rsidRPr="00E54F86">
        <w:rPr>
          <w:b/>
        </w:rPr>
        <w:t xml:space="preserve">COLD. </w:t>
      </w:r>
      <w:r w:rsidRPr="00E54F86">
        <w:t xml:space="preserve"> Wash cells by adding 1ml of cold TexMACS and quick spin 1min in the microcentrifuge to pellet the cells. Remove supernatant carefully with a pipettor, and resuspend cells in 0.5ml PBS.  Add 5</w:t>
      </w:r>
      <w:r w:rsidRPr="00E54F86">
        <w:rPr>
          <w:rFonts w:ascii="Symbol" w:hAnsi="Symbol"/>
        </w:rPr>
        <w:t></w:t>
      </w:r>
      <w:r w:rsidRPr="00E54F86">
        <w:t>l 7AAD (0.05mg/ml) to a final concentration of ~0.5</w:t>
      </w:r>
      <w:r w:rsidRPr="00E54F86">
        <w:rPr>
          <w:rFonts w:ascii="Symbol" w:hAnsi="Symbol"/>
        </w:rPr>
        <w:t></w:t>
      </w:r>
      <w:r>
        <w:t>g/ml and perform flow analysis.</w:t>
      </w:r>
      <w:r w:rsidRPr="00E54F86">
        <w:t xml:space="preserve"> Characterization of Cells by Flow Cytometry.  Acquire 300,000-500,000 events.</w:t>
      </w:r>
    </w:p>
    <w:p w14:paraId="7C4A11B1" w14:textId="77777777" w:rsidR="00205F50" w:rsidRPr="00E54F86" w:rsidRDefault="00205F50" w:rsidP="00205F50">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205F50" w:rsidRPr="00E54F86" w14:paraId="672A1C3B" w14:textId="77777777" w:rsidTr="002718C5">
        <w:tc>
          <w:tcPr>
            <w:tcW w:w="1368" w:type="dxa"/>
          </w:tcPr>
          <w:p w14:paraId="4095AEEF" w14:textId="77777777" w:rsidR="00205F50" w:rsidRPr="00E54F86" w:rsidRDefault="00205F50" w:rsidP="002718C5"/>
        </w:tc>
        <w:tc>
          <w:tcPr>
            <w:tcW w:w="1615" w:type="dxa"/>
          </w:tcPr>
          <w:p w14:paraId="4964D593" w14:textId="77777777" w:rsidR="00205F50" w:rsidRPr="00E54F86" w:rsidRDefault="00205F50" w:rsidP="002718C5">
            <w:r w:rsidRPr="00E54F86">
              <w:t>VioBlue</w:t>
            </w:r>
          </w:p>
        </w:tc>
        <w:tc>
          <w:tcPr>
            <w:tcW w:w="1265" w:type="dxa"/>
          </w:tcPr>
          <w:p w14:paraId="3C623E92" w14:textId="77777777" w:rsidR="00205F50" w:rsidRPr="00E54F86" w:rsidRDefault="00205F50" w:rsidP="002718C5">
            <w:r w:rsidRPr="00E54F86">
              <w:t>FITC</w:t>
            </w:r>
          </w:p>
        </w:tc>
        <w:tc>
          <w:tcPr>
            <w:tcW w:w="1350" w:type="dxa"/>
          </w:tcPr>
          <w:p w14:paraId="20073C89" w14:textId="77777777" w:rsidR="00205F50" w:rsidRPr="00E54F86" w:rsidRDefault="00205F50" w:rsidP="002718C5">
            <w:r w:rsidRPr="00E54F86">
              <w:t>PE</w:t>
            </w:r>
          </w:p>
        </w:tc>
        <w:tc>
          <w:tcPr>
            <w:tcW w:w="1821" w:type="dxa"/>
          </w:tcPr>
          <w:p w14:paraId="50AA10E9" w14:textId="77777777" w:rsidR="00205F50" w:rsidRPr="00E54F86" w:rsidRDefault="00205F50" w:rsidP="002718C5">
            <w:r w:rsidRPr="00E54F86">
              <w:t>PerCP</w:t>
            </w:r>
          </w:p>
        </w:tc>
        <w:tc>
          <w:tcPr>
            <w:tcW w:w="1437" w:type="dxa"/>
          </w:tcPr>
          <w:p w14:paraId="27579CE1" w14:textId="77777777" w:rsidR="00205F50" w:rsidRPr="00E54F86" w:rsidRDefault="00205F50" w:rsidP="002718C5">
            <w:r w:rsidRPr="00E54F86">
              <w:t>APC</w:t>
            </w:r>
          </w:p>
        </w:tc>
      </w:tr>
      <w:tr w:rsidR="00205F50" w:rsidRPr="00E54F86" w14:paraId="5D284FC4" w14:textId="77777777" w:rsidTr="002718C5">
        <w:tc>
          <w:tcPr>
            <w:tcW w:w="1368" w:type="dxa"/>
          </w:tcPr>
          <w:p w14:paraId="558A01FD" w14:textId="77777777" w:rsidR="00205F50" w:rsidRPr="00E54F86" w:rsidRDefault="00205F50" w:rsidP="002718C5">
            <w:r w:rsidRPr="00E54F86">
              <w:t>RCI cocktail</w:t>
            </w:r>
          </w:p>
        </w:tc>
        <w:tc>
          <w:tcPr>
            <w:tcW w:w="1615" w:type="dxa"/>
          </w:tcPr>
          <w:p w14:paraId="2A7B18BC" w14:textId="77777777" w:rsidR="00205F50" w:rsidRPr="00E54F86" w:rsidRDefault="00205F50" w:rsidP="002718C5">
            <w:r w:rsidRPr="00E54F86">
              <w:t>CD3</w:t>
            </w:r>
          </w:p>
        </w:tc>
        <w:tc>
          <w:tcPr>
            <w:tcW w:w="1265" w:type="dxa"/>
          </w:tcPr>
          <w:p w14:paraId="4F70A542" w14:textId="77777777" w:rsidR="00205F50" w:rsidRPr="00E54F86" w:rsidRDefault="00205F50" w:rsidP="002718C5">
            <w:r w:rsidRPr="00E54F86">
              <w:t>CD8</w:t>
            </w:r>
          </w:p>
        </w:tc>
        <w:tc>
          <w:tcPr>
            <w:tcW w:w="1350" w:type="dxa"/>
          </w:tcPr>
          <w:p w14:paraId="2F80C153" w14:textId="77777777" w:rsidR="00205F50" w:rsidRPr="00E54F86" w:rsidRDefault="00205F50" w:rsidP="002718C5">
            <w:r w:rsidRPr="00E54F86">
              <w:t>--</w:t>
            </w:r>
          </w:p>
        </w:tc>
        <w:tc>
          <w:tcPr>
            <w:tcW w:w="1821" w:type="dxa"/>
          </w:tcPr>
          <w:p w14:paraId="798559A7" w14:textId="77777777" w:rsidR="00205F50" w:rsidRPr="00E54F86" w:rsidRDefault="00205F50" w:rsidP="002718C5">
            <w:r w:rsidRPr="00E54F86">
              <w:t>CD14/CD20</w:t>
            </w:r>
          </w:p>
        </w:tc>
        <w:tc>
          <w:tcPr>
            <w:tcW w:w="1437" w:type="dxa"/>
          </w:tcPr>
          <w:p w14:paraId="0BCD46F8" w14:textId="77777777" w:rsidR="00205F50" w:rsidRPr="00E54F86" w:rsidRDefault="00205F50" w:rsidP="002718C5">
            <w:r w:rsidRPr="00E54F86">
              <w:t>CD4</w:t>
            </w:r>
          </w:p>
        </w:tc>
      </w:tr>
      <w:tr w:rsidR="00205F50" w:rsidRPr="00E54F86" w14:paraId="0A9F1973" w14:textId="77777777" w:rsidTr="002718C5">
        <w:tc>
          <w:tcPr>
            <w:tcW w:w="1368" w:type="dxa"/>
          </w:tcPr>
          <w:p w14:paraId="6E88EA77" w14:textId="77777777" w:rsidR="00205F50" w:rsidRPr="00E54F86" w:rsidRDefault="00205F50" w:rsidP="002718C5">
            <w:r w:rsidRPr="00E54F86">
              <w:t>Separate add</w:t>
            </w:r>
          </w:p>
        </w:tc>
        <w:tc>
          <w:tcPr>
            <w:tcW w:w="1615" w:type="dxa"/>
          </w:tcPr>
          <w:p w14:paraId="1597D663" w14:textId="77777777" w:rsidR="00205F50" w:rsidRPr="00E54F86" w:rsidRDefault="00205F50" w:rsidP="002718C5">
            <w:r w:rsidRPr="00E54F86">
              <w:t>--</w:t>
            </w:r>
          </w:p>
        </w:tc>
        <w:tc>
          <w:tcPr>
            <w:tcW w:w="1265" w:type="dxa"/>
          </w:tcPr>
          <w:p w14:paraId="7D0850E1" w14:textId="77777777" w:rsidR="00205F50" w:rsidRPr="00E54F86" w:rsidRDefault="00205F50" w:rsidP="002718C5">
            <w:r w:rsidRPr="00E54F86">
              <w:t>--</w:t>
            </w:r>
          </w:p>
        </w:tc>
        <w:tc>
          <w:tcPr>
            <w:tcW w:w="1350" w:type="dxa"/>
          </w:tcPr>
          <w:p w14:paraId="4313BB6D" w14:textId="77777777" w:rsidR="00205F50" w:rsidRPr="00E54F86" w:rsidRDefault="00205F50" w:rsidP="002718C5">
            <w:r w:rsidRPr="00E54F86">
              <w:t>IFN</w:t>
            </w:r>
            <w:r w:rsidRPr="00E54F86">
              <w:rPr>
                <w:rFonts w:ascii="Symbol" w:hAnsi="Symbol"/>
              </w:rPr>
              <w:t></w:t>
            </w:r>
          </w:p>
        </w:tc>
        <w:tc>
          <w:tcPr>
            <w:tcW w:w="1821" w:type="dxa"/>
          </w:tcPr>
          <w:p w14:paraId="670A2FD1" w14:textId="77777777" w:rsidR="00205F50" w:rsidRPr="00E54F86" w:rsidRDefault="00205F50" w:rsidP="002718C5">
            <w:r w:rsidRPr="00E54F86">
              <w:t>7AAD (just prior)</w:t>
            </w:r>
          </w:p>
        </w:tc>
        <w:tc>
          <w:tcPr>
            <w:tcW w:w="1437" w:type="dxa"/>
          </w:tcPr>
          <w:p w14:paraId="0CD9625C" w14:textId="77777777" w:rsidR="00205F50" w:rsidRPr="00E54F86" w:rsidRDefault="00205F50" w:rsidP="002718C5">
            <w:r w:rsidRPr="00E54F86">
              <w:t>--</w:t>
            </w:r>
          </w:p>
        </w:tc>
      </w:tr>
      <w:tr w:rsidR="00205F50" w:rsidRPr="00E54F86" w14:paraId="0069698E" w14:textId="77777777" w:rsidTr="002718C5">
        <w:tc>
          <w:tcPr>
            <w:tcW w:w="1368" w:type="dxa"/>
          </w:tcPr>
          <w:p w14:paraId="14A002D5" w14:textId="77777777" w:rsidR="00205F50" w:rsidRPr="00E54F86" w:rsidRDefault="00205F50" w:rsidP="002718C5">
            <w:r w:rsidRPr="00E54F86">
              <w:t>Analysis</w:t>
            </w:r>
          </w:p>
        </w:tc>
        <w:tc>
          <w:tcPr>
            <w:tcW w:w="1615" w:type="dxa"/>
          </w:tcPr>
          <w:p w14:paraId="599965BE" w14:textId="77777777" w:rsidR="00205F50" w:rsidRPr="00E54F86" w:rsidRDefault="00205F50" w:rsidP="002718C5">
            <w:r w:rsidRPr="00E54F86">
              <w:t>ND for Calibur</w:t>
            </w:r>
          </w:p>
        </w:tc>
        <w:tc>
          <w:tcPr>
            <w:tcW w:w="1265" w:type="dxa"/>
          </w:tcPr>
          <w:p w14:paraId="6CE104FC" w14:textId="77777777" w:rsidR="00205F50" w:rsidRPr="00E54F86" w:rsidRDefault="00205F50" w:rsidP="002718C5">
            <w:r w:rsidRPr="00E54F86">
              <w:t>CD8</w:t>
            </w:r>
          </w:p>
        </w:tc>
        <w:tc>
          <w:tcPr>
            <w:tcW w:w="1350" w:type="dxa"/>
          </w:tcPr>
          <w:p w14:paraId="0F892505" w14:textId="77777777" w:rsidR="00205F50" w:rsidRPr="00E54F86" w:rsidRDefault="00205F50" w:rsidP="002718C5">
            <w:r w:rsidRPr="00E54F86">
              <w:t>IFN</w:t>
            </w:r>
            <w:r w:rsidRPr="00E54F86">
              <w:rPr>
                <w:rFonts w:ascii="Symbol" w:hAnsi="Symbol"/>
              </w:rPr>
              <w:t></w:t>
            </w:r>
          </w:p>
        </w:tc>
        <w:tc>
          <w:tcPr>
            <w:tcW w:w="1821" w:type="dxa"/>
          </w:tcPr>
          <w:p w14:paraId="1B5DF2D5" w14:textId="77777777" w:rsidR="00205F50" w:rsidRPr="00E54F86" w:rsidRDefault="00205F50" w:rsidP="002718C5">
            <w:r w:rsidRPr="00E54F86">
              <w:t>Exclusion gate</w:t>
            </w:r>
          </w:p>
        </w:tc>
        <w:tc>
          <w:tcPr>
            <w:tcW w:w="1437" w:type="dxa"/>
          </w:tcPr>
          <w:p w14:paraId="7E3989D3" w14:textId="77777777" w:rsidR="00205F50" w:rsidRPr="00E54F86" w:rsidRDefault="00205F50" w:rsidP="002718C5">
            <w:r w:rsidRPr="00E54F86">
              <w:t>CD4</w:t>
            </w:r>
          </w:p>
        </w:tc>
      </w:tr>
    </w:tbl>
    <w:p w14:paraId="67031079" w14:textId="77777777" w:rsidR="00205F50" w:rsidRPr="00E54F86" w:rsidRDefault="00205F50" w:rsidP="00205F50">
      <w:pPr>
        <w:ind w:left="720" w:hanging="720"/>
        <w:rPr>
          <w:sz w:val="20"/>
        </w:rPr>
      </w:pPr>
      <w:r w:rsidRPr="00E54F86">
        <w:rPr>
          <w:sz w:val="20"/>
        </w:rPr>
        <w:tab/>
        <w:t>RCI = Rapid Cytokine Inspection kit, providing the CD4/CD8 T Cell detection cocktail</w:t>
      </w:r>
    </w:p>
    <w:p w14:paraId="7B9BF262" w14:textId="77777777" w:rsidR="00205F50" w:rsidRPr="00E54F86" w:rsidRDefault="00205F50" w:rsidP="00205F50">
      <w:pPr>
        <w:pStyle w:val="ListParagraph"/>
        <w:ind w:hanging="720"/>
        <w:jc w:val="both"/>
      </w:pPr>
    </w:p>
    <w:p w14:paraId="28AE8E91" w14:textId="77777777" w:rsidR="00205F50" w:rsidRPr="00E54F86" w:rsidRDefault="00205F50" w:rsidP="00205F50">
      <w:pPr>
        <w:pStyle w:val="ListParagraph"/>
        <w:numPr>
          <w:ilvl w:val="1"/>
          <w:numId w:val="19"/>
        </w:numPr>
        <w:overflowPunct w:val="0"/>
        <w:autoSpaceDE w:val="0"/>
        <w:autoSpaceDN w:val="0"/>
        <w:adjustRightInd w:val="0"/>
        <w:spacing w:after="0" w:line="240" w:lineRule="auto"/>
        <w:ind w:left="720" w:hanging="720"/>
        <w:contextualSpacing w:val="0"/>
        <w:textAlignment w:val="baseline"/>
      </w:pPr>
      <w:r w:rsidRPr="00E54F86">
        <w:t>Data analysis goes through the following gates:</w:t>
      </w:r>
    </w:p>
    <w:p w14:paraId="4BA018FB" w14:textId="77777777" w:rsidR="00205F50" w:rsidRPr="00E54F86" w:rsidRDefault="00205F50" w:rsidP="00205F50">
      <w:pPr>
        <w:pStyle w:val="ListParagraph"/>
        <w:numPr>
          <w:ilvl w:val="2"/>
          <w:numId w:val="19"/>
        </w:numPr>
        <w:overflowPunct w:val="0"/>
        <w:autoSpaceDE w:val="0"/>
        <w:autoSpaceDN w:val="0"/>
        <w:adjustRightInd w:val="0"/>
        <w:spacing w:after="0" w:line="240" w:lineRule="auto"/>
        <w:ind w:left="1440"/>
        <w:contextualSpacing w:val="0"/>
        <w:textAlignment w:val="baseline"/>
      </w:pPr>
      <w:r w:rsidRPr="00E54F86">
        <w:t xml:space="preserve">On FSC-SSC dot plot, gate on the lymphocytes (low FSC and low SSC). </w:t>
      </w:r>
    </w:p>
    <w:p w14:paraId="57EB39E3" w14:textId="77777777" w:rsidR="00205F50" w:rsidRPr="00E54F86" w:rsidRDefault="00205F50" w:rsidP="00205F50">
      <w:pPr>
        <w:pStyle w:val="ListParagraph"/>
        <w:numPr>
          <w:ilvl w:val="2"/>
          <w:numId w:val="19"/>
        </w:numPr>
        <w:overflowPunct w:val="0"/>
        <w:autoSpaceDE w:val="0"/>
        <w:autoSpaceDN w:val="0"/>
        <w:adjustRightInd w:val="0"/>
        <w:spacing w:after="0" w:line="240" w:lineRule="auto"/>
        <w:ind w:left="1440"/>
        <w:contextualSpacing w:val="0"/>
        <w:textAlignment w:val="baseline"/>
      </w:pPr>
      <w:r w:rsidRPr="00E54F86">
        <w:t>In the lymphocyte gate, display PerCP-SSC dot plot and exclude positive cells in the PerCP channel (CD14, CD20, 7AAD+ cells).</w:t>
      </w:r>
    </w:p>
    <w:p w14:paraId="76189819" w14:textId="77777777" w:rsidR="00205F50" w:rsidRPr="00E54F86" w:rsidRDefault="00205F50" w:rsidP="00205F50">
      <w:pPr>
        <w:pStyle w:val="ListParagraph"/>
        <w:numPr>
          <w:ilvl w:val="2"/>
          <w:numId w:val="19"/>
        </w:numPr>
        <w:overflowPunct w:val="0"/>
        <w:autoSpaceDE w:val="0"/>
        <w:autoSpaceDN w:val="0"/>
        <w:adjustRightInd w:val="0"/>
        <w:spacing w:after="0" w:line="240" w:lineRule="auto"/>
        <w:ind w:left="1440"/>
        <w:contextualSpacing w:val="0"/>
        <w:textAlignment w:val="baseline"/>
      </w:pPr>
      <w:r w:rsidRPr="00E54F86">
        <w:t>In the remaining cells, display CD4/IFN</w:t>
      </w:r>
      <w:r w:rsidRPr="00E54F86">
        <w:rPr>
          <w:rFonts w:ascii="Symbol" w:hAnsi="Symbol"/>
        </w:rPr>
        <w:t></w:t>
      </w:r>
      <w:r w:rsidRPr="00E54F86">
        <w:t xml:space="preserve"> and CD8/IFN</w:t>
      </w:r>
      <w:r w:rsidRPr="00E54F86">
        <w:rPr>
          <w:rFonts w:ascii="Symbol" w:hAnsi="Symbol"/>
        </w:rPr>
        <w:t></w:t>
      </w:r>
      <w:r w:rsidRPr="00E54F86">
        <w:t>, and gate on double positive cells.</w:t>
      </w:r>
    </w:p>
    <w:p w14:paraId="288FE0BC" w14:textId="77777777" w:rsidR="00205F50" w:rsidRPr="00E54F86" w:rsidRDefault="00205F50" w:rsidP="00205F50">
      <w:pPr>
        <w:pStyle w:val="ListParagraph"/>
        <w:ind w:hanging="720"/>
        <w:jc w:val="both"/>
        <w:rPr>
          <w:rFonts w:ascii="Times New Roman" w:hAnsi="Times New Roman"/>
          <w:b/>
          <w:szCs w:val="24"/>
        </w:rPr>
      </w:pPr>
    </w:p>
    <w:p w14:paraId="32AD4445" w14:textId="77777777" w:rsidR="00205F50" w:rsidRPr="00E54F86" w:rsidRDefault="00205F50" w:rsidP="00205F50">
      <w:pPr>
        <w:numPr>
          <w:ilvl w:val="0"/>
          <w:numId w:val="19"/>
        </w:numPr>
        <w:overflowPunct w:val="0"/>
        <w:autoSpaceDE w:val="0"/>
        <w:autoSpaceDN w:val="0"/>
        <w:adjustRightInd w:val="0"/>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3C20D8D8" w14:textId="77777777" w:rsidR="00205F50" w:rsidRPr="00E54F86" w:rsidRDefault="00205F50" w:rsidP="00205F50">
      <w:pPr>
        <w:jc w:val="both"/>
        <w:rPr>
          <w:rFonts w:ascii="Times New Roman" w:hAnsi="Times New Roman"/>
          <w:b/>
          <w:sz w:val="28"/>
          <w:szCs w:val="28"/>
        </w:rPr>
      </w:pPr>
    </w:p>
    <w:p w14:paraId="532B9EC6" w14:textId="77777777" w:rsidR="00205F50" w:rsidRPr="00E54F86" w:rsidRDefault="00205F50" w:rsidP="00205F50">
      <w:pPr>
        <w:numPr>
          <w:ilvl w:val="1"/>
          <w:numId w:val="19"/>
        </w:numPr>
        <w:overflowPunct w:val="0"/>
        <w:autoSpaceDE w:val="0"/>
        <w:autoSpaceDN w:val="0"/>
        <w:adjustRightInd w:val="0"/>
        <w:ind w:left="720" w:hanging="720"/>
        <w:jc w:val="both"/>
        <w:textAlignment w:val="baseline"/>
        <w:rPr>
          <w:rFonts w:ascii="Times New Roman" w:hAnsi="Times New Roman"/>
          <w:sz w:val="28"/>
          <w:szCs w:val="28"/>
        </w:rPr>
      </w:pPr>
      <w:r w:rsidRPr="00E54F86">
        <w:t>Unstimulated cells are expected to give little or no IFN</w:t>
      </w:r>
      <w:r w:rsidRPr="00E54F86">
        <w:rPr>
          <w:rFonts w:ascii="Symbol" w:hAnsi="Symbol"/>
        </w:rPr>
        <w:t></w:t>
      </w:r>
      <w:r w:rsidRPr="00E54F86">
        <w:t>+ cells.</w:t>
      </w:r>
    </w:p>
    <w:p w14:paraId="4B76F6A2" w14:textId="77777777" w:rsidR="00205F50" w:rsidRPr="00E54F86" w:rsidRDefault="00205F50" w:rsidP="00205F50">
      <w:pPr>
        <w:pStyle w:val="ListParagraph"/>
      </w:pPr>
      <w:r w:rsidRPr="00E54F86">
        <w:t>Stimulated cells are expected to give a small population of CD4/IFN</w:t>
      </w:r>
      <w:r w:rsidRPr="00E54F86">
        <w:rPr>
          <w:rFonts w:ascii="Symbol" w:hAnsi="Symbol"/>
        </w:rPr>
        <w:t></w:t>
      </w:r>
      <w:r w:rsidRPr="00E54F86">
        <w:t xml:space="preserve"> and/or CD8/IFN</w:t>
      </w:r>
      <w:r w:rsidRPr="00E54F86">
        <w:rPr>
          <w:rFonts w:ascii="Symbol" w:hAnsi="Symbol"/>
        </w:rPr>
        <w:t></w:t>
      </w:r>
      <w:r w:rsidRPr="00E54F86">
        <w:t xml:space="preserve"> double positive cells.  One example provided by Miltenyi shows 0.058% CD8/IFN</w:t>
      </w:r>
      <w:r w:rsidRPr="00E54F86">
        <w:rPr>
          <w:rFonts w:ascii="Symbol" w:hAnsi="Symbol"/>
        </w:rPr>
        <w:t></w:t>
      </w:r>
      <w:r w:rsidRPr="00E54F86">
        <w:t xml:space="preserve"> double positive cells.  In the same example, CD4/IFN</w:t>
      </w:r>
      <w:r w:rsidRPr="00E54F86">
        <w:rPr>
          <w:rFonts w:ascii="Symbol" w:hAnsi="Symbol"/>
        </w:rPr>
        <w:t></w:t>
      </w:r>
      <w:r w:rsidRPr="00E54F86">
        <w:t xml:space="preserve"> double positive cells are even fewer, at just 3 out of 614,897 cells, which will be below our cytometer’s limit of detection.</w:t>
      </w:r>
    </w:p>
    <w:p w14:paraId="2DE0837D" w14:textId="77777777" w:rsidR="00205F50" w:rsidRPr="00E54F86" w:rsidRDefault="00205F50" w:rsidP="00205F50">
      <w:pPr>
        <w:pStyle w:val="ListParagraph"/>
      </w:pPr>
      <w:r w:rsidRPr="00E54F86">
        <w:t>Cells stimulated with PMA/ionomycin should show marked increase in percentage of IFN</w:t>
      </w:r>
      <w:r w:rsidRPr="00E54F86">
        <w:rPr>
          <w:rFonts w:ascii="Symbol" w:hAnsi="Symbol"/>
        </w:rPr>
        <w:t></w:t>
      </w:r>
      <w:r w:rsidRPr="00E54F86">
        <w:t>+ cells.</w:t>
      </w:r>
    </w:p>
    <w:p w14:paraId="192115B3" w14:textId="77777777" w:rsidR="00205F50" w:rsidRPr="00E54F86" w:rsidRDefault="00205F50" w:rsidP="00205F50"/>
    <w:p w14:paraId="254A2BDA" w14:textId="77777777" w:rsidR="00205F50" w:rsidRPr="00E54F86" w:rsidRDefault="00205F50" w:rsidP="00205F50">
      <w:pPr>
        <w:ind w:left="720" w:hanging="720"/>
        <w:rPr>
          <w:rFonts w:ascii="Times New Roman" w:hAnsi="Times New Roman"/>
        </w:rPr>
      </w:pPr>
      <w:r w:rsidRPr="00E54F86">
        <w:rPr>
          <w:rFonts w:ascii="Times New Roman" w:hAnsi="Times New Roman"/>
        </w:rPr>
        <w:t>8.2</w:t>
      </w:r>
      <w:r w:rsidRPr="00E54F86">
        <w:rPr>
          <w:rFonts w:ascii="Times New Roman" w:hAnsi="Times New Roman"/>
        </w:rPr>
        <w:tab/>
        <w:t xml:space="preserve">Generally speaking, the following criteria are considered when deciding if a donor is suitable for vCTL manufacturing:  </w:t>
      </w:r>
    </w:p>
    <w:p w14:paraId="29810A09" w14:textId="77777777" w:rsidR="00205F50" w:rsidRPr="00E54F86" w:rsidRDefault="00205F50" w:rsidP="00205F50">
      <w:pPr>
        <w:pStyle w:val="ListParagraph"/>
        <w:numPr>
          <w:ilvl w:val="0"/>
          <w:numId w:val="17"/>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IFNγ+ cells &gt; 0.01 %</w:t>
      </w:r>
    </w:p>
    <w:p w14:paraId="566ACBD1" w14:textId="77777777" w:rsidR="00205F50" w:rsidRPr="00E54F86" w:rsidRDefault="00205F50" w:rsidP="00205F50">
      <w:pPr>
        <w:pStyle w:val="ListParagraph"/>
        <w:numPr>
          <w:ilvl w:val="0"/>
          <w:numId w:val="17"/>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At least 10 IFNγ+ events from 100,000 total events</w:t>
      </w:r>
    </w:p>
    <w:p w14:paraId="5A19F4E1" w14:textId="77777777" w:rsidR="00205F50" w:rsidRPr="00E54F86" w:rsidRDefault="00205F50" w:rsidP="00205F50">
      <w:pPr>
        <w:pStyle w:val="ListParagraph"/>
        <w:numPr>
          <w:ilvl w:val="0"/>
          <w:numId w:val="17"/>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Twice the IFNγ+ events than the negative control </w:t>
      </w:r>
    </w:p>
    <w:p w14:paraId="30D4416B" w14:textId="77777777" w:rsidR="00205F50" w:rsidRPr="00E54F86" w:rsidRDefault="00205F50" w:rsidP="00205F50">
      <w:pPr>
        <w:pStyle w:val="ListParagraph"/>
        <w:jc w:val="both"/>
        <w:rPr>
          <w:rFonts w:ascii="Times New Roman" w:hAnsi="Times New Roman"/>
          <w:szCs w:val="24"/>
        </w:rPr>
      </w:pPr>
    </w:p>
    <w:p w14:paraId="59DE6C01" w14:textId="77777777" w:rsidR="00205F50" w:rsidRPr="00E54F86" w:rsidRDefault="00205F50" w:rsidP="00205F50">
      <w:pPr>
        <w:pStyle w:val="ListParagraph"/>
        <w:numPr>
          <w:ilvl w:val="0"/>
          <w:numId w:val="19"/>
        </w:numPr>
        <w:overflowPunct w:val="0"/>
        <w:autoSpaceDE w:val="0"/>
        <w:autoSpaceDN w:val="0"/>
        <w:adjustRightInd w:val="0"/>
        <w:spacing w:after="0" w:line="240" w:lineRule="auto"/>
        <w:ind w:left="720" w:hanging="720"/>
        <w:contextualSpacing w:val="0"/>
        <w:textAlignment w:val="baseline"/>
        <w:rPr>
          <w:b/>
          <w:sz w:val="28"/>
          <w:szCs w:val="28"/>
        </w:rPr>
      </w:pPr>
      <w:r w:rsidRPr="00E54F86">
        <w:rPr>
          <w:b/>
          <w:sz w:val="28"/>
          <w:szCs w:val="28"/>
        </w:rPr>
        <w:t>Quality Control Tests</w:t>
      </w:r>
    </w:p>
    <w:p w14:paraId="44E23CCD" w14:textId="77777777" w:rsidR="00205F50" w:rsidRPr="00E54F86" w:rsidRDefault="00205F50" w:rsidP="00205F50">
      <w:pPr>
        <w:rPr>
          <w:b/>
          <w:sz w:val="28"/>
          <w:szCs w:val="28"/>
        </w:rPr>
      </w:pPr>
    </w:p>
    <w:p w14:paraId="36436787" w14:textId="77777777" w:rsidR="00205F50" w:rsidRPr="00E54F86" w:rsidRDefault="00205F50" w:rsidP="00205F50">
      <w:pPr>
        <w:pStyle w:val="ListParagraph"/>
        <w:numPr>
          <w:ilvl w:val="1"/>
          <w:numId w:val="19"/>
        </w:numPr>
        <w:overflowPunct w:val="0"/>
        <w:autoSpaceDE w:val="0"/>
        <w:autoSpaceDN w:val="0"/>
        <w:adjustRightInd w:val="0"/>
        <w:spacing w:after="0" w:line="240" w:lineRule="auto"/>
        <w:ind w:left="720" w:hanging="720"/>
        <w:contextualSpacing w:val="0"/>
        <w:textAlignment w:val="baseline"/>
        <w:rPr>
          <w:sz w:val="28"/>
          <w:szCs w:val="28"/>
        </w:rPr>
      </w:pPr>
      <w:r w:rsidRPr="00E54F86">
        <w:lastRenderedPageBreak/>
        <w:t>Nucleated cell counts and viability counts are performed on the initial product, at different points during the procedure as indicated in the SOP.</w:t>
      </w:r>
    </w:p>
    <w:p w14:paraId="52E784D4" w14:textId="77777777" w:rsidR="00205F50" w:rsidRPr="00E54F86" w:rsidRDefault="00205F50" w:rsidP="00205F50">
      <w:pPr>
        <w:rPr>
          <w:sz w:val="28"/>
          <w:szCs w:val="28"/>
        </w:rPr>
      </w:pPr>
    </w:p>
    <w:p w14:paraId="16DF8A3E" w14:textId="77777777" w:rsidR="00205F50" w:rsidRPr="00E54F86" w:rsidRDefault="00205F50" w:rsidP="00205F50">
      <w:pPr>
        <w:pStyle w:val="ListParagraph"/>
        <w:numPr>
          <w:ilvl w:val="1"/>
          <w:numId w:val="19"/>
        </w:numPr>
        <w:overflowPunct w:val="0"/>
        <w:autoSpaceDE w:val="0"/>
        <w:autoSpaceDN w:val="0"/>
        <w:adjustRightInd w:val="0"/>
        <w:spacing w:after="0" w:line="240" w:lineRule="auto"/>
        <w:ind w:left="720" w:hanging="720"/>
        <w:contextualSpacing w:val="0"/>
        <w:textAlignment w:val="baseline"/>
        <w:rPr>
          <w:sz w:val="28"/>
          <w:szCs w:val="28"/>
        </w:rPr>
      </w:pPr>
      <w:r w:rsidRPr="00E54F86">
        <w:t>CD4/IFN</w:t>
      </w:r>
      <w:r w:rsidRPr="00E54F86">
        <w:rPr>
          <w:rFonts w:ascii="Symbol" w:hAnsi="Symbol"/>
        </w:rPr>
        <w:t></w:t>
      </w:r>
      <w:r w:rsidRPr="00E54F86">
        <w:t xml:space="preserve"> and CD8/IFN</w:t>
      </w:r>
      <w:r w:rsidRPr="00E54F86">
        <w:rPr>
          <w:rFonts w:ascii="Symbol" w:hAnsi="Symbol"/>
        </w:rPr>
        <w:t></w:t>
      </w:r>
      <w:r w:rsidRPr="00E54F86">
        <w:t xml:space="preserve">, determination by Flow Cytometry is performed on the post-stimulation product. </w:t>
      </w:r>
    </w:p>
    <w:p w14:paraId="18C71C1B" w14:textId="77777777" w:rsidR="00205F50" w:rsidRPr="00E54F86" w:rsidRDefault="00205F50" w:rsidP="00205F50">
      <w:pPr>
        <w:ind w:left="440" w:hanging="440"/>
      </w:pPr>
    </w:p>
    <w:p w14:paraId="298DF866" w14:textId="6CD11FEF" w:rsidR="00205F50" w:rsidRPr="00E54F86" w:rsidRDefault="002F44EB" w:rsidP="00205F50">
      <w:pPr>
        <w:pStyle w:val="ListParagraph"/>
        <w:numPr>
          <w:ilvl w:val="0"/>
          <w:numId w:val="19"/>
        </w:numPr>
        <w:overflowPunct w:val="0"/>
        <w:autoSpaceDE w:val="0"/>
        <w:autoSpaceDN w:val="0"/>
        <w:adjustRightInd w:val="0"/>
        <w:spacing w:after="0" w:line="240" w:lineRule="auto"/>
        <w:contextualSpacing w:val="0"/>
        <w:textAlignment w:val="baseline"/>
        <w:rPr>
          <w:b/>
          <w:sz w:val="28"/>
          <w:szCs w:val="28"/>
        </w:rPr>
      </w:pPr>
      <w:r>
        <w:rPr>
          <w:b/>
          <w:sz w:val="28"/>
          <w:szCs w:val="28"/>
        </w:rPr>
        <w:t xml:space="preserve">  </w:t>
      </w:r>
      <w:r w:rsidR="00205F50" w:rsidRPr="00E54F86">
        <w:rPr>
          <w:b/>
          <w:sz w:val="28"/>
          <w:szCs w:val="28"/>
        </w:rPr>
        <w:t>References</w:t>
      </w:r>
    </w:p>
    <w:p w14:paraId="467F2A8F" w14:textId="77777777" w:rsidR="00205F50" w:rsidRPr="00E54F86" w:rsidRDefault="00205F50" w:rsidP="00205F50">
      <w:pPr>
        <w:rPr>
          <w:b/>
          <w:sz w:val="28"/>
          <w:szCs w:val="28"/>
        </w:rPr>
      </w:pPr>
    </w:p>
    <w:p w14:paraId="1790910F" w14:textId="77777777" w:rsidR="00205F50" w:rsidRPr="00E54F86" w:rsidRDefault="00205F50" w:rsidP="00205F50">
      <w:pPr>
        <w:pStyle w:val="ListParagraph"/>
        <w:numPr>
          <w:ilvl w:val="1"/>
          <w:numId w:val="19"/>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t>Rapid Cytokine Inspector kit. Miltenyi Biotec.</w:t>
      </w:r>
    </w:p>
    <w:p w14:paraId="2019AF83" w14:textId="77777777" w:rsidR="00205F50" w:rsidRPr="00E54F86" w:rsidRDefault="00205F50" w:rsidP="00205F50">
      <w:pPr>
        <w:ind w:left="720" w:hanging="720"/>
        <w:rPr>
          <w:bCs/>
          <w:szCs w:val="24"/>
        </w:rPr>
      </w:pPr>
    </w:p>
    <w:p w14:paraId="146EFDDF" w14:textId="77777777" w:rsidR="00205F50" w:rsidRPr="00E54F86" w:rsidRDefault="00205F50" w:rsidP="00205F50">
      <w:pPr>
        <w:pStyle w:val="ListParagraph"/>
        <w:numPr>
          <w:ilvl w:val="1"/>
          <w:numId w:val="19"/>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t>IFN</w:t>
      </w:r>
      <w:r w:rsidRPr="00E54F86">
        <w:rPr>
          <w:rFonts w:ascii="Symbol" w:hAnsi="Symbol"/>
          <w:bCs/>
          <w:szCs w:val="24"/>
        </w:rPr>
        <w:t></w:t>
      </w:r>
      <w:r w:rsidRPr="00E54F86">
        <w:rPr>
          <w:bCs/>
          <w:szCs w:val="24"/>
        </w:rPr>
        <w:t xml:space="preserve"> secretion assay detection kit.  Miltenyi Biotec</w:t>
      </w:r>
    </w:p>
    <w:p w14:paraId="010E2038" w14:textId="77777777" w:rsidR="00205F50" w:rsidRPr="00E54F86" w:rsidRDefault="00205F50" w:rsidP="00205F50">
      <w:pPr>
        <w:ind w:left="720" w:hanging="720"/>
        <w:rPr>
          <w:b/>
          <w:sz w:val="28"/>
          <w:szCs w:val="28"/>
        </w:rPr>
      </w:pPr>
    </w:p>
    <w:p w14:paraId="15F6AD68" w14:textId="77777777" w:rsidR="00205F50" w:rsidRPr="00E54F86" w:rsidRDefault="00205F50" w:rsidP="00205F50">
      <w:pPr>
        <w:pStyle w:val="BodyText2"/>
        <w:numPr>
          <w:ilvl w:val="1"/>
          <w:numId w:val="19"/>
        </w:numPr>
        <w:overflowPunct w:val="0"/>
        <w:autoSpaceDE w:val="0"/>
        <w:autoSpaceDN w:val="0"/>
        <w:adjustRightInd w:val="0"/>
        <w:ind w:left="720" w:hanging="720"/>
        <w:textAlignment w:val="baseline"/>
        <w:rPr>
          <w:rFonts w:ascii="Times New Roman" w:hAnsi="Times New Roman"/>
        </w:rPr>
      </w:pPr>
      <w:r w:rsidRPr="00E54F86">
        <w:rPr>
          <w:rFonts w:ascii="Times New Roman" w:hAnsi="Times New Roman"/>
        </w:rPr>
        <w:t xml:space="preserve">CTS_CCS staining strategy, prepared by Dr. Rebecca McHugh, </w:t>
      </w:r>
      <w:r w:rsidRPr="00E54F86">
        <w:rPr>
          <w:bCs/>
          <w:szCs w:val="24"/>
        </w:rPr>
        <w:t>Miltenyi Biotec.</w:t>
      </w:r>
    </w:p>
    <w:p w14:paraId="336736F1" w14:textId="7BABF73C" w:rsidR="00D50EC2" w:rsidRDefault="00D50EC2">
      <w:pPr>
        <w:spacing w:after="160" w:line="259" w:lineRule="auto"/>
        <w:rPr>
          <w:rFonts w:ascii="Arial" w:hAnsi="Arial" w:cs="Arial"/>
          <w:b/>
          <w:sz w:val="24"/>
          <w:szCs w:val="24"/>
        </w:rPr>
      </w:pPr>
      <w:r>
        <w:rPr>
          <w:rFonts w:ascii="Arial" w:hAnsi="Arial" w:cs="Arial"/>
          <w:b/>
          <w:sz w:val="24"/>
          <w:szCs w:val="24"/>
        </w:rPr>
        <w:br w:type="page"/>
      </w:r>
    </w:p>
    <w:p w14:paraId="2FCE4EB2" w14:textId="77777777" w:rsidR="00D50EC2" w:rsidRDefault="00D50EC2" w:rsidP="00D50EC2">
      <w:pPr>
        <w:pStyle w:val="Heading2"/>
        <w:keepNext w:val="0"/>
        <w:widowControl w:val="0"/>
        <w:tabs>
          <w:tab w:val="center" w:pos="4680"/>
        </w:tabs>
        <w:spacing w:before="0" w:after="0"/>
        <w:rPr>
          <w:i w:val="0"/>
          <w:iCs/>
        </w:rPr>
      </w:pPr>
      <w:r w:rsidRPr="002F07E8">
        <w:rPr>
          <w:i w:val="0"/>
          <w:iCs/>
        </w:rPr>
        <w:lastRenderedPageBreak/>
        <w:t xml:space="preserve">APPENDIX </w:t>
      </w:r>
      <w:r>
        <w:rPr>
          <w:i w:val="0"/>
          <w:iCs/>
        </w:rPr>
        <w:t xml:space="preserve">3:  Validation </w:t>
      </w:r>
      <w:r w:rsidRPr="002F07E8">
        <w:rPr>
          <w:i w:val="0"/>
          <w:iCs/>
        </w:rPr>
        <w:t>Product</w:t>
      </w:r>
      <w:r>
        <w:rPr>
          <w:i w:val="0"/>
          <w:iCs/>
        </w:rPr>
        <w:t xml:space="preserve">s </w:t>
      </w:r>
    </w:p>
    <w:p w14:paraId="18ADD2EA" w14:textId="77777777" w:rsidR="00D50EC2" w:rsidRDefault="00D50EC2" w:rsidP="00D50EC2">
      <w:pPr>
        <w:widowControl w:val="0"/>
        <w:rPr>
          <w:rFonts w:ascii="Arial" w:hAnsi="Arial" w:cs="Arial"/>
          <w:b/>
          <w:bCs/>
          <w:sz w:val="24"/>
        </w:rPr>
      </w:pPr>
    </w:p>
    <w:p w14:paraId="5F812316" w14:textId="77777777" w:rsidR="00D50EC2" w:rsidRPr="002F07E8" w:rsidRDefault="00D50EC2" w:rsidP="00D50EC2">
      <w:pPr>
        <w:widowControl w:val="0"/>
        <w:rPr>
          <w:rFonts w:ascii="Arial" w:hAnsi="Arial" w:cs="Arial"/>
          <w:b/>
          <w:bCs/>
          <w:sz w:val="24"/>
        </w:rPr>
      </w:pPr>
      <w:r w:rsidRPr="002F07E8">
        <w:rPr>
          <w:rFonts w:ascii="Arial" w:hAnsi="Arial" w:cs="Arial"/>
          <w:b/>
          <w:bCs/>
          <w:sz w:val="24"/>
        </w:rPr>
        <w:t xml:space="preserve">1.0 Objective: </w:t>
      </w:r>
    </w:p>
    <w:p w14:paraId="782BF927" w14:textId="77777777" w:rsidR="00D50EC2" w:rsidRDefault="00D50EC2" w:rsidP="00D50EC2">
      <w:pPr>
        <w:widowControl w:val="0"/>
        <w:rPr>
          <w:rFonts w:ascii="Arial" w:hAnsi="Arial" w:cs="Arial"/>
          <w:sz w:val="24"/>
        </w:rPr>
      </w:pPr>
      <w:r w:rsidRPr="00561B8D">
        <w:rPr>
          <w:rFonts w:ascii="Arial" w:hAnsi="Arial" w:cs="Arial"/>
          <w:sz w:val="24"/>
        </w:rPr>
        <w:tab/>
      </w:r>
      <w:r>
        <w:rPr>
          <w:rFonts w:ascii="Arial" w:hAnsi="Arial" w:cs="Arial"/>
          <w:sz w:val="24"/>
        </w:rPr>
        <w:t>To validate and c</w:t>
      </w:r>
      <w:r w:rsidRPr="00561B8D">
        <w:rPr>
          <w:rFonts w:ascii="Arial" w:hAnsi="Arial" w:cs="Arial"/>
          <w:sz w:val="24"/>
        </w:rPr>
        <w:t xml:space="preserve">haracterize </w:t>
      </w:r>
      <w:r>
        <w:rPr>
          <w:rFonts w:ascii="Arial" w:hAnsi="Arial" w:cs="Arial"/>
          <w:sz w:val="24"/>
        </w:rPr>
        <w:t>the final v</w:t>
      </w:r>
      <w:r w:rsidRPr="00561B8D">
        <w:rPr>
          <w:rFonts w:ascii="Arial" w:hAnsi="Arial" w:cs="Arial"/>
          <w:sz w:val="24"/>
        </w:rPr>
        <w:t>CTL product (IFG+ cells from CCS product)</w:t>
      </w:r>
      <w:r>
        <w:rPr>
          <w:rFonts w:ascii="Arial" w:hAnsi="Arial" w:cs="Arial"/>
          <w:sz w:val="24"/>
        </w:rPr>
        <w:t xml:space="preserve"> (only manufactured validations)</w:t>
      </w:r>
    </w:p>
    <w:p w14:paraId="4A02382A" w14:textId="77777777" w:rsidR="00D50EC2" w:rsidRDefault="00D50EC2" w:rsidP="00D50EC2">
      <w:pPr>
        <w:widowControl w:val="0"/>
        <w:rPr>
          <w:rFonts w:ascii="Arial" w:hAnsi="Arial" w:cs="Arial"/>
          <w:sz w:val="24"/>
        </w:rPr>
      </w:pPr>
    </w:p>
    <w:p w14:paraId="52318BC8" w14:textId="77777777" w:rsidR="00D50EC2" w:rsidRDefault="00D50EC2" w:rsidP="00D50EC2">
      <w:pPr>
        <w:pStyle w:val="ListParagraph"/>
        <w:widowControl w:val="0"/>
        <w:numPr>
          <w:ilvl w:val="0"/>
          <w:numId w:val="31"/>
        </w:numPr>
        <w:spacing w:after="0" w:line="240" w:lineRule="auto"/>
        <w:rPr>
          <w:rFonts w:ascii="Arial" w:hAnsi="Arial" w:cs="Arial"/>
          <w:b/>
          <w:sz w:val="24"/>
          <w:szCs w:val="24"/>
        </w:rPr>
      </w:pPr>
      <w:r w:rsidRPr="002F07E8">
        <w:rPr>
          <w:rFonts w:ascii="Arial" w:hAnsi="Arial" w:cs="Arial"/>
          <w:b/>
          <w:sz w:val="24"/>
          <w:szCs w:val="24"/>
        </w:rPr>
        <w:t>Methods for Preparation of Cells</w:t>
      </w:r>
    </w:p>
    <w:p w14:paraId="51CC6068" w14:textId="77777777" w:rsidR="00D50EC2" w:rsidRPr="002F07E8" w:rsidRDefault="00D50EC2" w:rsidP="00D50EC2">
      <w:pPr>
        <w:pStyle w:val="ListParagraph"/>
        <w:widowControl w:val="0"/>
        <w:spacing w:after="0" w:line="240" w:lineRule="auto"/>
        <w:ind w:left="360"/>
        <w:rPr>
          <w:rFonts w:ascii="Arial" w:hAnsi="Arial" w:cs="Arial"/>
          <w:b/>
          <w:sz w:val="24"/>
          <w:szCs w:val="24"/>
        </w:rPr>
      </w:pPr>
    </w:p>
    <w:p w14:paraId="289B4D13" w14:textId="77777777" w:rsidR="00D50EC2" w:rsidRDefault="00D50EC2" w:rsidP="00D50EC2">
      <w:pPr>
        <w:pStyle w:val="ListParagraph"/>
        <w:widowControl w:val="0"/>
        <w:numPr>
          <w:ilvl w:val="0"/>
          <w:numId w:val="26"/>
        </w:numPr>
        <w:spacing w:after="0" w:line="240" w:lineRule="auto"/>
        <w:ind w:left="1170"/>
        <w:rPr>
          <w:rFonts w:ascii="Arial" w:hAnsi="Arial" w:cs="Arial"/>
          <w:sz w:val="24"/>
          <w:szCs w:val="24"/>
        </w:rPr>
      </w:pPr>
      <w:r>
        <w:rPr>
          <w:rFonts w:ascii="Arial" w:hAnsi="Arial" w:cs="Arial"/>
          <w:sz w:val="24"/>
          <w:szCs w:val="24"/>
        </w:rPr>
        <w:t>Each new center will perform 3 validations of either combination BKV, CMV, ADV or EBV CTLs.</w:t>
      </w:r>
    </w:p>
    <w:p w14:paraId="68E89CD4" w14:textId="77777777" w:rsidR="00D50EC2" w:rsidRDefault="00D50EC2" w:rsidP="00D50EC2">
      <w:pPr>
        <w:pStyle w:val="ListParagraph"/>
        <w:widowControl w:val="0"/>
        <w:numPr>
          <w:ilvl w:val="0"/>
          <w:numId w:val="26"/>
        </w:numPr>
        <w:spacing w:after="0" w:line="240" w:lineRule="auto"/>
        <w:ind w:left="1170"/>
        <w:rPr>
          <w:rFonts w:ascii="Arial" w:hAnsi="Arial" w:cs="Arial"/>
          <w:sz w:val="24"/>
          <w:szCs w:val="24"/>
        </w:rPr>
      </w:pPr>
      <w:r>
        <w:rPr>
          <w:rFonts w:ascii="Arial" w:hAnsi="Arial" w:cs="Arial"/>
          <w:sz w:val="24"/>
          <w:szCs w:val="24"/>
        </w:rPr>
        <w:t>The 5-6 million cells of pre-stimulated donor PBMC, QC samples from Prodigy and the final validation products will be needed for the following studies:</w:t>
      </w:r>
    </w:p>
    <w:p w14:paraId="3ED5636E" w14:textId="77777777" w:rsidR="00D50EC2" w:rsidRDefault="00D50EC2" w:rsidP="00D50EC2">
      <w:pPr>
        <w:pStyle w:val="ListParagraph"/>
        <w:widowControl w:val="0"/>
        <w:spacing w:after="0" w:line="240" w:lineRule="auto"/>
        <w:ind w:left="1170"/>
        <w:rPr>
          <w:rFonts w:ascii="Arial" w:hAnsi="Arial" w:cs="Arial"/>
          <w:sz w:val="24"/>
          <w:szCs w:val="24"/>
        </w:rPr>
      </w:pPr>
    </w:p>
    <w:p w14:paraId="1B545AD0" w14:textId="77777777" w:rsidR="00D50EC2" w:rsidRPr="00DC3E48" w:rsidRDefault="00D50EC2" w:rsidP="00D50EC2">
      <w:pPr>
        <w:widowControl w:val="0"/>
        <w:ind w:left="810" w:firstLine="360"/>
        <w:rPr>
          <w:rFonts w:ascii="Arial" w:hAnsi="Arial" w:cs="Arial"/>
          <w:sz w:val="24"/>
        </w:rPr>
      </w:pPr>
      <w:r>
        <w:rPr>
          <w:rFonts w:ascii="Arial" w:hAnsi="Arial" w:cs="Arial"/>
          <w:sz w:val="24"/>
        </w:rPr>
        <w:t>i</w:t>
      </w:r>
      <w:r w:rsidRPr="00DC3E48">
        <w:rPr>
          <w:rFonts w:ascii="Arial" w:hAnsi="Arial" w:cs="Arial"/>
          <w:sz w:val="24"/>
        </w:rPr>
        <w:t xml:space="preserve">. </w:t>
      </w:r>
      <w:r>
        <w:rPr>
          <w:rFonts w:ascii="Arial" w:hAnsi="Arial" w:cs="Arial"/>
          <w:sz w:val="24"/>
        </w:rPr>
        <w:t>single cell RNAseq analysis</w:t>
      </w:r>
      <w:r w:rsidRPr="00DC3E48">
        <w:rPr>
          <w:rFonts w:ascii="Arial" w:hAnsi="Arial" w:cs="Arial"/>
          <w:sz w:val="24"/>
        </w:rPr>
        <w:t xml:space="preserve">- </w:t>
      </w:r>
      <w:r>
        <w:rPr>
          <w:rFonts w:ascii="Arial" w:hAnsi="Arial" w:cs="Arial"/>
          <w:sz w:val="24"/>
        </w:rPr>
        <w:t>1x10^5 cells</w:t>
      </w:r>
      <w:r w:rsidRPr="00DC3E48">
        <w:rPr>
          <w:rFonts w:ascii="Arial" w:hAnsi="Arial" w:cs="Arial"/>
          <w:sz w:val="24"/>
        </w:rPr>
        <w:t xml:space="preserve"> </w:t>
      </w:r>
      <w:r>
        <w:rPr>
          <w:rFonts w:ascii="Arial" w:hAnsi="Arial" w:cs="Arial"/>
          <w:sz w:val="24"/>
        </w:rPr>
        <w:t>of pre-stimulated PBMC, QC sample and target cells</w:t>
      </w:r>
    </w:p>
    <w:p w14:paraId="0E2CADF7" w14:textId="77777777" w:rsidR="00D50EC2" w:rsidRPr="009F728E" w:rsidRDefault="00D50EC2" w:rsidP="00D50EC2">
      <w:pPr>
        <w:widowControl w:val="0"/>
        <w:ind w:left="810" w:firstLine="360"/>
        <w:rPr>
          <w:rFonts w:ascii="Arial" w:hAnsi="Arial" w:cs="Arial"/>
          <w:sz w:val="24"/>
        </w:rPr>
      </w:pPr>
      <w:r>
        <w:rPr>
          <w:rFonts w:ascii="Arial" w:hAnsi="Arial" w:cs="Arial"/>
          <w:sz w:val="24"/>
        </w:rPr>
        <w:t>ii</w:t>
      </w:r>
      <w:r w:rsidRPr="00DC3E48">
        <w:rPr>
          <w:rFonts w:ascii="Arial" w:hAnsi="Arial" w:cs="Arial"/>
          <w:sz w:val="24"/>
        </w:rPr>
        <w:t>. Nanostring Immunoprofilin</w:t>
      </w:r>
      <w:r>
        <w:rPr>
          <w:rFonts w:ascii="Arial" w:hAnsi="Arial" w:cs="Arial"/>
          <w:sz w:val="24"/>
        </w:rPr>
        <w:t>g</w:t>
      </w:r>
      <w:r w:rsidRPr="00DC3E48">
        <w:rPr>
          <w:rFonts w:ascii="Arial" w:hAnsi="Arial" w:cs="Arial"/>
          <w:sz w:val="24"/>
        </w:rPr>
        <w:t xml:space="preserve">: </w:t>
      </w:r>
      <w:r>
        <w:rPr>
          <w:rFonts w:ascii="Arial" w:hAnsi="Arial" w:cs="Arial"/>
          <w:sz w:val="24"/>
        </w:rPr>
        <w:t>5x10^5 to 1x10^6 cells from pre-stimulated PBMC, QC sample and target cells</w:t>
      </w:r>
    </w:p>
    <w:p w14:paraId="631A8C62" w14:textId="77777777" w:rsidR="00D50EC2" w:rsidRPr="009F728E" w:rsidRDefault="00D50EC2" w:rsidP="00D50EC2">
      <w:pPr>
        <w:widowControl w:val="0"/>
        <w:autoSpaceDE w:val="0"/>
        <w:autoSpaceDN w:val="0"/>
        <w:adjustRightInd w:val="0"/>
        <w:ind w:left="720" w:firstLine="408"/>
        <w:rPr>
          <w:rFonts w:ascii="Arial" w:hAnsi="Arial" w:cs="Arial"/>
          <w:sz w:val="24"/>
        </w:rPr>
      </w:pPr>
      <w:r w:rsidRPr="009F728E">
        <w:rPr>
          <w:rFonts w:ascii="Arial" w:hAnsi="Arial" w:cs="Arial"/>
          <w:sz w:val="24"/>
        </w:rPr>
        <w:t xml:space="preserve">iii.  </w:t>
      </w:r>
      <w:r w:rsidRPr="009F728E">
        <w:rPr>
          <w:rFonts w:ascii="Arial" w:hAnsi="Arial" w:cs="Arial"/>
          <w:sz w:val="24"/>
          <w:szCs w:val="24"/>
        </w:rPr>
        <w:t>Mass Cytometry by Time of Flight (CyTOF)</w:t>
      </w:r>
      <w:r w:rsidRPr="002D3A43">
        <w:rPr>
          <w:rFonts w:ascii="Arial" w:hAnsi="Arial" w:cs="Arial"/>
          <w:sz w:val="24"/>
        </w:rPr>
        <w:t xml:space="preserve">: 1-2 </w:t>
      </w:r>
      <w:r>
        <w:rPr>
          <w:rFonts w:ascii="Arial" w:hAnsi="Arial" w:cs="Arial"/>
          <w:sz w:val="24"/>
        </w:rPr>
        <w:t>x10^6</w:t>
      </w:r>
      <w:r w:rsidRPr="002D3A43">
        <w:rPr>
          <w:rFonts w:ascii="Arial" w:hAnsi="Arial" w:cs="Arial"/>
          <w:sz w:val="24"/>
        </w:rPr>
        <w:t xml:space="preserve"> cells of </w:t>
      </w:r>
      <w:r w:rsidRPr="009F728E">
        <w:rPr>
          <w:rFonts w:ascii="Arial" w:hAnsi="Arial" w:cs="Arial"/>
          <w:sz w:val="24"/>
        </w:rPr>
        <w:t>pre-stimulated PBMC, QC sample and target cells</w:t>
      </w:r>
    </w:p>
    <w:p w14:paraId="0C887986" w14:textId="77777777" w:rsidR="00D50EC2" w:rsidRPr="009F728E" w:rsidRDefault="00D50EC2" w:rsidP="00D50EC2">
      <w:pPr>
        <w:widowControl w:val="0"/>
        <w:ind w:left="810" w:firstLine="360"/>
        <w:rPr>
          <w:rFonts w:ascii="Arial" w:hAnsi="Arial" w:cs="Arial"/>
          <w:sz w:val="24"/>
        </w:rPr>
      </w:pPr>
      <w:r w:rsidRPr="002D3A43">
        <w:rPr>
          <w:rFonts w:ascii="Arial" w:hAnsi="Arial" w:cs="Arial"/>
          <w:sz w:val="24"/>
        </w:rPr>
        <w:t>iv. T-cell Repertoire: 2</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 xml:space="preserve">pre-stimulated PBMC and QC sample and </w:t>
      </w:r>
      <w:r w:rsidRPr="002D3A43">
        <w:rPr>
          <w:rFonts w:ascii="Arial" w:hAnsi="Arial" w:cs="Arial"/>
          <w:sz w:val="24"/>
        </w:rPr>
        <w:t xml:space="preserve">3x10^5 </w:t>
      </w:r>
      <w:r w:rsidRPr="009F728E">
        <w:rPr>
          <w:rFonts w:ascii="Arial" w:hAnsi="Arial" w:cs="Arial"/>
          <w:sz w:val="24"/>
        </w:rPr>
        <w:t>target CTL cells</w:t>
      </w:r>
    </w:p>
    <w:p w14:paraId="6AAACF10" w14:textId="77777777" w:rsidR="00D50EC2" w:rsidRPr="009F728E" w:rsidRDefault="00D50EC2" w:rsidP="00D50EC2">
      <w:pPr>
        <w:widowControl w:val="0"/>
        <w:ind w:left="810" w:firstLine="360"/>
        <w:rPr>
          <w:rFonts w:ascii="Arial" w:hAnsi="Arial" w:cs="Arial"/>
          <w:sz w:val="24"/>
        </w:rPr>
      </w:pPr>
      <w:r w:rsidRPr="002D3A43">
        <w:rPr>
          <w:rFonts w:ascii="Arial" w:hAnsi="Arial" w:cs="Arial"/>
          <w:sz w:val="24"/>
        </w:rPr>
        <w:t>v. Singe Cell Bar Coding (SCBC): 1</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 xml:space="preserve">pre-stimulated PBMC, QC sample and target cells </w:t>
      </w:r>
      <w:r w:rsidRPr="002D3A43">
        <w:rPr>
          <w:rFonts w:ascii="Arial" w:hAnsi="Arial" w:cs="Arial"/>
          <w:sz w:val="24"/>
        </w:rPr>
        <w:t>for SCBC analysis. </w:t>
      </w:r>
    </w:p>
    <w:p w14:paraId="35D67A4C" w14:textId="77777777" w:rsidR="00D50EC2" w:rsidRPr="009F728E" w:rsidRDefault="00D50EC2" w:rsidP="00D50EC2">
      <w:pPr>
        <w:widowControl w:val="0"/>
        <w:ind w:left="810" w:firstLine="360"/>
        <w:rPr>
          <w:rFonts w:ascii="Arial" w:hAnsi="Arial" w:cs="Arial"/>
          <w:sz w:val="24"/>
        </w:rPr>
      </w:pPr>
      <w:r w:rsidRPr="009F728E">
        <w:rPr>
          <w:rFonts w:ascii="Arial" w:hAnsi="Arial" w:cs="Arial"/>
          <w:sz w:val="24"/>
        </w:rPr>
        <w:t xml:space="preserve">vi. </w:t>
      </w:r>
      <w:r w:rsidRPr="002D3A43">
        <w:rPr>
          <w:rFonts w:ascii="Arial" w:eastAsia="Times New Roman" w:hAnsi="Arial" w:cs="Arial"/>
          <w:sz w:val="24"/>
        </w:rPr>
        <w:t xml:space="preserve">High Dimension Flow Cytometry </w:t>
      </w:r>
      <w:r>
        <w:rPr>
          <w:rFonts w:ascii="Arial" w:eastAsia="Times New Roman" w:hAnsi="Arial" w:cs="Arial"/>
          <w:sz w:val="24"/>
        </w:rPr>
        <w:t>–</w:t>
      </w:r>
      <w:r w:rsidRPr="002D3A43">
        <w:rPr>
          <w:rFonts w:ascii="Arial" w:eastAsia="Times New Roman" w:hAnsi="Arial" w:cs="Arial"/>
          <w:sz w:val="24"/>
        </w:rPr>
        <w:t xml:space="preserve"> </w:t>
      </w:r>
      <w:r w:rsidRPr="002D3A43">
        <w:rPr>
          <w:rFonts w:ascii="Arial" w:hAnsi="Arial" w:cs="Arial"/>
          <w:sz w:val="24"/>
        </w:rPr>
        <w:t>2</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pre-stimulated PBMC, QC sample and target cells</w:t>
      </w:r>
    </w:p>
    <w:p w14:paraId="001E7527" w14:textId="77777777" w:rsidR="00D50EC2" w:rsidRDefault="00D50EC2" w:rsidP="00D50EC2">
      <w:pPr>
        <w:widowControl w:val="0"/>
        <w:rPr>
          <w:rFonts w:ascii="Arial" w:hAnsi="Arial" w:cs="Arial"/>
          <w:color w:val="000000"/>
          <w:sz w:val="24"/>
        </w:rPr>
      </w:pPr>
    </w:p>
    <w:p w14:paraId="2B810DD8" w14:textId="77777777" w:rsidR="00D50EC2" w:rsidRPr="002F07E8" w:rsidRDefault="00D50EC2" w:rsidP="00D50EC2">
      <w:pPr>
        <w:pStyle w:val="ListParagraph"/>
        <w:widowControl w:val="0"/>
        <w:numPr>
          <w:ilvl w:val="0"/>
          <w:numId w:val="31"/>
        </w:numPr>
        <w:spacing w:after="0" w:line="240" w:lineRule="auto"/>
        <w:rPr>
          <w:rFonts w:ascii="Arial" w:hAnsi="Arial" w:cs="Arial"/>
          <w:b/>
          <w:sz w:val="24"/>
          <w:szCs w:val="24"/>
        </w:rPr>
      </w:pPr>
      <w:r>
        <w:rPr>
          <w:rFonts w:ascii="Arial" w:hAnsi="Arial" w:cs="Arial"/>
          <w:b/>
          <w:sz w:val="24"/>
          <w:szCs w:val="24"/>
        </w:rPr>
        <w:t xml:space="preserve"> </w:t>
      </w:r>
      <w:r w:rsidRPr="002F07E8">
        <w:rPr>
          <w:rFonts w:ascii="Arial" w:hAnsi="Arial" w:cs="Arial"/>
          <w:b/>
          <w:sz w:val="24"/>
          <w:szCs w:val="24"/>
        </w:rPr>
        <w:t>Shipping Instructions</w:t>
      </w:r>
    </w:p>
    <w:p w14:paraId="10FCE58C" w14:textId="77777777" w:rsidR="00D50EC2" w:rsidRPr="002D1DEB" w:rsidRDefault="00D50EC2" w:rsidP="00D50EC2">
      <w:pPr>
        <w:pStyle w:val="ListParagraph"/>
        <w:widowControl w:val="0"/>
        <w:numPr>
          <w:ilvl w:val="0"/>
          <w:numId w:val="27"/>
        </w:numPr>
        <w:spacing w:after="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50FEF810" w14:textId="77777777" w:rsidR="00D50EC2" w:rsidRPr="002D1DEB" w:rsidRDefault="00D50EC2" w:rsidP="00D50EC2">
      <w:pPr>
        <w:pStyle w:val="ListParagraph"/>
        <w:widowControl w:val="0"/>
        <w:numPr>
          <w:ilvl w:val="0"/>
          <w:numId w:val="27"/>
        </w:numPr>
        <w:spacing w:after="0" w:line="240" w:lineRule="auto"/>
        <w:ind w:left="1260"/>
        <w:rPr>
          <w:rFonts w:ascii="Arial" w:hAnsi="Arial" w:cs="Arial"/>
          <w:sz w:val="24"/>
          <w:szCs w:val="24"/>
        </w:rPr>
      </w:pPr>
      <w:r>
        <w:rPr>
          <w:rFonts w:ascii="Arial" w:hAnsi="Arial" w:cs="Arial"/>
          <w:sz w:val="24"/>
          <w:szCs w:val="24"/>
        </w:rPr>
        <w:t>Please refer the table at 4.0 for shipping condition for t</w:t>
      </w:r>
      <w:r w:rsidRPr="002D1DEB">
        <w:rPr>
          <w:rFonts w:ascii="Arial" w:hAnsi="Arial" w:cs="Arial"/>
          <w:sz w:val="24"/>
          <w:szCs w:val="24"/>
        </w:rPr>
        <w:t xml:space="preserve">he </w:t>
      </w:r>
      <w:r>
        <w:rPr>
          <w:rFonts w:ascii="Arial" w:hAnsi="Arial" w:cs="Arial"/>
          <w:b/>
          <w:sz w:val="24"/>
          <w:szCs w:val="24"/>
        </w:rPr>
        <w:t>non-stimulated PBMC, QC samples</w:t>
      </w:r>
      <w:r w:rsidRPr="002D1DEB">
        <w:rPr>
          <w:rFonts w:ascii="Arial" w:hAnsi="Arial" w:cs="Arial"/>
          <w:b/>
          <w:sz w:val="24"/>
          <w:szCs w:val="24"/>
        </w:rPr>
        <w:t xml:space="preserve"> and </w:t>
      </w:r>
      <w:r>
        <w:rPr>
          <w:rFonts w:ascii="Arial" w:hAnsi="Arial" w:cs="Arial"/>
          <w:b/>
          <w:sz w:val="24"/>
          <w:szCs w:val="24"/>
        </w:rPr>
        <w:t xml:space="preserve">the </w:t>
      </w:r>
      <w:r w:rsidRPr="002D1DEB">
        <w:rPr>
          <w:rFonts w:ascii="Arial" w:hAnsi="Arial" w:cs="Arial"/>
          <w:b/>
          <w:sz w:val="24"/>
          <w:szCs w:val="24"/>
        </w:rPr>
        <w:t>target cells</w:t>
      </w:r>
      <w:r>
        <w:rPr>
          <w:rFonts w:ascii="Arial" w:hAnsi="Arial" w:cs="Arial"/>
          <w:b/>
          <w:sz w:val="24"/>
          <w:szCs w:val="24"/>
        </w:rPr>
        <w:t>.</w:t>
      </w:r>
      <w:r w:rsidRPr="002D1DEB">
        <w:rPr>
          <w:rFonts w:ascii="Arial" w:hAnsi="Arial" w:cs="Arial"/>
          <w:sz w:val="24"/>
          <w:szCs w:val="24"/>
        </w:rPr>
        <w:t xml:space="preserve"> </w:t>
      </w:r>
    </w:p>
    <w:p w14:paraId="607F4D3C" w14:textId="77777777" w:rsidR="00D50EC2" w:rsidRDefault="00D50EC2" w:rsidP="00D50EC2">
      <w:pPr>
        <w:pStyle w:val="ListParagraph"/>
        <w:widowControl w:val="0"/>
        <w:numPr>
          <w:ilvl w:val="0"/>
          <w:numId w:val="27"/>
        </w:numPr>
        <w:spacing w:after="0" w:line="240" w:lineRule="auto"/>
        <w:ind w:left="1260"/>
        <w:rPr>
          <w:rFonts w:ascii="Arial" w:hAnsi="Arial" w:cs="Arial"/>
          <w:sz w:val="24"/>
          <w:szCs w:val="24"/>
        </w:rPr>
      </w:pPr>
      <w:r>
        <w:rPr>
          <w:rFonts w:ascii="Arial" w:hAnsi="Arial" w:cs="Arial"/>
          <w:sz w:val="24"/>
          <w:szCs w:val="24"/>
        </w:rPr>
        <w:t>All samples may be shipped Monday-Thursday (non-holiday) by Federal Express for next day delivery (Tuesday-Friday)</w:t>
      </w:r>
    </w:p>
    <w:p w14:paraId="0EC2E552" w14:textId="77777777" w:rsidR="00D50EC2" w:rsidRPr="002D1DEB" w:rsidRDefault="00D50EC2" w:rsidP="00D50EC2">
      <w:pPr>
        <w:pStyle w:val="ListParagraph"/>
        <w:widowControl w:val="0"/>
        <w:numPr>
          <w:ilvl w:val="0"/>
          <w:numId w:val="27"/>
        </w:numPr>
        <w:spacing w:after="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65E42B31" w14:textId="77777777" w:rsidR="00D50EC2" w:rsidRPr="002D1DEB" w:rsidRDefault="00D50EC2" w:rsidP="00D50EC2">
      <w:pPr>
        <w:pStyle w:val="ListParagraph"/>
        <w:widowControl w:val="0"/>
        <w:numPr>
          <w:ilvl w:val="2"/>
          <w:numId w:val="28"/>
        </w:numPr>
        <w:spacing w:after="0" w:line="240" w:lineRule="auto"/>
        <w:ind w:left="1800"/>
        <w:rPr>
          <w:rFonts w:ascii="Arial" w:hAnsi="Arial" w:cs="Arial"/>
          <w:sz w:val="24"/>
          <w:szCs w:val="24"/>
        </w:rPr>
      </w:pPr>
      <w:r>
        <w:rPr>
          <w:rFonts w:ascii="Arial" w:hAnsi="Arial" w:cs="Arial"/>
          <w:sz w:val="24"/>
          <w:szCs w:val="24"/>
        </w:rPr>
        <w:t>On</w:t>
      </w:r>
      <w:r w:rsidRPr="002D1DEB">
        <w:rPr>
          <w:rFonts w:ascii="Arial" w:hAnsi="Arial" w:cs="Arial"/>
          <w:sz w:val="24"/>
          <w:szCs w:val="24"/>
        </w:rPr>
        <w:t xml:space="preserve"> study ID number</w:t>
      </w:r>
      <w:r>
        <w:rPr>
          <w:rFonts w:ascii="Arial" w:hAnsi="Arial" w:cs="Arial"/>
          <w:sz w:val="24"/>
          <w:szCs w:val="24"/>
        </w:rPr>
        <w:t xml:space="preserve"> </w:t>
      </w:r>
    </w:p>
    <w:p w14:paraId="7D59DDAD" w14:textId="77777777" w:rsidR="00D50EC2" w:rsidRPr="002D1DEB" w:rsidRDefault="00D50EC2" w:rsidP="00D50EC2">
      <w:pPr>
        <w:pStyle w:val="ListParagraph"/>
        <w:widowControl w:val="0"/>
        <w:numPr>
          <w:ilvl w:val="2"/>
          <w:numId w:val="28"/>
        </w:numPr>
        <w:spacing w:after="0" w:line="240" w:lineRule="auto"/>
        <w:ind w:left="1800"/>
        <w:rPr>
          <w:rFonts w:ascii="Arial" w:hAnsi="Arial" w:cs="Arial"/>
          <w:sz w:val="24"/>
          <w:szCs w:val="24"/>
        </w:rPr>
      </w:pPr>
      <w:r w:rsidRPr="002D1DEB">
        <w:rPr>
          <w:rFonts w:ascii="Arial" w:hAnsi="Arial" w:cs="Arial"/>
          <w:sz w:val="24"/>
          <w:szCs w:val="24"/>
        </w:rPr>
        <w:t>Center identification</w:t>
      </w:r>
    </w:p>
    <w:p w14:paraId="7B9A1EBE" w14:textId="77777777" w:rsidR="00D50EC2" w:rsidRPr="002D1DEB" w:rsidRDefault="00D50EC2" w:rsidP="00D50EC2">
      <w:pPr>
        <w:pStyle w:val="ListParagraph"/>
        <w:widowControl w:val="0"/>
        <w:numPr>
          <w:ilvl w:val="2"/>
          <w:numId w:val="28"/>
        </w:numPr>
        <w:spacing w:after="0" w:line="240" w:lineRule="auto"/>
        <w:ind w:left="1800"/>
        <w:rPr>
          <w:rFonts w:ascii="Arial" w:hAnsi="Arial" w:cs="Arial"/>
          <w:sz w:val="24"/>
          <w:szCs w:val="24"/>
        </w:rPr>
      </w:pPr>
      <w:r w:rsidRPr="002D1DEB">
        <w:rPr>
          <w:rFonts w:ascii="Arial" w:hAnsi="Arial" w:cs="Arial"/>
          <w:sz w:val="24"/>
          <w:szCs w:val="24"/>
        </w:rPr>
        <w:t>Collection date and study time-point</w:t>
      </w:r>
    </w:p>
    <w:p w14:paraId="629A6A9D" w14:textId="77777777" w:rsidR="00D50EC2" w:rsidRPr="002D1DEB" w:rsidRDefault="00D50EC2" w:rsidP="00D50EC2">
      <w:pPr>
        <w:pStyle w:val="ListParagraph"/>
        <w:widowControl w:val="0"/>
        <w:numPr>
          <w:ilvl w:val="2"/>
          <w:numId w:val="28"/>
        </w:numPr>
        <w:spacing w:after="0" w:line="240" w:lineRule="auto"/>
        <w:ind w:left="1800"/>
        <w:rPr>
          <w:rFonts w:ascii="Arial" w:hAnsi="Arial" w:cs="Arial"/>
          <w:sz w:val="24"/>
          <w:szCs w:val="24"/>
        </w:rPr>
      </w:pPr>
      <w:r w:rsidRPr="002D1DEB">
        <w:rPr>
          <w:rFonts w:ascii="Arial" w:hAnsi="Arial" w:cs="Arial"/>
          <w:sz w:val="24"/>
          <w:szCs w:val="24"/>
        </w:rPr>
        <w:t>Initials of the individual who collected the specimen</w:t>
      </w:r>
    </w:p>
    <w:p w14:paraId="58F8F229" w14:textId="77777777" w:rsidR="00D50EC2" w:rsidRDefault="00D50EC2" w:rsidP="00D50EC2">
      <w:pPr>
        <w:widowControl w:val="0"/>
        <w:rPr>
          <w:rFonts w:ascii="Arial" w:hAnsi="Arial" w:cs="Arial"/>
          <w:sz w:val="24"/>
        </w:rPr>
      </w:pPr>
    </w:p>
    <w:p w14:paraId="616EE2AA" w14:textId="77777777" w:rsidR="00D50EC2" w:rsidRDefault="00D50EC2" w:rsidP="00D50EC2">
      <w:pPr>
        <w:widowControl w:val="0"/>
        <w:rPr>
          <w:rFonts w:ascii="Arial" w:hAnsi="Arial" w:cs="Arial"/>
          <w:sz w:val="24"/>
        </w:rPr>
      </w:pPr>
    </w:p>
    <w:p w14:paraId="75FA7071" w14:textId="77777777" w:rsidR="00D50EC2" w:rsidRDefault="00D50EC2" w:rsidP="00D50EC2">
      <w:pPr>
        <w:widowControl w:val="0"/>
        <w:rPr>
          <w:rFonts w:ascii="Arial" w:hAnsi="Arial" w:cs="Arial"/>
          <w:sz w:val="24"/>
        </w:rPr>
      </w:pPr>
    </w:p>
    <w:p w14:paraId="23B89357" w14:textId="77777777" w:rsidR="00D50EC2" w:rsidRDefault="00D50EC2" w:rsidP="00D50EC2">
      <w:pPr>
        <w:widowControl w:val="0"/>
        <w:rPr>
          <w:rFonts w:ascii="Arial" w:hAnsi="Arial" w:cs="Arial"/>
          <w:sz w:val="24"/>
        </w:rPr>
      </w:pPr>
    </w:p>
    <w:p w14:paraId="7AF946D8" w14:textId="77777777" w:rsidR="00D50EC2" w:rsidRDefault="00D50EC2" w:rsidP="00D50EC2">
      <w:pPr>
        <w:widowControl w:val="0"/>
        <w:rPr>
          <w:rFonts w:ascii="Arial" w:hAnsi="Arial" w:cs="Arial"/>
          <w:sz w:val="24"/>
        </w:rPr>
      </w:pPr>
    </w:p>
    <w:p w14:paraId="481FCF4B" w14:textId="77777777" w:rsidR="00D50EC2" w:rsidRDefault="00D50EC2" w:rsidP="00D50EC2">
      <w:pPr>
        <w:pStyle w:val="ListParagraph"/>
        <w:widowControl w:val="0"/>
        <w:numPr>
          <w:ilvl w:val="0"/>
          <w:numId w:val="31"/>
        </w:numPr>
        <w:spacing w:after="0" w:line="240" w:lineRule="auto"/>
        <w:rPr>
          <w:rFonts w:ascii="Arial" w:hAnsi="Arial" w:cs="Arial"/>
          <w:b/>
          <w:sz w:val="24"/>
          <w:szCs w:val="24"/>
        </w:rPr>
      </w:pPr>
      <w:r>
        <w:rPr>
          <w:rFonts w:ascii="Arial" w:hAnsi="Arial" w:cs="Arial"/>
          <w:b/>
          <w:sz w:val="24"/>
          <w:szCs w:val="24"/>
        </w:rPr>
        <w:t xml:space="preserve"> Summary</w:t>
      </w:r>
    </w:p>
    <w:tbl>
      <w:tblPr>
        <w:tblpPr w:leftFromText="180" w:rightFromText="180" w:vertAnchor="page" w:horzAnchor="margin" w:tblpY="1853"/>
        <w:tblW w:w="8900" w:type="dxa"/>
        <w:tblCellMar>
          <w:left w:w="0" w:type="dxa"/>
          <w:right w:w="0" w:type="dxa"/>
        </w:tblCellMar>
        <w:tblLook w:val="0600" w:firstRow="0" w:lastRow="0" w:firstColumn="0" w:lastColumn="0" w:noHBand="1" w:noVBand="1"/>
      </w:tblPr>
      <w:tblGrid>
        <w:gridCol w:w="1491"/>
        <w:gridCol w:w="1181"/>
        <w:gridCol w:w="1058"/>
        <w:gridCol w:w="1237"/>
        <w:gridCol w:w="1174"/>
        <w:gridCol w:w="782"/>
        <w:gridCol w:w="1977"/>
      </w:tblGrid>
      <w:tr w:rsidR="00D50EC2" w:rsidRPr="005765DB" w14:paraId="055A615F"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7604FC9"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lastRenderedPageBreak/>
              <w:t>Analysis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4E175D7"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Recipient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87265D7"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Pre-stimulated PBMC</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7B9AD71"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QC Sample</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93F94B4"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Target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7389043"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Priority</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0033022" w14:textId="77777777" w:rsidR="00D50EC2" w:rsidRPr="005765DB" w:rsidRDefault="00D50EC2" w:rsidP="004545C0">
            <w:pPr>
              <w:widowControl w:val="0"/>
              <w:rPr>
                <w:rFonts w:ascii="Times New Roman" w:hAnsi="Times New Roman" w:cs="Times New Roman"/>
                <w:b/>
                <w:bCs/>
                <w:sz w:val="18"/>
                <w:szCs w:val="18"/>
              </w:rPr>
            </w:pPr>
            <w:r w:rsidRPr="005765DB">
              <w:rPr>
                <w:rFonts w:ascii="Times New Roman" w:hAnsi="Times New Roman" w:cs="Times New Roman"/>
                <w:b/>
                <w:bCs/>
                <w:sz w:val="18"/>
                <w:szCs w:val="18"/>
              </w:rPr>
              <w:t xml:space="preserve">Shipping </w:t>
            </w:r>
            <w:r>
              <w:rPr>
                <w:rFonts w:ascii="Times New Roman" w:hAnsi="Times New Roman" w:cs="Times New Roman"/>
                <w:b/>
                <w:bCs/>
                <w:sz w:val="18"/>
                <w:szCs w:val="18"/>
              </w:rPr>
              <w:t>instruction</w:t>
            </w:r>
          </w:p>
        </w:tc>
      </w:tr>
      <w:tr w:rsidR="00D50EC2" w:rsidRPr="005765DB" w14:paraId="2593835B"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75624E4"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i. </w:t>
            </w:r>
            <w:r w:rsidRPr="005765DB">
              <w:rPr>
                <w:rFonts w:ascii="Times New Roman" w:hAnsi="Times New Roman" w:cs="Times New Roman"/>
                <w:bCs/>
                <w:sz w:val="18"/>
                <w:szCs w:val="18"/>
              </w:rPr>
              <w:t>Single cell RNAseq analysis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ED2458D"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Nationwide Children’s Hospital</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3C2FC7B" w14:textId="77777777" w:rsidR="00D50EC2" w:rsidRPr="005765DB" w:rsidRDefault="00D50EC2" w:rsidP="004545C0">
            <w:pPr>
              <w:widowControl w:val="0"/>
              <w:rPr>
                <w:rFonts w:ascii="Times New Roman" w:hAnsi="Times New Roman" w:cs="Times New Roman"/>
                <w:bCs/>
                <w:sz w:val="18"/>
                <w:szCs w:val="18"/>
              </w:rPr>
            </w:pPr>
            <w:r w:rsidRPr="00097036">
              <w:rPr>
                <w:b/>
                <w:color w:val="000000" w:themeColor="text1"/>
                <w:sz w:val="18"/>
                <w:szCs w:val="18"/>
              </w:rPr>
              <w:t xml:space="preserve">2,000,000 </w:t>
            </w:r>
            <w:r w:rsidRPr="005765DB">
              <w:rPr>
                <w:rFonts w:ascii="Times New Roman" w:hAnsi="Times New Roman" w:cs="Times New Roman"/>
                <w:bCs/>
                <w:sz w:val="18"/>
                <w:szCs w:val="18"/>
              </w:rPr>
              <w:t>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A5CAE63"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09ACC2E" w14:textId="77777777" w:rsidR="00D50EC2" w:rsidRPr="005765DB" w:rsidRDefault="00D50EC2" w:rsidP="004545C0">
            <w:pPr>
              <w:widowControl w:val="0"/>
              <w:rPr>
                <w:rFonts w:ascii="Times New Roman" w:hAnsi="Times New Roman" w:cs="Times New Roman"/>
                <w:bCs/>
                <w:sz w:val="18"/>
                <w:szCs w:val="18"/>
              </w:rPr>
            </w:pPr>
            <w:r w:rsidRPr="00097036">
              <w:rPr>
                <w:b/>
                <w:color w:val="000000" w:themeColor="text1"/>
                <w:sz w:val="18"/>
                <w:szCs w:val="18"/>
              </w:rPr>
              <w:t xml:space="preserve">2,000,000 </w:t>
            </w:r>
            <w:r w:rsidRPr="005765DB">
              <w:rPr>
                <w:rFonts w:ascii="Times New Roman" w:hAnsi="Times New Roman" w:cs="Times New Roman"/>
                <w:bCs/>
                <w:sz w:val="18"/>
                <w:szCs w:val="18"/>
              </w:rPr>
              <w:t>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D97CDB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3BC9B02" w14:textId="77777777" w:rsidR="00D50EC2" w:rsidRPr="005765DB" w:rsidRDefault="00D50EC2" w:rsidP="004545C0">
            <w:pPr>
              <w:widowControl w:val="0"/>
              <w:rPr>
                <w:rFonts w:ascii="Times New Roman" w:hAnsi="Times New Roman" w:cs="Times New Roman"/>
                <w:bCs/>
                <w:sz w:val="18"/>
                <w:szCs w:val="18"/>
              </w:rPr>
            </w:pPr>
            <w:r w:rsidRPr="005765DB">
              <w:rPr>
                <w:bCs/>
                <w:sz w:val="18"/>
                <w:szCs w:val="18"/>
              </w:rPr>
              <w:t>Cryopreserve the cells in 1</w:t>
            </w:r>
            <w:r>
              <w:rPr>
                <w:bCs/>
                <w:sz w:val="18"/>
                <w:szCs w:val="18"/>
              </w:rPr>
              <w:t>5</w:t>
            </w:r>
            <w:r w:rsidRPr="005765DB">
              <w:rPr>
                <w:bCs/>
                <w:sz w:val="18"/>
                <w:szCs w:val="18"/>
              </w:rPr>
              <w:t xml:space="preserve">% DMSO </w:t>
            </w:r>
            <w:r>
              <w:rPr>
                <w:bCs/>
                <w:sz w:val="18"/>
                <w:szCs w:val="18"/>
              </w:rPr>
              <w:t xml:space="preserve">in 40% FBS in RPMI medium </w:t>
            </w:r>
            <w:r w:rsidRPr="005765DB">
              <w:rPr>
                <w:bCs/>
                <w:sz w:val="18"/>
                <w:szCs w:val="18"/>
              </w:rPr>
              <w:t>and ship batched samples in dry ice</w:t>
            </w:r>
          </w:p>
        </w:tc>
      </w:tr>
      <w:tr w:rsidR="00D50EC2" w:rsidRPr="005765DB" w14:paraId="0848E660"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722F5A1"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ii. </w:t>
            </w:r>
            <w:r w:rsidRPr="005765DB">
              <w:rPr>
                <w:rFonts w:ascii="Times New Roman" w:hAnsi="Times New Roman" w:cs="Times New Roman"/>
                <w:bCs/>
                <w:sz w:val="18"/>
                <w:szCs w:val="18"/>
              </w:rPr>
              <w:t>Nanostring Immunoprofiling</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335E47A"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Nationwide Children’s Hospital</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58ADEA2"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B8BBD2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AE54D67"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9D72B2F"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EA0577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Freeze the cell pellets in -80</w:t>
            </w:r>
            <w:r w:rsidRPr="00150992">
              <w:rPr>
                <w:rFonts w:ascii="Times New Roman" w:hAnsi="Times New Roman" w:cs="Times New Roman"/>
                <w:bCs/>
                <w:sz w:val="18"/>
                <w:szCs w:val="18"/>
                <w:vertAlign w:val="superscript"/>
              </w:rPr>
              <w:t>o</w:t>
            </w:r>
            <w:r>
              <w:rPr>
                <w:rFonts w:ascii="Times New Roman" w:hAnsi="Times New Roman" w:cs="Times New Roman"/>
                <w:bCs/>
                <w:sz w:val="18"/>
                <w:szCs w:val="18"/>
              </w:rPr>
              <w:t>C</w:t>
            </w:r>
            <w:r w:rsidRPr="005765DB">
              <w:rPr>
                <w:rFonts w:ascii="Times New Roman" w:hAnsi="Times New Roman" w:cs="Times New Roman"/>
                <w:bCs/>
                <w:sz w:val="18"/>
                <w:szCs w:val="18"/>
              </w:rPr>
              <w:t xml:space="preserve"> and ship batched samples in dry ice</w:t>
            </w:r>
          </w:p>
        </w:tc>
      </w:tr>
      <w:tr w:rsidR="00D50EC2" w:rsidRPr="005765DB" w14:paraId="4BE7B4D0"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FBA986F"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iii. </w:t>
            </w:r>
            <w:r w:rsidRPr="005765DB">
              <w:rPr>
                <w:rFonts w:ascii="Times New Roman" w:hAnsi="Times New Roman" w:cs="Times New Roman"/>
                <w:bCs/>
                <w:sz w:val="18"/>
                <w:szCs w:val="18"/>
              </w:rPr>
              <w:t>Mass Cytometry by Time of Flight (CyTOF)</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476D6EE"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Ohio State University</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E2044FF"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703D0F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8755865"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8CCF67A"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3</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A1893B7"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ship fresh cells with ice pack</w:t>
            </w:r>
          </w:p>
        </w:tc>
      </w:tr>
      <w:tr w:rsidR="00D50EC2" w:rsidRPr="005765DB" w14:paraId="58C7B8C7" w14:textId="77777777" w:rsidTr="004545C0">
        <w:trPr>
          <w:trHeight w:val="317"/>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3106788"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iv. </w:t>
            </w:r>
            <w:r w:rsidRPr="005765DB">
              <w:rPr>
                <w:rFonts w:ascii="Times New Roman" w:hAnsi="Times New Roman" w:cs="Times New Roman"/>
                <w:bCs/>
                <w:sz w:val="18"/>
                <w:szCs w:val="18"/>
              </w:rPr>
              <w:t>T-cell Repertoire</w:t>
            </w:r>
          </w:p>
        </w:tc>
        <w:tc>
          <w:tcPr>
            <w:tcW w:w="118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7608952"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New York Medical College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D81027A"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948ED8A"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DCDC490"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300,000-500,000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9FAA4B3"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4</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F8D3F72"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Freeze the cell pellets in -80</w:t>
            </w:r>
            <w:r w:rsidRPr="00150992">
              <w:rPr>
                <w:rFonts w:ascii="Times New Roman" w:hAnsi="Times New Roman" w:cs="Times New Roman"/>
                <w:bCs/>
                <w:sz w:val="18"/>
                <w:szCs w:val="18"/>
                <w:vertAlign w:val="superscript"/>
              </w:rPr>
              <w:t>o</w:t>
            </w:r>
            <w:r>
              <w:rPr>
                <w:rFonts w:ascii="Times New Roman" w:hAnsi="Times New Roman" w:cs="Times New Roman"/>
                <w:bCs/>
                <w:sz w:val="18"/>
                <w:szCs w:val="18"/>
              </w:rPr>
              <w:t>C</w:t>
            </w:r>
            <w:r w:rsidRPr="005765DB">
              <w:rPr>
                <w:rFonts w:ascii="Times New Roman" w:hAnsi="Times New Roman" w:cs="Times New Roman"/>
                <w:bCs/>
                <w:sz w:val="18"/>
                <w:szCs w:val="18"/>
              </w:rPr>
              <w:t xml:space="preserve">  and ship batched samples in dry ice</w:t>
            </w:r>
          </w:p>
        </w:tc>
      </w:tr>
      <w:tr w:rsidR="00D50EC2" w:rsidRPr="005765DB" w14:paraId="6F755B7F"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1088543"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v. </w:t>
            </w:r>
            <w:r w:rsidRPr="005765DB">
              <w:rPr>
                <w:rFonts w:ascii="Times New Roman" w:hAnsi="Times New Roman" w:cs="Times New Roman"/>
                <w:bCs/>
                <w:sz w:val="18"/>
                <w:szCs w:val="18"/>
              </w:rPr>
              <w:t>Sing</w:t>
            </w:r>
            <w:r>
              <w:rPr>
                <w:rFonts w:ascii="Times New Roman" w:hAnsi="Times New Roman" w:cs="Times New Roman"/>
                <w:bCs/>
                <w:sz w:val="18"/>
                <w:szCs w:val="18"/>
              </w:rPr>
              <w:t>l</w:t>
            </w:r>
            <w:r w:rsidRPr="005765DB">
              <w:rPr>
                <w:rFonts w:ascii="Times New Roman" w:hAnsi="Times New Roman" w:cs="Times New Roman"/>
                <w:bCs/>
                <w:sz w:val="18"/>
                <w:szCs w:val="18"/>
              </w:rPr>
              <w:t>e Cell Bar Coding (SCBC)</w:t>
            </w:r>
          </w:p>
        </w:tc>
        <w:tc>
          <w:tcPr>
            <w:tcW w:w="1181" w:type="dxa"/>
            <w:vMerge/>
            <w:tcBorders>
              <w:top w:val="single" w:sz="8" w:space="0" w:color="000000"/>
              <w:left w:val="single" w:sz="8" w:space="0" w:color="000000"/>
              <w:bottom w:val="single" w:sz="8" w:space="0" w:color="000000"/>
              <w:right w:val="single" w:sz="8" w:space="0" w:color="000000"/>
            </w:tcBorders>
            <w:vAlign w:val="center"/>
            <w:hideMark/>
          </w:tcPr>
          <w:p w14:paraId="3EECFC15" w14:textId="77777777" w:rsidR="00D50EC2" w:rsidRPr="005765DB" w:rsidRDefault="00D50EC2" w:rsidP="004545C0">
            <w:pPr>
              <w:widowControl w:val="0"/>
              <w:rPr>
                <w:rFonts w:ascii="Times New Roman" w:hAnsi="Times New Roman" w:cs="Times New Roman"/>
                <w:bCs/>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48F99EF"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4111EC5"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FD64735"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A76755A"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5</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D80C0E9"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 xml:space="preserve">Cryopreserve the cells in 10% DMSO </w:t>
            </w:r>
            <w:r>
              <w:rPr>
                <w:rFonts w:ascii="Times New Roman" w:hAnsi="Times New Roman" w:cs="Times New Roman"/>
                <w:bCs/>
                <w:sz w:val="18"/>
                <w:szCs w:val="18"/>
              </w:rPr>
              <w:t xml:space="preserve">in FBS </w:t>
            </w:r>
            <w:r w:rsidRPr="005765DB">
              <w:rPr>
                <w:rFonts w:ascii="Times New Roman" w:hAnsi="Times New Roman" w:cs="Times New Roman"/>
                <w:bCs/>
                <w:sz w:val="18"/>
                <w:szCs w:val="18"/>
              </w:rPr>
              <w:t>and ship batched samples in dry ice</w:t>
            </w:r>
          </w:p>
        </w:tc>
      </w:tr>
      <w:tr w:rsidR="00D50EC2" w:rsidRPr="005765DB" w14:paraId="2E6D7327" w14:textId="77777777" w:rsidTr="004545C0">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4440177" w14:textId="77777777" w:rsidR="00D50EC2" w:rsidRPr="005765DB" w:rsidRDefault="00D50EC2" w:rsidP="004545C0">
            <w:pPr>
              <w:widowControl w:val="0"/>
              <w:rPr>
                <w:rFonts w:ascii="Times New Roman" w:hAnsi="Times New Roman" w:cs="Times New Roman"/>
                <w:bCs/>
                <w:sz w:val="18"/>
                <w:szCs w:val="18"/>
              </w:rPr>
            </w:pPr>
            <w:r>
              <w:rPr>
                <w:rFonts w:ascii="Times New Roman" w:hAnsi="Times New Roman" w:cs="Times New Roman"/>
                <w:bCs/>
                <w:sz w:val="18"/>
                <w:szCs w:val="18"/>
              </w:rPr>
              <w:t xml:space="preserve">vi. </w:t>
            </w:r>
            <w:r w:rsidRPr="005765DB">
              <w:rPr>
                <w:rFonts w:ascii="Times New Roman" w:hAnsi="Times New Roman" w:cs="Times New Roman"/>
                <w:bCs/>
                <w:sz w:val="18"/>
                <w:szCs w:val="18"/>
              </w:rPr>
              <w:t>High Dimension Flow Cytometry</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FF8DC1E"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Children’s Hospital of Pennsylvania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92132FB"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9AD96F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386062F"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7A7FB3D"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6</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25E158C" w14:textId="77777777" w:rsidR="00D50EC2" w:rsidRPr="005765DB" w:rsidRDefault="00D50EC2" w:rsidP="004545C0">
            <w:pPr>
              <w:widowControl w:val="0"/>
              <w:rPr>
                <w:rFonts w:ascii="Times New Roman" w:hAnsi="Times New Roman" w:cs="Times New Roman"/>
                <w:bCs/>
                <w:sz w:val="18"/>
                <w:szCs w:val="18"/>
              </w:rPr>
            </w:pPr>
            <w:r w:rsidRPr="005765DB">
              <w:rPr>
                <w:rFonts w:ascii="Times New Roman" w:hAnsi="Times New Roman" w:cs="Times New Roman"/>
                <w:bCs/>
                <w:sz w:val="18"/>
                <w:szCs w:val="18"/>
              </w:rPr>
              <w:t xml:space="preserve">Cryopreserve the cells in 10% DMSO </w:t>
            </w:r>
            <w:r>
              <w:rPr>
                <w:rFonts w:ascii="Times New Roman" w:hAnsi="Times New Roman" w:cs="Times New Roman"/>
                <w:bCs/>
                <w:sz w:val="18"/>
                <w:szCs w:val="18"/>
              </w:rPr>
              <w:t xml:space="preserve">in FBS </w:t>
            </w:r>
            <w:r w:rsidRPr="005765DB">
              <w:rPr>
                <w:rFonts w:ascii="Times New Roman" w:hAnsi="Times New Roman" w:cs="Times New Roman"/>
                <w:bCs/>
                <w:sz w:val="18"/>
                <w:szCs w:val="18"/>
              </w:rPr>
              <w:t>and ship batched samples in dry ice</w:t>
            </w:r>
          </w:p>
        </w:tc>
      </w:tr>
    </w:tbl>
    <w:p w14:paraId="37E76A19" w14:textId="77777777" w:rsidR="00D50EC2" w:rsidRDefault="00D50EC2" w:rsidP="00D50EC2">
      <w:pPr>
        <w:pStyle w:val="ListParagraph"/>
        <w:widowControl w:val="0"/>
        <w:spacing w:after="0" w:line="240" w:lineRule="auto"/>
        <w:ind w:left="360"/>
        <w:rPr>
          <w:rFonts w:ascii="Arial" w:hAnsi="Arial" w:cs="Arial"/>
          <w:b/>
          <w:sz w:val="24"/>
          <w:szCs w:val="24"/>
        </w:rPr>
      </w:pPr>
    </w:p>
    <w:p w14:paraId="43DE0D22" w14:textId="77777777" w:rsidR="00D50EC2" w:rsidRDefault="00D50EC2" w:rsidP="00D50EC2">
      <w:pPr>
        <w:pStyle w:val="ListParagraph"/>
        <w:widowControl w:val="0"/>
        <w:spacing w:after="0" w:line="240" w:lineRule="auto"/>
        <w:ind w:left="360"/>
        <w:rPr>
          <w:rFonts w:ascii="Arial" w:hAnsi="Arial" w:cs="Arial"/>
          <w:b/>
          <w:sz w:val="24"/>
          <w:szCs w:val="24"/>
        </w:rPr>
      </w:pPr>
    </w:p>
    <w:p w14:paraId="38AAB934" w14:textId="77777777" w:rsidR="00D50EC2" w:rsidRDefault="00D50EC2" w:rsidP="00D50EC2">
      <w:pPr>
        <w:pStyle w:val="ListParagraph"/>
        <w:widowControl w:val="0"/>
        <w:numPr>
          <w:ilvl w:val="0"/>
          <w:numId w:val="31"/>
        </w:numPr>
        <w:spacing w:after="0" w:line="240" w:lineRule="auto"/>
        <w:rPr>
          <w:rFonts w:ascii="Arial" w:hAnsi="Arial" w:cs="Arial"/>
          <w:b/>
          <w:sz w:val="24"/>
          <w:szCs w:val="24"/>
        </w:rPr>
      </w:pPr>
      <w:r>
        <w:rPr>
          <w:rFonts w:ascii="Arial" w:hAnsi="Arial" w:cs="Arial"/>
          <w:b/>
          <w:sz w:val="24"/>
          <w:szCs w:val="24"/>
        </w:rPr>
        <w:t xml:space="preserve">Detailed </w:t>
      </w:r>
      <w:r w:rsidRPr="002855CE">
        <w:rPr>
          <w:rFonts w:ascii="Arial" w:hAnsi="Arial" w:cs="Arial"/>
          <w:b/>
          <w:sz w:val="24"/>
          <w:szCs w:val="24"/>
        </w:rPr>
        <w:t xml:space="preserve">Shipping Address </w:t>
      </w:r>
    </w:p>
    <w:p w14:paraId="088FD04B" w14:textId="77777777" w:rsidR="00D50EC2" w:rsidRPr="002855CE" w:rsidRDefault="00D50EC2" w:rsidP="00D50EC2">
      <w:pPr>
        <w:pStyle w:val="ListParagraph"/>
        <w:widowControl w:val="0"/>
        <w:spacing w:after="0" w:line="240" w:lineRule="auto"/>
        <w:ind w:left="360"/>
        <w:rPr>
          <w:rFonts w:ascii="Arial" w:hAnsi="Arial" w:cs="Arial"/>
          <w:b/>
          <w:sz w:val="24"/>
          <w:szCs w:val="24"/>
        </w:rPr>
      </w:pPr>
    </w:p>
    <w:p w14:paraId="10367CE7" w14:textId="77777777" w:rsidR="00D50EC2" w:rsidRPr="005765DB" w:rsidRDefault="00D50EC2" w:rsidP="00D50EC2">
      <w:pPr>
        <w:pStyle w:val="ListParagraph"/>
        <w:widowControl w:val="0"/>
        <w:numPr>
          <w:ilvl w:val="0"/>
          <w:numId w:val="36"/>
        </w:numPr>
        <w:spacing w:after="0" w:line="240" w:lineRule="auto"/>
        <w:rPr>
          <w:rFonts w:ascii="Arial" w:hAnsi="Arial" w:cs="Arial"/>
          <w:color w:val="000000" w:themeColor="text1"/>
          <w:sz w:val="24"/>
          <w:szCs w:val="24"/>
        </w:rPr>
      </w:pPr>
      <w:r w:rsidRPr="005765DB">
        <w:rPr>
          <w:rFonts w:ascii="Arial" w:hAnsi="Arial" w:cs="Arial"/>
          <w:color w:val="000000" w:themeColor="text1"/>
          <w:sz w:val="24"/>
          <w:szCs w:val="24"/>
        </w:rPr>
        <w:t>Nationwide Children’s Hospital</w:t>
      </w:r>
    </w:p>
    <w:p w14:paraId="1562717A" w14:textId="77777777" w:rsidR="00D50EC2" w:rsidRPr="005765DB"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The Steve and Cindy Rasmussen Institute for Genomic Medicine</w:t>
      </w:r>
    </w:p>
    <w:p w14:paraId="7CA81AB3" w14:textId="77777777" w:rsidR="00D50EC2" w:rsidRPr="005765DB"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 xml:space="preserve">Attn: </w:t>
      </w:r>
      <w:r>
        <w:rPr>
          <w:rFonts w:ascii="Arial" w:hAnsi="Arial" w:cs="Arial"/>
          <w:color w:val="000000" w:themeColor="text1"/>
        </w:rPr>
        <w:t xml:space="preserve">Joyleen Oliver </w:t>
      </w:r>
    </w:p>
    <w:p w14:paraId="58154CDF" w14:textId="77777777" w:rsidR="00D50EC2" w:rsidRPr="005765DB"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Abigail Wexner Research Institute at Nationwide Children’s Hospital</w:t>
      </w:r>
    </w:p>
    <w:p w14:paraId="4432ECFD" w14:textId="77777777" w:rsidR="00D50EC2" w:rsidRPr="005765DB"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575 Children’s Crossroad, WB2265</w:t>
      </w:r>
    </w:p>
    <w:p w14:paraId="70BA87EA" w14:textId="77777777" w:rsidR="00D50EC2" w:rsidRPr="005765DB"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Columbus, OH 43215</w:t>
      </w:r>
    </w:p>
    <w:p w14:paraId="3EFD0C53" w14:textId="77777777" w:rsidR="00D50EC2" w:rsidRDefault="00D50EC2" w:rsidP="00D50EC2">
      <w:pPr>
        <w:widowControl w:val="0"/>
        <w:ind w:left="72" w:firstLine="648"/>
        <w:rPr>
          <w:rFonts w:ascii="Arial" w:hAnsi="Arial" w:cs="Arial"/>
          <w:color w:val="000000" w:themeColor="text1"/>
          <w:sz w:val="24"/>
          <w:szCs w:val="24"/>
        </w:rPr>
      </w:pPr>
      <w:r w:rsidRPr="005765DB">
        <w:rPr>
          <w:rFonts w:ascii="Arial" w:hAnsi="Arial" w:cs="Arial"/>
          <w:color w:val="000000" w:themeColor="text1"/>
          <w:sz w:val="24"/>
          <w:szCs w:val="24"/>
        </w:rPr>
        <w:t xml:space="preserve">Phone: 614-355-3589 </w:t>
      </w:r>
    </w:p>
    <w:p w14:paraId="0CCEB0C9"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 xml:space="preserve">Email: </w:t>
      </w:r>
      <w:hyperlink r:id="rId14" w:history="1">
        <w:r w:rsidRPr="00F45583">
          <w:rPr>
            <w:rStyle w:val="Hyperlink"/>
            <w:rFonts w:ascii="Arial" w:hAnsi="Arial" w:cs="Arial"/>
            <w:sz w:val="24"/>
            <w:szCs w:val="24"/>
          </w:rPr>
          <w:t>elaine.mardis@nationwidechildrens.org</w:t>
        </w:r>
      </w:hyperlink>
    </w:p>
    <w:p w14:paraId="7060C052"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Contact before shipping</w:t>
      </w:r>
    </w:p>
    <w:p w14:paraId="4ABEF78F" w14:textId="77777777" w:rsidR="00D50EC2" w:rsidRPr="005765DB" w:rsidRDefault="00D50EC2" w:rsidP="00D50EC2">
      <w:pPr>
        <w:widowControl w:val="0"/>
        <w:ind w:left="72" w:firstLine="648"/>
        <w:rPr>
          <w:rFonts w:ascii="Arial" w:hAnsi="Arial" w:cs="Arial"/>
          <w:color w:val="000000" w:themeColor="text1"/>
          <w:sz w:val="24"/>
          <w:szCs w:val="24"/>
        </w:rPr>
      </w:pPr>
    </w:p>
    <w:p w14:paraId="1B2C06D6" w14:textId="77777777" w:rsidR="00D50EC2" w:rsidRPr="00E576AB" w:rsidRDefault="00D50EC2" w:rsidP="00D50EC2">
      <w:pPr>
        <w:pStyle w:val="ListParagraph"/>
        <w:widowControl w:val="0"/>
        <w:numPr>
          <w:ilvl w:val="0"/>
          <w:numId w:val="34"/>
        </w:numPr>
        <w:spacing w:after="0" w:line="240" w:lineRule="auto"/>
        <w:ind w:left="720" w:hanging="648"/>
        <w:rPr>
          <w:rFonts w:ascii="Arial" w:hAnsi="Arial" w:cs="Arial"/>
          <w:sz w:val="24"/>
          <w:szCs w:val="24"/>
        </w:rPr>
      </w:pPr>
      <w:r w:rsidRPr="00E576AB">
        <w:rPr>
          <w:rFonts w:ascii="Arial" w:hAnsi="Arial" w:cs="Arial"/>
          <w:sz w:val="24"/>
          <w:szCs w:val="24"/>
        </w:rPr>
        <w:t>Nationwide Children’s Hospital</w:t>
      </w:r>
    </w:p>
    <w:p w14:paraId="030F0A13" w14:textId="77777777" w:rsidR="00D50EC2" w:rsidRPr="00E576AB"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The Steve and Cindy Rasmussen Institute for Genomic Medicine</w:t>
      </w:r>
    </w:p>
    <w:p w14:paraId="73023592" w14:textId="77777777" w:rsidR="00D50EC2" w:rsidRPr="00E576AB"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Attn: Kristen Leraas</w:t>
      </w:r>
    </w:p>
    <w:p w14:paraId="36CE0480" w14:textId="77777777" w:rsidR="00D50EC2" w:rsidRPr="00E576AB"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Abigail Wexner Research Institute at Nationwide Children’s Hospital</w:t>
      </w:r>
    </w:p>
    <w:p w14:paraId="188F609E" w14:textId="77777777" w:rsidR="00D50EC2" w:rsidRPr="00E576AB"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575 Children’s Crossroad, WB2265</w:t>
      </w:r>
    </w:p>
    <w:p w14:paraId="4F7A5721" w14:textId="77777777" w:rsidR="00D50EC2" w:rsidRPr="00E576AB"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Columbus, OH 43215</w:t>
      </w:r>
    </w:p>
    <w:p w14:paraId="236D5CA4" w14:textId="77777777" w:rsidR="00D50EC2" w:rsidRDefault="00D50EC2" w:rsidP="00D50EC2">
      <w:pPr>
        <w:widowControl w:val="0"/>
        <w:ind w:left="72" w:firstLine="648"/>
        <w:rPr>
          <w:rFonts w:ascii="Arial" w:hAnsi="Arial" w:cs="Arial"/>
          <w:color w:val="000000"/>
          <w:sz w:val="24"/>
          <w:szCs w:val="24"/>
        </w:rPr>
      </w:pPr>
      <w:r w:rsidRPr="00E576AB">
        <w:rPr>
          <w:rFonts w:ascii="Arial" w:hAnsi="Arial" w:cs="Arial"/>
          <w:color w:val="000000"/>
          <w:sz w:val="24"/>
          <w:szCs w:val="24"/>
        </w:rPr>
        <w:t>Phone: 614-355-3589</w:t>
      </w:r>
      <w:r>
        <w:rPr>
          <w:rFonts w:ascii="Arial" w:hAnsi="Arial" w:cs="Arial"/>
          <w:color w:val="000000"/>
          <w:sz w:val="24"/>
          <w:szCs w:val="24"/>
        </w:rPr>
        <w:t xml:space="preserve"> </w:t>
      </w:r>
    </w:p>
    <w:p w14:paraId="3587B647" w14:textId="77777777" w:rsidR="00D50EC2" w:rsidRDefault="00D50EC2" w:rsidP="00D50EC2">
      <w:pPr>
        <w:widowControl w:val="0"/>
        <w:ind w:left="72" w:firstLine="648"/>
        <w:rPr>
          <w:rFonts w:ascii="Arial" w:hAnsi="Arial" w:cs="Arial"/>
          <w:color w:val="0432FF"/>
          <w:sz w:val="24"/>
          <w:szCs w:val="24"/>
        </w:rPr>
      </w:pPr>
      <w:r>
        <w:rPr>
          <w:rFonts w:ascii="Arial" w:hAnsi="Arial" w:cs="Arial"/>
          <w:color w:val="000000"/>
          <w:sz w:val="24"/>
          <w:szCs w:val="24"/>
        </w:rPr>
        <w:t xml:space="preserve">Email: </w:t>
      </w:r>
      <w:hyperlink r:id="rId15" w:history="1">
        <w:r w:rsidRPr="00F45583">
          <w:rPr>
            <w:rStyle w:val="Hyperlink"/>
            <w:rFonts w:ascii="Arial" w:hAnsi="Arial" w:cs="Arial"/>
            <w:sz w:val="24"/>
            <w:szCs w:val="24"/>
          </w:rPr>
          <w:t>elaine.mardis@nationwidechildrens.org</w:t>
        </w:r>
      </w:hyperlink>
    </w:p>
    <w:p w14:paraId="32688C33"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Contact before shipping</w:t>
      </w:r>
    </w:p>
    <w:p w14:paraId="6FD74229" w14:textId="77777777" w:rsidR="00D50EC2" w:rsidRPr="00E576AB" w:rsidRDefault="00D50EC2" w:rsidP="00D50EC2">
      <w:pPr>
        <w:pStyle w:val="ListParagraph"/>
        <w:widowControl w:val="0"/>
        <w:spacing w:after="0" w:line="240" w:lineRule="auto"/>
        <w:ind w:left="792"/>
        <w:rPr>
          <w:rFonts w:ascii="Arial" w:hAnsi="Arial" w:cs="Arial"/>
          <w:sz w:val="24"/>
          <w:szCs w:val="24"/>
        </w:rPr>
      </w:pPr>
    </w:p>
    <w:p w14:paraId="30122398" w14:textId="77777777" w:rsidR="00D50EC2" w:rsidRPr="00E576AB" w:rsidRDefault="00D50EC2" w:rsidP="00D50EC2">
      <w:pPr>
        <w:pStyle w:val="ListParagraph"/>
        <w:widowControl w:val="0"/>
        <w:numPr>
          <w:ilvl w:val="0"/>
          <w:numId w:val="34"/>
        </w:numPr>
        <w:spacing w:after="0" w:line="240" w:lineRule="auto"/>
        <w:ind w:left="720" w:hanging="648"/>
        <w:rPr>
          <w:rFonts w:ascii="Arial" w:hAnsi="Arial" w:cs="Arial"/>
          <w:sz w:val="24"/>
          <w:szCs w:val="24"/>
        </w:rPr>
      </w:pPr>
      <w:r w:rsidRPr="00E576AB">
        <w:rPr>
          <w:rFonts w:ascii="Arial" w:hAnsi="Arial" w:cs="Arial"/>
          <w:sz w:val="24"/>
          <w:szCs w:val="24"/>
        </w:rPr>
        <w:t>Ohio State University</w:t>
      </w:r>
    </w:p>
    <w:p w14:paraId="42EC4C12" w14:textId="77777777" w:rsidR="00D50EC2" w:rsidRPr="00E576AB" w:rsidRDefault="00D50EC2" w:rsidP="00D50EC2">
      <w:pPr>
        <w:widowControl w:val="0"/>
        <w:ind w:left="72" w:firstLine="648"/>
        <w:rPr>
          <w:rFonts w:ascii="Arial" w:hAnsi="Arial" w:cs="Arial"/>
          <w:sz w:val="24"/>
          <w:szCs w:val="20"/>
        </w:rPr>
      </w:pPr>
      <w:r w:rsidRPr="00E576AB">
        <w:rPr>
          <w:rFonts w:ascii="Arial" w:hAnsi="Arial" w:cs="Arial"/>
          <w:sz w:val="24"/>
          <w:szCs w:val="20"/>
        </w:rPr>
        <w:lastRenderedPageBreak/>
        <w:t>Nationwide Children’s Hospital Research Institute</w:t>
      </w:r>
    </w:p>
    <w:p w14:paraId="7E2F1DCF" w14:textId="77777777" w:rsidR="00D50EC2" w:rsidRPr="00F42B20" w:rsidRDefault="00D50EC2" w:rsidP="00D50EC2">
      <w:pPr>
        <w:widowControl w:val="0"/>
        <w:ind w:left="72" w:firstLine="648"/>
        <w:rPr>
          <w:rFonts w:ascii="Arial" w:hAnsi="Arial" w:cs="Arial"/>
          <w:sz w:val="24"/>
          <w:szCs w:val="20"/>
          <w:lang w:val="it-IT"/>
        </w:rPr>
      </w:pPr>
      <w:r w:rsidRPr="00F42B20">
        <w:rPr>
          <w:rFonts w:ascii="Arial" w:hAnsi="Arial" w:cs="Arial"/>
          <w:sz w:val="24"/>
          <w:szCs w:val="20"/>
          <w:lang w:val="it-IT"/>
        </w:rPr>
        <w:t>c/o    Robin Nakkula, Dean Lee Lab</w:t>
      </w:r>
    </w:p>
    <w:p w14:paraId="70979524" w14:textId="77777777" w:rsidR="00D50EC2" w:rsidRPr="00E576AB" w:rsidRDefault="00D50EC2" w:rsidP="00D50EC2">
      <w:pPr>
        <w:widowControl w:val="0"/>
        <w:ind w:left="72" w:firstLine="648"/>
        <w:rPr>
          <w:rFonts w:ascii="Arial" w:hAnsi="Arial" w:cs="Arial"/>
          <w:sz w:val="24"/>
          <w:szCs w:val="20"/>
        </w:rPr>
      </w:pPr>
      <w:r w:rsidRPr="00E576AB">
        <w:rPr>
          <w:rFonts w:ascii="Arial" w:hAnsi="Arial" w:cs="Arial"/>
          <w:sz w:val="24"/>
          <w:szCs w:val="20"/>
        </w:rPr>
        <w:t>700 Childrens Dr WA 4112</w:t>
      </w:r>
    </w:p>
    <w:p w14:paraId="02418B88" w14:textId="77777777" w:rsidR="00D50EC2" w:rsidRPr="00E576AB" w:rsidRDefault="00D50EC2" w:rsidP="00D50EC2">
      <w:pPr>
        <w:widowControl w:val="0"/>
        <w:ind w:left="72" w:firstLine="648"/>
        <w:rPr>
          <w:rFonts w:ascii="Arial" w:hAnsi="Arial" w:cs="Arial"/>
          <w:sz w:val="24"/>
          <w:szCs w:val="20"/>
        </w:rPr>
      </w:pPr>
      <w:r w:rsidRPr="00E576AB">
        <w:rPr>
          <w:rFonts w:ascii="Arial" w:hAnsi="Arial" w:cs="Arial"/>
          <w:sz w:val="24"/>
          <w:szCs w:val="20"/>
        </w:rPr>
        <w:t>Columbus, Ohio  43205</w:t>
      </w:r>
    </w:p>
    <w:p w14:paraId="279280DA" w14:textId="77777777" w:rsidR="00D50EC2" w:rsidRPr="00E576AB" w:rsidRDefault="00D50EC2" w:rsidP="00D50EC2">
      <w:pPr>
        <w:widowControl w:val="0"/>
        <w:ind w:left="72" w:firstLine="648"/>
        <w:rPr>
          <w:rFonts w:ascii="Arial" w:hAnsi="Arial" w:cs="Arial"/>
          <w:sz w:val="24"/>
          <w:szCs w:val="20"/>
        </w:rPr>
      </w:pPr>
      <w:r>
        <w:rPr>
          <w:rFonts w:ascii="Arial" w:hAnsi="Arial" w:cs="Arial"/>
          <w:sz w:val="24"/>
          <w:szCs w:val="20"/>
        </w:rPr>
        <w:t xml:space="preserve">Phone: </w:t>
      </w:r>
      <w:r w:rsidRPr="00E576AB">
        <w:rPr>
          <w:rFonts w:ascii="Arial" w:hAnsi="Arial" w:cs="Arial"/>
          <w:sz w:val="24"/>
          <w:szCs w:val="20"/>
        </w:rPr>
        <w:t>614-355-1538</w:t>
      </w:r>
    </w:p>
    <w:p w14:paraId="3A65F7A0" w14:textId="77777777" w:rsidR="00D50EC2" w:rsidRDefault="00D50EC2" w:rsidP="00D50EC2">
      <w:pPr>
        <w:widowControl w:val="0"/>
        <w:ind w:left="72" w:firstLine="648"/>
        <w:rPr>
          <w:rStyle w:val="Hyperlink"/>
          <w:rFonts w:ascii="Arial" w:hAnsi="Arial" w:cs="Arial"/>
          <w:sz w:val="24"/>
          <w:szCs w:val="20"/>
        </w:rPr>
      </w:pPr>
      <w:r w:rsidRPr="00521332">
        <w:rPr>
          <w:rFonts w:ascii="Arial" w:hAnsi="Arial" w:cs="Arial"/>
          <w:sz w:val="24"/>
          <w:szCs w:val="24"/>
        </w:rPr>
        <w:t xml:space="preserve">Email: </w:t>
      </w:r>
      <w:hyperlink r:id="rId16" w:history="1">
        <w:r w:rsidRPr="00F45583">
          <w:rPr>
            <w:rStyle w:val="Hyperlink"/>
            <w:rFonts w:ascii="Arial" w:hAnsi="Arial" w:cs="Arial"/>
            <w:sz w:val="24"/>
            <w:szCs w:val="20"/>
          </w:rPr>
          <w:t>Robin.Nakkula@nationwidechildrens.org</w:t>
        </w:r>
      </w:hyperlink>
    </w:p>
    <w:p w14:paraId="74D98A17"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Contact before shipping</w:t>
      </w:r>
    </w:p>
    <w:p w14:paraId="589393CF" w14:textId="77777777" w:rsidR="00D50EC2" w:rsidRPr="00E576AB" w:rsidRDefault="00D50EC2" w:rsidP="00D50EC2">
      <w:pPr>
        <w:pStyle w:val="ListParagraph"/>
        <w:widowControl w:val="0"/>
        <w:spacing w:after="0" w:line="240" w:lineRule="auto"/>
        <w:ind w:left="792"/>
        <w:rPr>
          <w:rFonts w:ascii="Arial" w:hAnsi="Arial" w:cs="Arial"/>
          <w:sz w:val="24"/>
          <w:szCs w:val="24"/>
        </w:rPr>
      </w:pPr>
    </w:p>
    <w:p w14:paraId="309A44FE" w14:textId="77777777" w:rsidR="00D50EC2" w:rsidRPr="00E576AB" w:rsidRDefault="00D50EC2" w:rsidP="00D50EC2">
      <w:pPr>
        <w:pStyle w:val="ListParagraph"/>
        <w:widowControl w:val="0"/>
        <w:numPr>
          <w:ilvl w:val="0"/>
          <w:numId w:val="34"/>
        </w:numPr>
        <w:spacing w:after="0" w:line="240" w:lineRule="auto"/>
        <w:rPr>
          <w:rFonts w:ascii="Arial" w:hAnsi="Arial" w:cs="Arial"/>
          <w:sz w:val="24"/>
          <w:szCs w:val="24"/>
        </w:rPr>
      </w:pPr>
      <w:r w:rsidRPr="00E576AB">
        <w:rPr>
          <w:rFonts w:ascii="Arial" w:hAnsi="Arial" w:cs="Arial"/>
          <w:sz w:val="24"/>
          <w:szCs w:val="24"/>
        </w:rPr>
        <w:t>New York Medical College</w:t>
      </w:r>
    </w:p>
    <w:p w14:paraId="2955811E" w14:textId="77777777" w:rsidR="00D50EC2" w:rsidRPr="00E576AB" w:rsidRDefault="00D50EC2" w:rsidP="00D50EC2">
      <w:pPr>
        <w:pStyle w:val="gmail-p1"/>
        <w:widowControl w:val="0"/>
        <w:spacing w:before="0" w:beforeAutospacing="0" w:after="0" w:afterAutospacing="0"/>
        <w:ind w:left="72" w:firstLine="648"/>
        <w:rPr>
          <w:rFonts w:ascii="Arial" w:hAnsi="Arial" w:cs="Arial"/>
        </w:rPr>
      </w:pPr>
      <w:r w:rsidRPr="00E576AB">
        <w:rPr>
          <w:rFonts w:ascii="Arial" w:hAnsi="Arial" w:cs="Arial"/>
        </w:rPr>
        <w:t>Yaya Chu, PhD</w:t>
      </w:r>
    </w:p>
    <w:p w14:paraId="50472241" w14:textId="77777777" w:rsidR="00D50EC2" w:rsidRPr="00E576AB" w:rsidRDefault="00D50EC2" w:rsidP="00D50EC2">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Basic Science Building, Rm401</w:t>
      </w:r>
    </w:p>
    <w:p w14:paraId="53FA06F5" w14:textId="77777777" w:rsidR="00D50EC2" w:rsidRPr="00E576AB" w:rsidRDefault="00D50EC2" w:rsidP="00D50EC2">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New York Medical College</w:t>
      </w:r>
    </w:p>
    <w:p w14:paraId="39E9BBB2" w14:textId="77777777" w:rsidR="00D50EC2" w:rsidRPr="00E576AB" w:rsidRDefault="00D50EC2" w:rsidP="00D50EC2">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40 Sunshine Cottage Road</w:t>
      </w:r>
    </w:p>
    <w:p w14:paraId="56D27B92" w14:textId="77777777" w:rsidR="00D50EC2" w:rsidRPr="00E576AB" w:rsidRDefault="00D50EC2" w:rsidP="00D50EC2">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Valhalla, NY, 10595</w:t>
      </w:r>
    </w:p>
    <w:p w14:paraId="63DB7D0F" w14:textId="77777777" w:rsidR="00D50EC2" w:rsidRDefault="00D50EC2" w:rsidP="00D50EC2">
      <w:pPr>
        <w:pStyle w:val="gmail-p1"/>
        <w:widowControl w:val="0"/>
        <w:spacing w:before="0" w:beforeAutospacing="0" w:after="0" w:afterAutospacing="0"/>
        <w:ind w:left="72" w:firstLine="648"/>
        <w:rPr>
          <w:rFonts w:ascii="Arial" w:hAnsi="Arial" w:cs="Arial"/>
        </w:rPr>
      </w:pPr>
      <w:r>
        <w:rPr>
          <w:rFonts w:ascii="Arial" w:hAnsi="Arial" w:cs="Arial"/>
        </w:rPr>
        <w:t>Phone:</w:t>
      </w:r>
      <w:r w:rsidRPr="00E576AB">
        <w:rPr>
          <w:rFonts w:ascii="Arial" w:hAnsi="Arial" w:cs="Arial"/>
        </w:rPr>
        <w:t xml:space="preserve"> 914-594-3726</w:t>
      </w:r>
    </w:p>
    <w:p w14:paraId="76598D4D" w14:textId="77777777" w:rsidR="00D50EC2" w:rsidRDefault="00D50EC2" w:rsidP="00D50EC2">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 xml:space="preserve">email: </w:t>
      </w:r>
      <w:hyperlink r:id="rId17" w:history="1">
        <w:r w:rsidRPr="006921AE">
          <w:rPr>
            <w:rStyle w:val="Hyperlink"/>
            <w:rFonts w:ascii="Arial" w:hAnsi="Arial" w:cs="Arial"/>
          </w:rPr>
          <w:t>yaya_chu@nymc.edu</w:t>
        </w:r>
      </w:hyperlink>
      <w:r>
        <w:rPr>
          <w:rFonts w:ascii="Arial" w:hAnsi="Arial" w:cs="Arial"/>
        </w:rPr>
        <w:t xml:space="preserve"> </w:t>
      </w:r>
      <w:r w:rsidRPr="00E576AB">
        <w:rPr>
          <w:rFonts w:ascii="Arial" w:hAnsi="Arial" w:cs="Arial"/>
        </w:rPr>
        <w:t xml:space="preserve"> </w:t>
      </w:r>
    </w:p>
    <w:p w14:paraId="648EAF8B"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Contact before shipping</w:t>
      </w:r>
    </w:p>
    <w:p w14:paraId="50F148FA" w14:textId="77777777" w:rsidR="00D50EC2" w:rsidRPr="00E576AB" w:rsidRDefault="00D50EC2" w:rsidP="00D50EC2">
      <w:pPr>
        <w:widowControl w:val="0"/>
        <w:rPr>
          <w:rFonts w:ascii="Arial" w:hAnsi="Arial" w:cs="Arial"/>
          <w:sz w:val="24"/>
          <w:szCs w:val="24"/>
        </w:rPr>
      </w:pPr>
    </w:p>
    <w:p w14:paraId="538984B9" w14:textId="77777777" w:rsidR="00D50EC2" w:rsidRPr="00E576AB" w:rsidRDefault="00D50EC2" w:rsidP="00D50EC2">
      <w:pPr>
        <w:pStyle w:val="ListParagraph"/>
        <w:widowControl w:val="0"/>
        <w:numPr>
          <w:ilvl w:val="0"/>
          <w:numId w:val="34"/>
        </w:numPr>
        <w:spacing w:after="0" w:line="240" w:lineRule="auto"/>
        <w:rPr>
          <w:rFonts w:ascii="Arial" w:hAnsi="Arial" w:cs="Arial"/>
          <w:sz w:val="24"/>
          <w:szCs w:val="24"/>
        </w:rPr>
      </w:pPr>
      <w:r w:rsidRPr="00E576AB">
        <w:rPr>
          <w:rFonts w:ascii="Arial" w:hAnsi="Arial" w:cs="Arial"/>
          <w:sz w:val="24"/>
          <w:szCs w:val="24"/>
        </w:rPr>
        <w:t>New York Medical College</w:t>
      </w:r>
    </w:p>
    <w:p w14:paraId="5DB5883E" w14:textId="77777777" w:rsidR="00D50EC2" w:rsidRPr="00E576AB" w:rsidRDefault="00D50EC2" w:rsidP="00D50EC2">
      <w:pPr>
        <w:pStyle w:val="gmail-p1"/>
        <w:widowControl w:val="0"/>
        <w:spacing w:before="0" w:beforeAutospacing="0" w:after="0" w:afterAutospacing="0"/>
        <w:ind w:firstLine="720"/>
        <w:rPr>
          <w:rFonts w:ascii="Arial" w:hAnsi="Arial" w:cs="Arial"/>
        </w:rPr>
      </w:pPr>
      <w:r w:rsidRPr="00E576AB">
        <w:rPr>
          <w:rFonts w:ascii="Arial" w:hAnsi="Arial" w:cs="Arial"/>
        </w:rPr>
        <w:t>Yaya Chu, PhD</w:t>
      </w:r>
    </w:p>
    <w:p w14:paraId="1838A6F7" w14:textId="77777777" w:rsidR="00D50EC2" w:rsidRPr="00E576AB" w:rsidRDefault="00D50EC2" w:rsidP="00D50EC2">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Basic Science Building, Rm401</w:t>
      </w:r>
    </w:p>
    <w:p w14:paraId="506A0F8C" w14:textId="77777777" w:rsidR="00D50EC2" w:rsidRPr="00E576AB" w:rsidRDefault="00D50EC2" w:rsidP="00D50EC2">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New York Medical College</w:t>
      </w:r>
    </w:p>
    <w:p w14:paraId="0FE34215" w14:textId="77777777" w:rsidR="00D50EC2" w:rsidRPr="00E576AB" w:rsidRDefault="00D50EC2" w:rsidP="00D50EC2">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40 Sunshine Cottage Road</w:t>
      </w:r>
    </w:p>
    <w:p w14:paraId="1C6AD967" w14:textId="77777777" w:rsidR="00D50EC2" w:rsidRPr="00E576AB" w:rsidRDefault="00D50EC2" w:rsidP="00D50EC2">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Valhalla, NY, 10595</w:t>
      </w:r>
    </w:p>
    <w:p w14:paraId="4A22F99E" w14:textId="77777777" w:rsidR="00D50EC2" w:rsidRDefault="00D50EC2" w:rsidP="00D50EC2">
      <w:pPr>
        <w:pStyle w:val="gmail-p1"/>
        <w:widowControl w:val="0"/>
        <w:spacing w:before="0" w:beforeAutospacing="0" w:after="0" w:afterAutospacing="0"/>
        <w:ind w:firstLine="720"/>
        <w:rPr>
          <w:rFonts w:ascii="Arial" w:hAnsi="Arial" w:cs="Arial"/>
        </w:rPr>
      </w:pPr>
      <w:r>
        <w:rPr>
          <w:rFonts w:ascii="Arial" w:hAnsi="Arial" w:cs="Arial"/>
        </w:rPr>
        <w:t>Phone:</w:t>
      </w:r>
      <w:r w:rsidRPr="00E576AB">
        <w:rPr>
          <w:rFonts w:ascii="Arial" w:hAnsi="Arial" w:cs="Arial"/>
        </w:rPr>
        <w:t xml:space="preserve"> 914-594-3726</w:t>
      </w:r>
    </w:p>
    <w:p w14:paraId="3ACEFAE4" w14:textId="77777777" w:rsidR="00D50EC2" w:rsidRDefault="00D50EC2" w:rsidP="00D50EC2">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 xml:space="preserve">email: </w:t>
      </w:r>
      <w:hyperlink r:id="rId18" w:history="1">
        <w:r w:rsidRPr="006921AE">
          <w:rPr>
            <w:rStyle w:val="Hyperlink"/>
            <w:rFonts w:ascii="Arial" w:hAnsi="Arial" w:cs="Arial"/>
          </w:rPr>
          <w:t>yaya_chu@nymc.edu</w:t>
        </w:r>
      </w:hyperlink>
      <w:r>
        <w:rPr>
          <w:rFonts w:ascii="Arial" w:hAnsi="Arial" w:cs="Arial"/>
        </w:rPr>
        <w:t xml:space="preserve"> </w:t>
      </w:r>
      <w:r w:rsidRPr="00E576AB">
        <w:rPr>
          <w:rFonts w:ascii="Arial" w:hAnsi="Arial" w:cs="Arial"/>
        </w:rPr>
        <w:t xml:space="preserve"> </w:t>
      </w:r>
    </w:p>
    <w:p w14:paraId="317BC429" w14:textId="77777777" w:rsidR="00D50EC2" w:rsidRDefault="00D50EC2" w:rsidP="00D50EC2">
      <w:pPr>
        <w:widowControl w:val="0"/>
        <w:ind w:left="72" w:firstLine="648"/>
        <w:rPr>
          <w:rFonts w:ascii="Arial" w:hAnsi="Arial" w:cs="Arial"/>
          <w:color w:val="000000" w:themeColor="text1"/>
          <w:sz w:val="24"/>
          <w:szCs w:val="24"/>
        </w:rPr>
      </w:pPr>
      <w:r>
        <w:rPr>
          <w:rFonts w:ascii="Arial" w:hAnsi="Arial" w:cs="Arial"/>
          <w:color w:val="000000" w:themeColor="text1"/>
          <w:sz w:val="24"/>
          <w:szCs w:val="24"/>
        </w:rPr>
        <w:t>Contact before shipping</w:t>
      </w:r>
    </w:p>
    <w:p w14:paraId="74212FBC" w14:textId="77777777" w:rsidR="00D50EC2" w:rsidRPr="00E576AB" w:rsidRDefault="00D50EC2" w:rsidP="00D50EC2">
      <w:pPr>
        <w:widowControl w:val="0"/>
        <w:rPr>
          <w:rFonts w:ascii="Arial" w:hAnsi="Arial" w:cs="Arial"/>
          <w:sz w:val="24"/>
          <w:szCs w:val="24"/>
        </w:rPr>
      </w:pPr>
    </w:p>
    <w:p w14:paraId="38312D24" w14:textId="77777777" w:rsidR="00D50EC2" w:rsidRPr="00E576AB" w:rsidRDefault="00D50EC2" w:rsidP="00D50EC2">
      <w:pPr>
        <w:pStyle w:val="ListParagraph"/>
        <w:widowControl w:val="0"/>
        <w:numPr>
          <w:ilvl w:val="0"/>
          <w:numId w:val="34"/>
        </w:numPr>
        <w:spacing w:after="0" w:line="240" w:lineRule="auto"/>
        <w:ind w:left="720" w:hanging="648"/>
        <w:rPr>
          <w:rFonts w:ascii="Arial" w:hAnsi="Arial" w:cs="Arial"/>
          <w:sz w:val="24"/>
          <w:szCs w:val="24"/>
        </w:rPr>
      </w:pPr>
      <w:r w:rsidRPr="00E576AB">
        <w:rPr>
          <w:rFonts w:ascii="Arial" w:hAnsi="Arial" w:cs="Arial"/>
          <w:sz w:val="24"/>
          <w:szCs w:val="24"/>
        </w:rPr>
        <w:t>Children’s Hospital of Pennsylvania</w:t>
      </w:r>
    </w:p>
    <w:p w14:paraId="519DA301" w14:textId="77777777" w:rsidR="00D50EC2" w:rsidRDefault="00D50EC2" w:rsidP="00D50EC2">
      <w:pPr>
        <w:pStyle w:val="NormalWeb"/>
        <w:ind w:left="720"/>
        <w:rPr>
          <w:color w:val="000000"/>
        </w:rPr>
      </w:pPr>
      <w:r>
        <w:rPr>
          <w:rFonts w:ascii="Arial" w:hAnsi="Arial" w:cs="Arial"/>
          <w:color w:val="000000"/>
        </w:rPr>
        <w:t>Vella Lab </w:t>
      </w:r>
    </w:p>
    <w:p w14:paraId="278350E8" w14:textId="77777777" w:rsidR="00D50EC2" w:rsidRDefault="00D50EC2" w:rsidP="00D50EC2">
      <w:pPr>
        <w:pStyle w:val="NormalWeb"/>
        <w:ind w:left="720"/>
        <w:rPr>
          <w:color w:val="000000"/>
        </w:rPr>
      </w:pPr>
      <w:r>
        <w:rPr>
          <w:rFonts w:ascii="Arial" w:hAnsi="Arial" w:cs="Arial"/>
          <w:color w:val="000000"/>
        </w:rPr>
        <w:t>3501 Civic Center Blvd, </w:t>
      </w:r>
    </w:p>
    <w:p w14:paraId="73C38B33" w14:textId="77777777" w:rsidR="00D50EC2" w:rsidRDefault="00D50EC2" w:rsidP="00D50EC2">
      <w:pPr>
        <w:pStyle w:val="NormalWeb"/>
        <w:ind w:left="720"/>
        <w:rPr>
          <w:color w:val="000000"/>
        </w:rPr>
      </w:pPr>
      <w:r>
        <w:rPr>
          <w:rFonts w:ascii="Arial" w:hAnsi="Arial" w:cs="Arial"/>
          <w:color w:val="000000"/>
        </w:rPr>
        <w:t>Lab 10100 </w:t>
      </w:r>
    </w:p>
    <w:p w14:paraId="2FC02933" w14:textId="77777777" w:rsidR="00D50EC2" w:rsidRDefault="00D50EC2" w:rsidP="00D50EC2">
      <w:pPr>
        <w:pStyle w:val="NormalWeb"/>
        <w:ind w:left="720"/>
        <w:rPr>
          <w:color w:val="000000"/>
        </w:rPr>
      </w:pPr>
      <w:r>
        <w:rPr>
          <w:rFonts w:ascii="Arial" w:hAnsi="Arial" w:cs="Arial"/>
          <w:color w:val="000000"/>
        </w:rPr>
        <w:t>Philadelphia, PA 19104 </w:t>
      </w:r>
    </w:p>
    <w:p w14:paraId="79F96529" w14:textId="77777777" w:rsidR="00D50EC2" w:rsidRDefault="00D50EC2" w:rsidP="00D50EC2">
      <w:pPr>
        <w:pStyle w:val="NormalWeb"/>
        <w:ind w:left="720"/>
        <w:rPr>
          <w:color w:val="000000"/>
        </w:rPr>
      </w:pPr>
      <w:r>
        <w:rPr>
          <w:rFonts w:ascii="Arial" w:hAnsi="Arial" w:cs="Arial"/>
          <w:color w:val="000000"/>
        </w:rPr>
        <w:t>Phone:</w:t>
      </w:r>
      <w:r>
        <w:rPr>
          <w:rStyle w:val="apple-converted-space"/>
          <w:rFonts w:ascii="Arial" w:hAnsi="Arial" w:cs="Arial"/>
          <w:color w:val="000000"/>
        </w:rPr>
        <w:t> </w:t>
      </w:r>
      <w:hyperlink r:id="rId19" w:tooltip="mailto:412-848-7461" w:history="1">
        <w:r>
          <w:rPr>
            <w:rStyle w:val="Hyperlink"/>
            <w:rFonts w:ascii="Arial" w:hAnsi="Arial" w:cs="Arial"/>
            <w:color w:val="0078D4"/>
          </w:rPr>
          <w:t>412-848-7461</w:t>
        </w:r>
      </w:hyperlink>
      <w:r>
        <w:rPr>
          <w:rStyle w:val="apple-converted-space"/>
          <w:rFonts w:ascii="Arial" w:hAnsi="Arial" w:cs="Arial"/>
          <w:color w:val="000000"/>
        </w:rPr>
        <w:t> </w:t>
      </w:r>
      <w:r>
        <w:rPr>
          <w:rFonts w:ascii="Arial" w:hAnsi="Arial" w:cs="Arial"/>
          <w:color w:val="000000"/>
        </w:rPr>
        <w:t> </w:t>
      </w:r>
    </w:p>
    <w:p w14:paraId="6FAADBB7" w14:textId="77777777" w:rsidR="00D50EC2" w:rsidRDefault="00D50EC2" w:rsidP="00D50EC2">
      <w:pPr>
        <w:pStyle w:val="NormalWeb"/>
        <w:ind w:left="720"/>
        <w:rPr>
          <w:color w:val="000000"/>
        </w:rPr>
      </w:pPr>
      <w:r>
        <w:rPr>
          <w:rFonts w:ascii="Arial" w:hAnsi="Arial" w:cs="Arial"/>
          <w:color w:val="000000"/>
        </w:rPr>
        <w:t>Email:</w:t>
      </w:r>
      <w:r>
        <w:rPr>
          <w:rStyle w:val="apple-converted-space"/>
          <w:rFonts w:ascii="Arial" w:hAnsi="Arial" w:cs="Arial"/>
          <w:color w:val="000000"/>
        </w:rPr>
        <w:t> </w:t>
      </w:r>
      <w:hyperlink r:id="rId20" w:tooltip="mailto:vellal@email.chop.edu" w:history="1">
        <w:r>
          <w:rPr>
            <w:rStyle w:val="Hyperlink"/>
            <w:rFonts w:ascii="Arial" w:hAnsi="Arial" w:cs="Arial"/>
            <w:color w:val="0078D4"/>
          </w:rPr>
          <w:t>vellal@email.chop.edu</w:t>
        </w:r>
      </w:hyperlink>
      <w:r>
        <w:rPr>
          <w:rFonts w:ascii="Arial" w:hAnsi="Arial" w:cs="Arial"/>
          <w:color w:val="000000"/>
        </w:rPr>
        <w:t> </w:t>
      </w:r>
    </w:p>
    <w:p w14:paraId="08BBE535" w14:textId="77777777" w:rsidR="00D50EC2" w:rsidRPr="00BA16CC" w:rsidRDefault="00D50EC2" w:rsidP="00D50EC2">
      <w:pPr>
        <w:ind w:left="720"/>
        <w:rPr>
          <w:rFonts w:ascii="Times New Roman" w:eastAsia="Times New Roman" w:hAnsi="Times New Roman" w:cs="Times New Roman"/>
          <w:color w:val="000000"/>
          <w:sz w:val="24"/>
          <w:szCs w:val="24"/>
        </w:rPr>
      </w:pPr>
      <w:r w:rsidRPr="00BA16CC">
        <w:rPr>
          <w:rFonts w:ascii="Arial" w:eastAsia="Times New Roman" w:hAnsi="Arial" w:cs="Arial"/>
          <w:color w:val="000000"/>
          <w:sz w:val="24"/>
          <w:szCs w:val="24"/>
        </w:rPr>
        <w:t>Contact before shipping </w:t>
      </w:r>
    </w:p>
    <w:p w14:paraId="2B54E11F" w14:textId="4C055576" w:rsidR="00D50EC2" w:rsidRDefault="00D50EC2">
      <w:pPr>
        <w:spacing w:after="160" w:line="259" w:lineRule="auto"/>
        <w:rPr>
          <w:rFonts w:ascii="Arial" w:hAnsi="Arial" w:cs="Arial"/>
          <w:color w:val="000000"/>
          <w:sz w:val="24"/>
          <w:szCs w:val="24"/>
          <w14:ligatures w14:val="none"/>
        </w:rPr>
      </w:pPr>
      <w:r>
        <w:rPr>
          <w:rFonts w:ascii="Arial" w:hAnsi="Arial" w:cs="Arial"/>
          <w:color w:val="000000"/>
        </w:rPr>
        <w:br w:type="page"/>
      </w:r>
    </w:p>
    <w:p w14:paraId="03AC5C26" w14:textId="77777777" w:rsidR="00D50EC2" w:rsidRPr="00E576AB" w:rsidRDefault="00D50EC2" w:rsidP="00D50EC2">
      <w:pPr>
        <w:pStyle w:val="NormalWeb"/>
        <w:widowControl w:val="0"/>
        <w:ind w:left="72" w:firstLine="648"/>
        <w:rPr>
          <w:rFonts w:ascii="Arial" w:hAnsi="Arial" w:cs="Arial"/>
          <w:color w:val="000000"/>
        </w:rPr>
      </w:pPr>
    </w:p>
    <w:p w14:paraId="2CC6D4BC" w14:textId="77777777" w:rsidR="00D50EC2" w:rsidRDefault="00D50EC2" w:rsidP="00D50EC2">
      <w:pPr>
        <w:pStyle w:val="Heading2"/>
        <w:rPr>
          <w:i w:val="0"/>
          <w:iCs/>
        </w:rPr>
      </w:pPr>
      <w:bookmarkStart w:id="11" w:name="_Toc59096965"/>
      <w:r w:rsidRPr="002F07E8">
        <w:rPr>
          <w:i w:val="0"/>
          <w:iCs/>
        </w:rPr>
        <w:t xml:space="preserve">APPENDIX 4:  Characterization and Functional Assessment of the ex vivo expanded </w:t>
      </w:r>
      <w:r>
        <w:rPr>
          <w:i w:val="0"/>
          <w:iCs/>
        </w:rPr>
        <w:t xml:space="preserve">CMV </w:t>
      </w:r>
      <w:r w:rsidRPr="002F07E8">
        <w:rPr>
          <w:i w:val="0"/>
          <w:iCs/>
        </w:rPr>
        <w:t>CTL Product</w:t>
      </w:r>
      <w:bookmarkEnd w:id="11"/>
      <w:r>
        <w:rPr>
          <w:i w:val="0"/>
          <w:iCs/>
        </w:rPr>
        <w:t xml:space="preserve">  </w:t>
      </w:r>
    </w:p>
    <w:p w14:paraId="21398D0F" w14:textId="77777777" w:rsidR="00D50EC2" w:rsidRPr="007A027A" w:rsidRDefault="00D50EC2" w:rsidP="00D50EC2">
      <w:pPr>
        <w:spacing w:after="120"/>
        <w:rPr>
          <w:rFonts w:ascii="Arial" w:hAnsi="Arial" w:cs="Arial"/>
          <w:sz w:val="24"/>
        </w:rPr>
      </w:pPr>
      <w:r w:rsidRPr="002F07E8">
        <w:rPr>
          <w:rFonts w:ascii="Arial" w:hAnsi="Arial" w:cs="Arial"/>
          <w:b/>
          <w:sz w:val="24"/>
        </w:rPr>
        <w:t>1.0 Objective</w:t>
      </w:r>
      <w:r w:rsidRPr="007A027A">
        <w:rPr>
          <w:rFonts w:ascii="Arial" w:hAnsi="Arial" w:cs="Arial"/>
          <w:sz w:val="24"/>
        </w:rPr>
        <w:t xml:space="preserve">: </w:t>
      </w:r>
    </w:p>
    <w:p w14:paraId="37E54E78" w14:textId="77777777" w:rsidR="00D50EC2" w:rsidRPr="00561B8D" w:rsidRDefault="00D50EC2" w:rsidP="00D50EC2">
      <w:pPr>
        <w:spacing w:after="120"/>
        <w:rPr>
          <w:rFonts w:ascii="Arial" w:hAnsi="Arial" w:cs="Arial"/>
          <w:sz w:val="24"/>
        </w:rPr>
      </w:pPr>
      <w:r w:rsidRPr="00561B8D">
        <w:rPr>
          <w:rFonts w:ascii="Arial" w:hAnsi="Arial" w:cs="Arial"/>
          <w:sz w:val="24"/>
        </w:rPr>
        <w:tab/>
      </w:r>
      <w:r>
        <w:rPr>
          <w:rFonts w:ascii="Arial" w:hAnsi="Arial" w:cs="Arial"/>
          <w:sz w:val="24"/>
        </w:rPr>
        <w:t>To c</w:t>
      </w:r>
      <w:r w:rsidRPr="00561B8D">
        <w:rPr>
          <w:rFonts w:ascii="Arial" w:hAnsi="Arial" w:cs="Arial"/>
          <w:sz w:val="24"/>
        </w:rPr>
        <w:t xml:space="preserve">haracterize </w:t>
      </w:r>
      <w:r>
        <w:rPr>
          <w:rFonts w:ascii="Arial" w:hAnsi="Arial" w:cs="Arial"/>
          <w:sz w:val="24"/>
        </w:rPr>
        <w:t xml:space="preserve">ex vivo expanded CMV </w:t>
      </w:r>
      <w:r w:rsidRPr="00561B8D">
        <w:rPr>
          <w:rFonts w:ascii="Arial" w:hAnsi="Arial" w:cs="Arial"/>
          <w:sz w:val="24"/>
        </w:rPr>
        <w:t>CTL product (IFG+ cells from CCS product)</w:t>
      </w:r>
      <w:r>
        <w:rPr>
          <w:rFonts w:ascii="Arial" w:hAnsi="Arial" w:cs="Arial"/>
          <w:sz w:val="24"/>
        </w:rPr>
        <w:t xml:space="preserve"> (on all clinical products)</w:t>
      </w:r>
    </w:p>
    <w:p w14:paraId="73001926" w14:textId="77777777" w:rsidR="00D50EC2" w:rsidRPr="002D1DEB" w:rsidRDefault="00D50EC2" w:rsidP="00D50EC2">
      <w:pPr>
        <w:spacing w:after="120"/>
        <w:ind w:left="810"/>
        <w:rPr>
          <w:rFonts w:ascii="Arial" w:hAnsi="Arial" w:cs="Arial"/>
          <w:sz w:val="24"/>
          <w:szCs w:val="24"/>
        </w:rPr>
      </w:pPr>
    </w:p>
    <w:p w14:paraId="65D1B28D" w14:textId="77777777" w:rsidR="00D50EC2" w:rsidRPr="002F07E8" w:rsidRDefault="00D50EC2" w:rsidP="00D50EC2">
      <w:pPr>
        <w:pStyle w:val="ListParagraph"/>
        <w:numPr>
          <w:ilvl w:val="0"/>
          <w:numId w:val="32"/>
        </w:numPr>
        <w:spacing w:after="120" w:line="240" w:lineRule="auto"/>
        <w:rPr>
          <w:rFonts w:ascii="Arial" w:hAnsi="Arial" w:cs="Arial"/>
          <w:b/>
          <w:sz w:val="24"/>
          <w:szCs w:val="24"/>
        </w:rPr>
      </w:pPr>
      <w:r w:rsidRPr="002F07E8">
        <w:rPr>
          <w:rFonts w:ascii="Arial" w:hAnsi="Arial" w:cs="Arial"/>
          <w:b/>
          <w:sz w:val="24"/>
          <w:szCs w:val="24"/>
        </w:rPr>
        <w:t>Methods for Preparation of Cells</w:t>
      </w:r>
    </w:p>
    <w:p w14:paraId="38BBACDB" w14:textId="77777777" w:rsidR="00D50EC2" w:rsidRPr="002D1DEB" w:rsidRDefault="00D50EC2" w:rsidP="00D50EC2">
      <w:pPr>
        <w:pStyle w:val="ListParagraph"/>
        <w:numPr>
          <w:ilvl w:val="0"/>
          <w:numId w:val="26"/>
        </w:numPr>
        <w:spacing w:after="120" w:line="240" w:lineRule="auto"/>
        <w:ind w:left="1170"/>
        <w:rPr>
          <w:rFonts w:ascii="Arial" w:hAnsi="Arial" w:cs="Arial"/>
          <w:sz w:val="24"/>
          <w:szCs w:val="24"/>
        </w:rPr>
      </w:pPr>
      <w:r w:rsidRPr="002D1DEB">
        <w:rPr>
          <w:rFonts w:ascii="Arial" w:hAnsi="Arial" w:cs="Arial"/>
          <w:sz w:val="24"/>
          <w:szCs w:val="24"/>
        </w:rPr>
        <w:t xml:space="preserve">From the CCS viral CTL </w:t>
      </w:r>
      <w:r w:rsidRPr="002D1DEB">
        <w:rPr>
          <w:rFonts w:ascii="Arial" w:hAnsi="Arial" w:cs="Arial"/>
          <w:sz w:val="24"/>
          <w:szCs w:val="24"/>
          <w:u w:val="single"/>
        </w:rPr>
        <w:t>target cell fraction</w:t>
      </w:r>
      <w:r w:rsidRPr="002D1DEB">
        <w:rPr>
          <w:rFonts w:ascii="Arial" w:hAnsi="Arial" w:cs="Arial"/>
          <w:sz w:val="24"/>
          <w:szCs w:val="24"/>
        </w:rPr>
        <w:t>, remove 0.5-1</w:t>
      </w:r>
      <w:r w:rsidRPr="00DC3E48">
        <w:rPr>
          <w:rFonts w:ascii="Arial" w:hAnsi="Arial" w:cs="Arial"/>
          <w:sz w:val="24"/>
          <w:szCs w:val="24"/>
        </w:rPr>
        <w:t>e5</w:t>
      </w:r>
      <w:r w:rsidRPr="002D1DEB">
        <w:rPr>
          <w:rFonts w:ascii="Arial" w:hAnsi="Arial" w:cs="Arial"/>
          <w:sz w:val="24"/>
          <w:szCs w:val="24"/>
        </w:rPr>
        <w:t xml:space="preserve"> cells (50-100k cells), wash once by centrifugation, resuspend in 1 ml TexMACS supplemented with 100 IU/ml IL-2, and place in a 1 ml cryovial. Tightly seal the cryovial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w:t>
      </w:r>
    </w:p>
    <w:p w14:paraId="12E31B0A" w14:textId="77777777" w:rsidR="00D50EC2" w:rsidRDefault="00D50EC2" w:rsidP="00D50EC2">
      <w:pPr>
        <w:pStyle w:val="ListParagraph"/>
        <w:numPr>
          <w:ilvl w:val="0"/>
          <w:numId w:val="26"/>
        </w:numPr>
        <w:spacing w:after="120" w:line="240" w:lineRule="auto"/>
        <w:ind w:left="1170"/>
        <w:rPr>
          <w:rFonts w:ascii="Arial" w:hAnsi="Arial" w:cs="Arial"/>
          <w:sz w:val="24"/>
          <w:szCs w:val="24"/>
        </w:rPr>
      </w:pPr>
      <w:r w:rsidRPr="002D1DEB">
        <w:rPr>
          <w:rFonts w:ascii="Arial" w:hAnsi="Arial" w:cs="Arial"/>
          <w:sz w:val="24"/>
          <w:szCs w:val="24"/>
        </w:rPr>
        <w:t xml:space="preserve">From the CCS CTL isolation </w:t>
      </w:r>
      <w:r w:rsidRPr="002D1DEB">
        <w:rPr>
          <w:rFonts w:ascii="Arial" w:hAnsi="Arial" w:cs="Arial"/>
          <w:sz w:val="24"/>
          <w:szCs w:val="24"/>
          <w:u w:val="single"/>
        </w:rPr>
        <w:t>non-target cell fraction</w:t>
      </w:r>
      <w:r w:rsidRPr="002D1DEB">
        <w:rPr>
          <w:rFonts w:ascii="Arial" w:hAnsi="Arial" w:cs="Arial"/>
          <w:sz w:val="24"/>
          <w:szCs w:val="24"/>
        </w:rPr>
        <w:t xml:space="preserve">, concentrate and wash the cells once by centrifugation, and resuspend in 15 ml TexMACS. Place the cell suspension in a 15 ml screw-cap conical centrifuge, and tighten the cap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 These cells will be used to manufacture BLCL lines and as feeders to expand an aliquot of the target cell fraction in the Johnson Lab.</w:t>
      </w:r>
    </w:p>
    <w:p w14:paraId="2D90FB11" w14:textId="77777777" w:rsidR="00D50EC2" w:rsidRDefault="00D50EC2" w:rsidP="00D50EC2">
      <w:pPr>
        <w:pStyle w:val="ListParagraph"/>
        <w:spacing w:after="120" w:line="240" w:lineRule="auto"/>
        <w:ind w:left="1170"/>
        <w:rPr>
          <w:rFonts w:ascii="Arial" w:hAnsi="Arial" w:cs="Arial"/>
          <w:sz w:val="24"/>
          <w:szCs w:val="24"/>
        </w:rPr>
      </w:pPr>
    </w:p>
    <w:p w14:paraId="2DFC8A00" w14:textId="77777777" w:rsidR="00D50EC2" w:rsidRPr="002D1DEB" w:rsidRDefault="00D50EC2" w:rsidP="00D50EC2">
      <w:pPr>
        <w:pStyle w:val="ListParagraph"/>
        <w:numPr>
          <w:ilvl w:val="0"/>
          <w:numId w:val="32"/>
        </w:numPr>
        <w:spacing w:after="120" w:line="240" w:lineRule="auto"/>
        <w:rPr>
          <w:rFonts w:ascii="Arial" w:hAnsi="Arial" w:cs="Arial"/>
          <w:b/>
          <w:sz w:val="24"/>
          <w:szCs w:val="24"/>
        </w:rPr>
      </w:pPr>
      <w:r w:rsidRPr="002D1DEB">
        <w:rPr>
          <w:rFonts w:ascii="Arial" w:hAnsi="Arial" w:cs="Arial"/>
          <w:b/>
          <w:sz w:val="24"/>
          <w:szCs w:val="24"/>
        </w:rPr>
        <w:t>Shipping Instructions</w:t>
      </w:r>
    </w:p>
    <w:p w14:paraId="4C46FF23"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5AB6B316"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 xml:space="preserve">The </w:t>
      </w:r>
      <w:r w:rsidRPr="002D1DEB">
        <w:rPr>
          <w:rFonts w:ascii="Arial" w:hAnsi="Arial" w:cs="Arial"/>
          <w:b/>
          <w:sz w:val="24"/>
          <w:szCs w:val="24"/>
        </w:rPr>
        <w:t>freshly isolated non-target cells and target cells</w:t>
      </w:r>
      <w:r w:rsidRPr="002D1DEB">
        <w:rPr>
          <w:rFonts w:ascii="Arial" w:hAnsi="Arial" w:cs="Arial"/>
          <w:sz w:val="24"/>
          <w:szCs w:val="24"/>
        </w:rPr>
        <w:t xml:space="preserve"> (15 ml screw top conical and 1 ml cryovial, respectively, in a zip-lock bag) should be shipped overnight at 4 °C.</w:t>
      </w:r>
    </w:p>
    <w:p w14:paraId="2E0136DF"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7FA2E7B8"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Patient study ID number</w:t>
      </w:r>
      <w:r>
        <w:rPr>
          <w:rFonts w:ascii="Arial" w:hAnsi="Arial" w:cs="Arial"/>
          <w:sz w:val="24"/>
          <w:szCs w:val="24"/>
        </w:rPr>
        <w:t xml:space="preserve"> </w:t>
      </w:r>
    </w:p>
    <w:p w14:paraId="27A06E76"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Center identification</w:t>
      </w:r>
    </w:p>
    <w:p w14:paraId="50BA7F01"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Collection date and study time-point</w:t>
      </w:r>
    </w:p>
    <w:p w14:paraId="1DA736E9"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Initials of the individual who collected the specimen</w:t>
      </w:r>
    </w:p>
    <w:p w14:paraId="32F2518D" w14:textId="77777777" w:rsidR="00D50EC2" w:rsidRPr="002D1DEB" w:rsidRDefault="00D50EC2" w:rsidP="00D50EC2">
      <w:pPr>
        <w:pStyle w:val="ListParagraph"/>
        <w:spacing w:after="120"/>
        <w:ind w:left="1800"/>
        <w:rPr>
          <w:rFonts w:ascii="Arial" w:hAnsi="Arial" w:cs="Arial"/>
          <w:sz w:val="24"/>
          <w:szCs w:val="24"/>
        </w:rPr>
      </w:pPr>
    </w:p>
    <w:p w14:paraId="152F5DF3" w14:textId="77777777" w:rsidR="00D50EC2" w:rsidRPr="002D1DEB" w:rsidRDefault="00D50EC2" w:rsidP="00D50EC2">
      <w:pPr>
        <w:pStyle w:val="ListParagraph"/>
        <w:numPr>
          <w:ilvl w:val="0"/>
          <w:numId w:val="32"/>
        </w:numPr>
        <w:spacing w:after="120" w:line="240" w:lineRule="auto"/>
        <w:rPr>
          <w:rFonts w:ascii="Arial" w:hAnsi="Arial" w:cs="Arial"/>
          <w:b/>
          <w:sz w:val="24"/>
          <w:szCs w:val="24"/>
        </w:rPr>
      </w:pPr>
      <w:r w:rsidRPr="002D1DEB">
        <w:rPr>
          <w:rFonts w:ascii="Arial" w:hAnsi="Arial" w:cs="Arial"/>
          <w:b/>
          <w:sz w:val="24"/>
          <w:szCs w:val="24"/>
        </w:rPr>
        <w:t>Shipping Address</w:t>
      </w:r>
    </w:p>
    <w:p w14:paraId="5533F0F1" w14:textId="77777777" w:rsidR="00D50EC2" w:rsidRPr="002D1DEB" w:rsidRDefault="00D50EC2" w:rsidP="00D50EC2">
      <w:pPr>
        <w:pStyle w:val="ListParagraph"/>
        <w:spacing w:after="120"/>
        <w:rPr>
          <w:rFonts w:ascii="Arial" w:hAnsi="Arial" w:cs="Arial"/>
          <w:sz w:val="24"/>
          <w:szCs w:val="24"/>
        </w:rPr>
      </w:pPr>
    </w:p>
    <w:p w14:paraId="44AF3A32"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BMT Research Laboratory </w:t>
      </w:r>
    </w:p>
    <w:p w14:paraId="1158788B"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Attention: Huiqing Xu, MD </w:t>
      </w:r>
    </w:p>
    <w:p w14:paraId="0A1520F3"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Froedtert Hospital Pavilion, Room 304</w:t>
      </w:r>
    </w:p>
    <w:p w14:paraId="679DC372"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9200 West Wisconsin Avenue </w:t>
      </w:r>
    </w:p>
    <w:p w14:paraId="2A5FDCF5"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Milwaukee, WI 53226 </w:t>
      </w:r>
    </w:p>
    <w:p w14:paraId="3AAC761A"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Laboratory telephone: 414-805-6143</w:t>
      </w:r>
    </w:p>
    <w:p w14:paraId="053B87C9" w14:textId="77777777" w:rsidR="00D50EC2" w:rsidRPr="002D1DEB" w:rsidRDefault="00D50EC2" w:rsidP="00D50EC2">
      <w:pPr>
        <w:pStyle w:val="ListParagraph"/>
        <w:spacing w:after="120"/>
        <w:rPr>
          <w:rFonts w:ascii="Arial" w:hAnsi="Arial" w:cs="Arial"/>
          <w:sz w:val="24"/>
          <w:szCs w:val="24"/>
        </w:rPr>
      </w:pPr>
    </w:p>
    <w:p w14:paraId="57D4D04F" w14:textId="77777777" w:rsidR="00D50EC2" w:rsidRDefault="00D50EC2" w:rsidP="00D50EC2">
      <w:r w:rsidRPr="002D1DEB">
        <w:rPr>
          <w:rFonts w:ascii="Arial" w:hAnsi="Arial" w:cs="Arial"/>
          <w:sz w:val="24"/>
          <w:szCs w:val="24"/>
        </w:rPr>
        <w:lastRenderedPageBreak/>
        <w:t xml:space="preserve">Call the BMT Research Laboratory at 414-805-6143 between the hours of 7:00 AM and 6:00 PM Central time to let them know a specimen is coming. Alternatively email: </w:t>
      </w:r>
    </w:p>
    <w:p w14:paraId="1A483993" w14:textId="77777777" w:rsidR="00D50EC2" w:rsidRDefault="00EA26CB" w:rsidP="00D50EC2">
      <w:hyperlink r:id="rId21" w:tgtFrame="_blank" w:tooltip="mailto:Kpalen@mcw.edu" w:history="1">
        <w:r w:rsidR="00D50EC2">
          <w:rPr>
            <w:rStyle w:val="Hyperlink"/>
            <w:color w:val="0078D4"/>
          </w:rPr>
          <w:t>palen@mcw.edu</w:t>
        </w:r>
      </w:hyperlink>
      <w:r w:rsidR="00D50EC2">
        <w:rPr>
          <w:color w:val="000000"/>
          <w:sz w:val="28"/>
          <w:szCs w:val="28"/>
        </w:rPr>
        <w:t> &amp; </w:t>
      </w:r>
      <w:hyperlink r:id="rId22" w:tgtFrame="_blank" w:tooltip="mailto:james.weber@froedtert.com" w:history="1">
        <w:r w:rsidR="00D50EC2">
          <w:rPr>
            <w:rStyle w:val="Hyperlink"/>
            <w:color w:val="0078D4"/>
          </w:rPr>
          <w:t>james.weber@froedtert.com</w:t>
        </w:r>
      </w:hyperlink>
      <w:r w:rsidR="00D50EC2">
        <w:rPr>
          <w:color w:val="000000"/>
          <w:sz w:val="28"/>
          <w:szCs w:val="28"/>
        </w:rPr>
        <w:t> </w:t>
      </w:r>
    </w:p>
    <w:p w14:paraId="5FD56BD5" w14:textId="77777777" w:rsidR="00D50EC2" w:rsidRPr="002D1DEB" w:rsidRDefault="00D50EC2" w:rsidP="00D50EC2">
      <w:pPr>
        <w:pStyle w:val="ListParagraph"/>
        <w:spacing w:after="120"/>
        <w:rPr>
          <w:rFonts w:ascii="Arial" w:hAnsi="Arial" w:cs="Arial"/>
          <w:sz w:val="24"/>
          <w:szCs w:val="24"/>
        </w:rPr>
      </w:pPr>
    </w:p>
    <w:p w14:paraId="1996A365" w14:textId="77777777" w:rsidR="00D50EC2" w:rsidRPr="002D1DEB" w:rsidRDefault="00D50EC2" w:rsidP="00D50EC2">
      <w:pPr>
        <w:pStyle w:val="ListParagraph"/>
        <w:spacing w:after="120"/>
        <w:rPr>
          <w:rFonts w:ascii="Arial" w:hAnsi="Arial" w:cs="Arial"/>
          <w:sz w:val="24"/>
          <w:szCs w:val="24"/>
        </w:rPr>
      </w:pPr>
    </w:p>
    <w:p w14:paraId="43072B70"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Ship overnight express on the day of collection; Federal Express Account Number: TBD</w:t>
      </w:r>
    </w:p>
    <w:p w14:paraId="051A480D"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Specimens will only be received Tuesday through Friday (except Holidays).</w:t>
      </w:r>
    </w:p>
    <w:p w14:paraId="5C4ABE76" w14:textId="77777777" w:rsidR="00D50EC2" w:rsidRPr="002D1DEB" w:rsidRDefault="00D50EC2" w:rsidP="00D50EC2">
      <w:pPr>
        <w:spacing w:after="120"/>
        <w:rPr>
          <w:rFonts w:ascii="Arial" w:hAnsi="Arial" w:cs="Arial"/>
          <w:b/>
          <w:sz w:val="24"/>
          <w:szCs w:val="24"/>
        </w:rPr>
      </w:pPr>
    </w:p>
    <w:p w14:paraId="724D24F2" w14:textId="56CA9F0C" w:rsidR="002B60AB" w:rsidRDefault="002B60AB">
      <w:pPr>
        <w:spacing w:after="160" w:line="259" w:lineRule="auto"/>
        <w:rPr>
          <w:rFonts w:ascii="Arial" w:eastAsia="Times New Roman" w:hAnsi="Arial" w:cs="Times New Roman"/>
          <w:i/>
          <w:iCs/>
          <w:sz w:val="24"/>
          <w:szCs w:val="20"/>
          <w:lang w:val="en-GB" w:eastAsia="it-IT"/>
        </w:rPr>
      </w:pPr>
      <w:r>
        <w:rPr>
          <w:b/>
          <w:iCs/>
        </w:rPr>
        <w:br w:type="page"/>
      </w:r>
    </w:p>
    <w:p w14:paraId="32414D10" w14:textId="0DDD6C23" w:rsidR="00B07968" w:rsidRPr="00E54F86" w:rsidRDefault="00B07968" w:rsidP="00B07968">
      <w:pPr>
        <w:spacing w:after="160" w:line="259" w:lineRule="auto"/>
        <w:rPr>
          <w:rFonts w:ascii="Arial" w:hAnsi="Arial" w:cs="Arial"/>
          <w:b/>
          <w:sz w:val="24"/>
          <w:szCs w:val="24"/>
        </w:rPr>
      </w:pPr>
      <w:r w:rsidRPr="00E54F86">
        <w:rPr>
          <w:rFonts w:ascii="Arial" w:hAnsi="Arial" w:cs="Arial"/>
          <w:b/>
          <w:sz w:val="24"/>
          <w:szCs w:val="24"/>
        </w:rPr>
        <w:lastRenderedPageBreak/>
        <w:t xml:space="preserve">Appendix </w:t>
      </w:r>
      <w:r w:rsidR="000C5C92">
        <w:rPr>
          <w:rFonts w:ascii="Arial" w:hAnsi="Arial" w:cs="Arial"/>
          <w:b/>
          <w:sz w:val="24"/>
          <w:szCs w:val="24"/>
        </w:rPr>
        <w:t>6</w:t>
      </w:r>
      <w:r w:rsidRPr="00E54F86">
        <w:rPr>
          <w:rFonts w:ascii="Arial" w:hAnsi="Arial" w:cs="Arial"/>
          <w:b/>
          <w:sz w:val="24"/>
          <w:szCs w:val="24"/>
        </w:rPr>
        <w:t>: Acute GVHD Grading (CIMBTR)</w:t>
      </w:r>
    </w:p>
    <w:p w14:paraId="0E362C11" w14:textId="77777777" w:rsidR="00B07968" w:rsidRPr="00E54F86" w:rsidRDefault="00B07968" w:rsidP="00B07968">
      <w:pPr>
        <w:rPr>
          <w:rFonts w:ascii="Arial" w:hAnsi="Arial" w:cs="Arial"/>
          <w:sz w:val="24"/>
          <w:szCs w:val="24"/>
        </w:rPr>
      </w:pPr>
    </w:p>
    <w:p w14:paraId="4F454611" w14:textId="77777777" w:rsidR="00B07968" w:rsidRPr="00E54F86" w:rsidRDefault="00B07968" w:rsidP="00B07968">
      <w:r w:rsidRPr="00E54F86">
        <w:rPr>
          <w:noProof/>
        </w:rPr>
        <w:drawing>
          <wp:inline distT="0" distB="0" distL="0" distR="0" wp14:anchorId="731CA34C" wp14:editId="2CB19B30">
            <wp:extent cx="28575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57500" cy="2152650"/>
                    </a:xfrm>
                    <a:prstGeom prst="rect">
                      <a:avLst/>
                    </a:prstGeom>
                  </pic:spPr>
                </pic:pic>
              </a:graphicData>
            </a:graphic>
          </wp:inline>
        </w:drawing>
      </w:r>
    </w:p>
    <w:p w14:paraId="2F9DD55D" w14:textId="77777777" w:rsidR="00B07968" w:rsidRPr="00E54F86" w:rsidRDefault="00B07968" w:rsidP="00B07968">
      <w:r w:rsidRPr="00E54F86">
        <w:rPr>
          <w:noProof/>
        </w:rPr>
        <w:drawing>
          <wp:inline distT="0" distB="0" distL="0" distR="0" wp14:anchorId="349B4E97" wp14:editId="4522BBA4">
            <wp:extent cx="28289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28925" cy="2124075"/>
                    </a:xfrm>
                    <a:prstGeom prst="rect">
                      <a:avLst/>
                    </a:prstGeom>
                  </pic:spPr>
                </pic:pic>
              </a:graphicData>
            </a:graphic>
          </wp:inline>
        </w:drawing>
      </w:r>
    </w:p>
    <w:p w14:paraId="550F2CCC" w14:textId="77777777" w:rsidR="00B07968" w:rsidRPr="00E54F86" w:rsidRDefault="00B07968" w:rsidP="00B07968"/>
    <w:p w14:paraId="42366A0C" w14:textId="77777777" w:rsidR="00B07968" w:rsidRPr="00E54F86" w:rsidRDefault="00B07968" w:rsidP="00B07968"/>
    <w:p w14:paraId="3C8F2354" w14:textId="77777777" w:rsidR="00B07968" w:rsidRPr="00E54F86" w:rsidRDefault="00B07968" w:rsidP="00B07968"/>
    <w:p w14:paraId="5A4B269B" w14:textId="77777777" w:rsidR="00B07968" w:rsidRPr="00E54F86" w:rsidRDefault="00B07968" w:rsidP="00B07968"/>
    <w:p w14:paraId="1014E107" w14:textId="77777777" w:rsidR="00B07968" w:rsidRPr="00E54F86" w:rsidRDefault="00B07968" w:rsidP="00B07968"/>
    <w:p w14:paraId="0C097F6B" w14:textId="77777777" w:rsidR="00B07968" w:rsidRPr="00E54F86" w:rsidRDefault="00B07968" w:rsidP="00B07968"/>
    <w:p w14:paraId="6369F659" w14:textId="77777777" w:rsidR="00B07968" w:rsidRPr="00E54F86" w:rsidRDefault="00B07968" w:rsidP="00B07968"/>
    <w:p w14:paraId="07E98B38" w14:textId="08FA3EF5" w:rsidR="00D84488" w:rsidRDefault="00D84488">
      <w:pPr>
        <w:spacing w:after="160" w:line="259" w:lineRule="auto"/>
        <w:rPr>
          <w:b/>
          <w:iCs/>
        </w:rPr>
      </w:pPr>
      <w:r>
        <w:rPr>
          <w:b/>
          <w:iCs/>
        </w:rPr>
        <w:br w:type="page"/>
      </w:r>
    </w:p>
    <w:p w14:paraId="2127B2AB" w14:textId="1B2D2648" w:rsidR="00D84488" w:rsidRPr="00573A31" w:rsidRDefault="00D84488" w:rsidP="00D84488">
      <w:pPr>
        <w:rPr>
          <w:rFonts w:ascii="Arial" w:hAnsi="Arial" w:cs="Arial"/>
          <w:b/>
          <w:bCs/>
          <w:sz w:val="24"/>
          <w:szCs w:val="24"/>
        </w:rPr>
      </w:pPr>
      <w:r w:rsidRPr="00573A31">
        <w:rPr>
          <w:rFonts w:ascii="Arial" w:hAnsi="Arial" w:cs="Arial"/>
          <w:b/>
          <w:bCs/>
          <w:sz w:val="24"/>
          <w:szCs w:val="24"/>
        </w:rPr>
        <w:lastRenderedPageBreak/>
        <w:t xml:space="preserve">Appendix </w:t>
      </w:r>
      <w:r w:rsidR="000C5C92" w:rsidRPr="00573A31">
        <w:rPr>
          <w:rFonts w:ascii="Arial" w:hAnsi="Arial" w:cs="Arial"/>
          <w:b/>
          <w:bCs/>
          <w:sz w:val="24"/>
          <w:szCs w:val="24"/>
        </w:rPr>
        <w:t>7</w:t>
      </w:r>
      <w:r w:rsidRPr="00573A31">
        <w:rPr>
          <w:rFonts w:ascii="Arial" w:hAnsi="Arial" w:cs="Arial"/>
          <w:b/>
          <w:bCs/>
          <w:sz w:val="24"/>
          <w:szCs w:val="24"/>
        </w:rPr>
        <w:t>: Severe Chronic GVHD</w:t>
      </w:r>
    </w:p>
    <w:p w14:paraId="0AFE19C6" w14:textId="77777777" w:rsidR="00D84488" w:rsidRPr="001901F9" w:rsidRDefault="00D84488" w:rsidP="00D84488">
      <w:pPr>
        <w:rPr>
          <w:rFonts w:ascii="Arial" w:hAnsi="Arial" w:cs="Arial"/>
          <w:sz w:val="24"/>
          <w:szCs w:val="24"/>
        </w:rPr>
      </w:pPr>
      <w:r w:rsidRPr="001901F9">
        <w:rPr>
          <w:rFonts w:ascii="Arial" w:hAnsi="Arial" w:cs="Arial"/>
          <w:noProof/>
          <w:sz w:val="24"/>
          <w:szCs w:val="24"/>
        </w:rPr>
        <w:drawing>
          <wp:inline distT="0" distB="0" distL="0" distR="0" wp14:anchorId="047383D5" wp14:editId="5E953A59">
            <wp:extent cx="5943600" cy="3744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744595"/>
                    </a:xfrm>
                    <a:prstGeom prst="rect">
                      <a:avLst/>
                    </a:prstGeom>
                  </pic:spPr>
                </pic:pic>
              </a:graphicData>
            </a:graphic>
          </wp:inline>
        </w:drawing>
      </w:r>
    </w:p>
    <w:p w14:paraId="512F77A0" w14:textId="77777777" w:rsidR="00D84488" w:rsidRPr="001901F9" w:rsidRDefault="00D84488" w:rsidP="00D84488">
      <w:pPr>
        <w:rPr>
          <w:rFonts w:ascii="Arial" w:hAnsi="Arial" w:cs="Arial"/>
          <w:sz w:val="24"/>
          <w:szCs w:val="24"/>
        </w:rPr>
      </w:pPr>
      <w:r w:rsidRPr="001901F9">
        <w:rPr>
          <w:rFonts w:ascii="Arial" w:hAnsi="Arial" w:cs="Arial"/>
          <w:sz w:val="24"/>
          <w:szCs w:val="24"/>
        </w:rPr>
        <w:t>Jagasia et al. National Institutes of Health Consensus Development Project on Criteria for Clinical Trials in Chronic Graft-versus-Host Disease: I. The 2014 Diagnosis and Staging Working Group Report. Biol Blood Marrow Transplant. 2015 March ; 21(3): 389–401.</w:t>
      </w:r>
    </w:p>
    <w:p w14:paraId="250D25E5" w14:textId="77777777" w:rsidR="00D84488" w:rsidRDefault="00D84488" w:rsidP="00D84488"/>
    <w:p w14:paraId="36447F14" w14:textId="6DAFAF6B" w:rsidR="00AB518A" w:rsidRDefault="00AB518A">
      <w:pPr>
        <w:spacing w:after="160" w:line="259" w:lineRule="auto"/>
        <w:rPr>
          <w:rFonts w:ascii="Arial" w:eastAsia="Times New Roman" w:hAnsi="Arial" w:cs="Times New Roman"/>
          <w:i/>
          <w:iCs/>
          <w:sz w:val="24"/>
          <w:szCs w:val="20"/>
          <w:lang w:val="en-GB" w:eastAsia="it-IT"/>
        </w:rPr>
      </w:pPr>
      <w:r>
        <w:rPr>
          <w:b/>
          <w:iCs/>
        </w:rPr>
        <w:br w:type="page"/>
      </w:r>
    </w:p>
    <w:p w14:paraId="012E7724" w14:textId="69139959" w:rsidR="00AB518A" w:rsidRPr="00494208" w:rsidRDefault="00AB518A" w:rsidP="00AB518A">
      <w:pPr>
        <w:spacing w:after="160" w:line="259" w:lineRule="auto"/>
        <w:rPr>
          <w:rFonts w:ascii="Arial" w:hAnsi="Arial" w:cs="Arial"/>
        </w:rPr>
      </w:pPr>
      <w:r w:rsidRPr="00494208">
        <w:rPr>
          <w:rFonts w:ascii="Arial" w:hAnsi="Arial" w:cs="Arial"/>
          <w:b/>
          <w:iCs/>
        </w:rPr>
        <w:lastRenderedPageBreak/>
        <w:t xml:space="preserve">APPENDIX </w:t>
      </w:r>
      <w:r w:rsidR="000C5C92" w:rsidRPr="00494208">
        <w:rPr>
          <w:rFonts w:ascii="Arial" w:hAnsi="Arial" w:cs="Arial"/>
          <w:b/>
          <w:iCs/>
          <w:u w:val="single"/>
        </w:rPr>
        <w:t>8</w:t>
      </w:r>
      <w:r w:rsidRPr="00494208">
        <w:rPr>
          <w:rFonts w:ascii="Arial" w:hAnsi="Arial" w:cs="Arial"/>
          <w:b/>
          <w:iCs/>
        </w:rPr>
        <w:t xml:space="preserve">:  Pre-existing HLA Antibodies study </w:t>
      </w:r>
    </w:p>
    <w:p w14:paraId="6E9D5473" w14:textId="77777777" w:rsidR="00AB518A" w:rsidRPr="00494208" w:rsidRDefault="00AB518A" w:rsidP="00AB518A">
      <w:pPr>
        <w:spacing w:after="120"/>
        <w:rPr>
          <w:rFonts w:ascii="Arial" w:hAnsi="Arial" w:cs="Arial"/>
          <w:b/>
        </w:rPr>
      </w:pPr>
      <w:r w:rsidRPr="00494208">
        <w:rPr>
          <w:rFonts w:ascii="Arial" w:hAnsi="Arial" w:cs="Arial"/>
          <w:b/>
        </w:rPr>
        <w:t>1.0 Objective</w:t>
      </w:r>
    </w:p>
    <w:p w14:paraId="24BDBEB6" w14:textId="77777777" w:rsidR="00AB518A" w:rsidRPr="00494208" w:rsidRDefault="00AB518A" w:rsidP="00AB518A">
      <w:pPr>
        <w:autoSpaceDE w:val="0"/>
        <w:autoSpaceDN w:val="0"/>
        <w:adjustRightInd w:val="0"/>
        <w:ind w:left="720"/>
        <w:rPr>
          <w:rFonts w:ascii="Arial" w:hAnsi="Arial" w:cs="Arial"/>
        </w:rPr>
      </w:pPr>
      <w:r w:rsidRPr="00494208">
        <w:rPr>
          <w:rFonts w:ascii="Arial" w:hAnsi="Arial" w:cs="Arial"/>
        </w:rPr>
        <w:t>To investigate if pre-existing HLA anitbodies are in the recipients’ blood prior to the first viral CTL infusion.</w:t>
      </w:r>
    </w:p>
    <w:p w14:paraId="1E49FF98" w14:textId="77777777" w:rsidR="00AB518A" w:rsidRPr="00494208" w:rsidRDefault="00AB518A" w:rsidP="00AB518A">
      <w:pPr>
        <w:autoSpaceDE w:val="0"/>
        <w:autoSpaceDN w:val="0"/>
        <w:adjustRightInd w:val="0"/>
        <w:ind w:left="720"/>
        <w:rPr>
          <w:rFonts w:ascii="Arial" w:hAnsi="Arial" w:cs="Arial"/>
        </w:rPr>
      </w:pPr>
    </w:p>
    <w:p w14:paraId="17DF3BE5" w14:textId="77777777" w:rsidR="00AB518A" w:rsidRPr="00494208" w:rsidRDefault="00AB518A" w:rsidP="00AB518A">
      <w:pPr>
        <w:pStyle w:val="ListParagraph"/>
        <w:numPr>
          <w:ilvl w:val="0"/>
          <w:numId w:val="37"/>
        </w:numPr>
        <w:spacing w:after="120" w:line="240" w:lineRule="auto"/>
        <w:rPr>
          <w:rFonts w:ascii="Arial" w:hAnsi="Arial" w:cs="Arial"/>
          <w:sz w:val="24"/>
          <w:szCs w:val="24"/>
        </w:rPr>
      </w:pPr>
      <w:r w:rsidRPr="00494208">
        <w:rPr>
          <w:rFonts w:ascii="Arial" w:hAnsi="Arial" w:cs="Arial"/>
          <w:b/>
          <w:sz w:val="24"/>
          <w:szCs w:val="24"/>
        </w:rPr>
        <w:t>Methods for Preparation of Cells</w:t>
      </w:r>
    </w:p>
    <w:p w14:paraId="6A097337" w14:textId="77777777" w:rsidR="00AB518A" w:rsidRPr="00494208" w:rsidRDefault="00AB518A" w:rsidP="00AB518A">
      <w:pPr>
        <w:rPr>
          <w:rFonts w:ascii="Arial" w:hAnsi="Arial" w:cs="Arial"/>
        </w:rPr>
      </w:pPr>
      <w:r w:rsidRPr="00494208">
        <w:rPr>
          <w:rFonts w:ascii="Arial" w:hAnsi="Arial" w:cs="Arial"/>
        </w:rPr>
        <w:t xml:space="preserve">1. Peripheral Blood: Draw 3-5 mL of blood from the recipient prior to the first viral CTL infusion into a red top tube </w:t>
      </w:r>
    </w:p>
    <w:p w14:paraId="0795F993" w14:textId="77777777" w:rsidR="00AB518A" w:rsidRPr="00494208" w:rsidRDefault="00AB518A" w:rsidP="00AB518A">
      <w:pPr>
        <w:rPr>
          <w:rFonts w:ascii="Arial" w:hAnsi="Arial" w:cs="Arial"/>
        </w:rPr>
      </w:pPr>
      <w:r w:rsidRPr="00494208">
        <w:rPr>
          <w:rFonts w:ascii="Arial" w:hAnsi="Arial" w:cs="Arial"/>
        </w:rPr>
        <w:t xml:space="preserve">2. Label the vacutainer tube with the patient’s study ID (patient number and patients’ initials), date and time of blood draw (dd-MM-yyyy format for the date (i.e., 01-JAN-03) and 24:00 hour clock format for the time). </w:t>
      </w:r>
    </w:p>
    <w:p w14:paraId="1F9421CB" w14:textId="77777777" w:rsidR="00AB518A" w:rsidRPr="00494208" w:rsidRDefault="00AB518A" w:rsidP="00AB518A">
      <w:pPr>
        <w:rPr>
          <w:rFonts w:ascii="Arial" w:hAnsi="Arial" w:cs="Arial"/>
        </w:rPr>
      </w:pPr>
      <w:r w:rsidRPr="00494208">
        <w:rPr>
          <w:rFonts w:ascii="Arial" w:hAnsi="Arial" w:cs="Arial"/>
        </w:rPr>
        <w:t xml:space="preserve">3. Allow the blood to clot upright at room temperature for 30 minutes. </w:t>
      </w:r>
    </w:p>
    <w:p w14:paraId="10E134BA" w14:textId="77777777" w:rsidR="00AB518A" w:rsidRPr="00494208" w:rsidRDefault="00AB518A" w:rsidP="00AB518A">
      <w:pPr>
        <w:rPr>
          <w:rFonts w:ascii="Arial" w:hAnsi="Arial" w:cs="Arial"/>
        </w:rPr>
      </w:pPr>
      <w:r w:rsidRPr="00494208">
        <w:rPr>
          <w:rFonts w:ascii="Arial" w:hAnsi="Arial" w:cs="Arial"/>
        </w:rPr>
        <w:t xml:space="preserve">4. Rim the tubes with a wooden applicator stick and centrifuge the sample to isolate the serum supernatant) at 2800 x g for at least 10 minutes. </w:t>
      </w:r>
    </w:p>
    <w:p w14:paraId="2AB07E17" w14:textId="77777777" w:rsidR="00AB518A" w:rsidRPr="00494208" w:rsidRDefault="00AB518A" w:rsidP="00AB518A">
      <w:pPr>
        <w:rPr>
          <w:rFonts w:ascii="Arial" w:hAnsi="Arial" w:cs="Arial"/>
        </w:rPr>
      </w:pPr>
      <w:r w:rsidRPr="00494208">
        <w:rPr>
          <w:rFonts w:ascii="Arial" w:hAnsi="Arial" w:cs="Arial"/>
        </w:rPr>
        <w:t xml:space="preserve">5. Draw off the supernatant and pipette 1.0 – 1.5 mL (1.5 mL MAX) of the serum into the properly labeled polypropylene specimen tube. </w:t>
      </w:r>
    </w:p>
    <w:p w14:paraId="4FE20CE0" w14:textId="77777777" w:rsidR="00AB518A" w:rsidRPr="00494208" w:rsidRDefault="00AB518A" w:rsidP="00AB518A">
      <w:pPr>
        <w:rPr>
          <w:rFonts w:ascii="Arial" w:hAnsi="Arial" w:cs="Arial"/>
        </w:rPr>
      </w:pPr>
      <w:r w:rsidRPr="00494208">
        <w:rPr>
          <w:rFonts w:ascii="Arial" w:hAnsi="Arial" w:cs="Arial"/>
        </w:rPr>
        <w:t>6. Freeze the samples in -80°C freezer until ready for shipment.</w:t>
      </w:r>
    </w:p>
    <w:p w14:paraId="2E14C305" w14:textId="77777777" w:rsidR="00AB518A" w:rsidRPr="00494208" w:rsidRDefault="00AB518A" w:rsidP="00AB518A">
      <w:pPr>
        <w:pStyle w:val="ListParagraph"/>
        <w:spacing w:after="120" w:line="240" w:lineRule="auto"/>
        <w:ind w:left="360"/>
        <w:rPr>
          <w:rFonts w:ascii="Arial" w:hAnsi="Arial" w:cs="Arial"/>
          <w:b/>
          <w:sz w:val="24"/>
          <w:szCs w:val="24"/>
        </w:rPr>
      </w:pPr>
    </w:p>
    <w:p w14:paraId="6D8A61E4" w14:textId="77777777" w:rsidR="00AB518A" w:rsidRPr="00494208" w:rsidRDefault="00AB518A" w:rsidP="00AB518A">
      <w:pPr>
        <w:pStyle w:val="ListParagraph"/>
        <w:numPr>
          <w:ilvl w:val="0"/>
          <w:numId w:val="37"/>
        </w:numPr>
        <w:spacing w:after="120" w:line="240" w:lineRule="auto"/>
        <w:rPr>
          <w:rFonts w:ascii="Arial" w:hAnsi="Arial" w:cs="Arial"/>
          <w:b/>
          <w:sz w:val="24"/>
          <w:szCs w:val="24"/>
        </w:rPr>
      </w:pPr>
      <w:r w:rsidRPr="00494208">
        <w:rPr>
          <w:rFonts w:ascii="Arial" w:hAnsi="Arial" w:cs="Arial"/>
          <w:b/>
          <w:sz w:val="24"/>
          <w:szCs w:val="24"/>
        </w:rPr>
        <w:t xml:space="preserve">Timing of Sample Collection </w:t>
      </w:r>
    </w:p>
    <w:p w14:paraId="70DA682D" w14:textId="77777777" w:rsidR="00AB518A" w:rsidRPr="00494208" w:rsidRDefault="00AB518A" w:rsidP="00AB518A">
      <w:pPr>
        <w:pStyle w:val="ListParagraph"/>
        <w:numPr>
          <w:ilvl w:val="0"/>
          <w:numId w:val="30"/>
        </w:numPr>
        <w:spacing w:after="120" w:line="240" w:lineRule="auto"/>
        <w:rPr>
          <w:rFonts w:ascii="Arial" w:hAnsi="Arial" w:cs="Arial"/>
          <w:sz w:val="24"/>
          <w:szCs w:val="24"/>
        </w:rPr>
      </w:pPr>
      <w:r w:rsidRPr="00494208">
        <w:rPr>
          <w:rFonts w:ascii="Arial" w:hAnsi="Arial" w:cs="Arial"/>
        </w:rPr>
        <w:t>Prior to the first viral CTL infusion</w:t>
      </w:r>
      <w:r w:rsidRPr="00494208">
        <w:rPr>
          <w:rFonts w:ascii="Arial" w:hAnsi="Arial" w:cs="Arial"/>
          <w:sz w:val="24"/>
          <w:szCs w:val="24"/>
        </w:rPr>
        <w:t xml:space="preserve"> to patient. </w:t>
      </w:r>
    </w:p>
    <w:p w14:paraId="05DB8C66" w14:textId="77777777" w:rsidR="00AB518A" w:rsidRPr="00494208" w:rsidRDefault="00AB518A" w:rsidP="00AB518A">
      <w:pPr>
        <w:pStyle w:val="ListParagraph"/>
        <w:spacing w:after="120"/>
        <w:rPr>
          <w:rFonts w:ascii="Arial" w:hAnsi="Arial" w:cs="Arial"/>
          <w:sz w:val="24"/>
          <w:szCs w:val="24"/>
        </w:rPr>
      </w:pPr>
    </w:p>
    <w:p w14:paraId="52A5D6E2" w14:textId="77777777" w:rsidR="00AB518A" w:rsidRPr="00494208" w:rsidRDefault="00AB518A" w:rsidP="00AB518A">
      <w:pPr>
        <w:pStyle w:val="ListParagraph"/>
        <w:numPr>
          <w:ilvl w:val="0"/>
          <w:numId w:val="37"/>
        </w:numPr>
        <w:spacing w:after="120" w:line="240" w:lineRule="auto"/>
        <w:rPr>
          <w:rFonts w:ascii="Arial" w:hAnsi="Arial" w:cs="Arial"/>
          <w:b/>
          <w:sz w:val="24"/>
          <w:szCs w:val="24"/>
        </w:rPr>
      </w:pPr>
      <w:r w:rsidRPr="00494208">
        <w:rPr>
          <w:rFonts w:ascii="Arial" w:hAnsi="Arial" w:cs="Arial"/>
          <w:b/>
          <w:sz w:val="24"/>
          <w:szCs w:val="24"/>
        </w:rPr>
        <w:t>Shipping Instructions</w:t>
      </w:r>
    </w:p>
    <w:p w14:paraId="3F316DEC" w14:textId="77777777" w:rsidR="00AB518A" w:rsidRPr="00494208" w:rsidRDefault="00AB518A" w:rsidP="00AB518A">
      <w:pPr>
        <w:pStyle w:val="ListParagraph"/>
        <w:numPr>
          <w:ilvl w:val="0"/>
          <w:numId w:val="33"/>
        </w:numPr>
        <w:spacing w:after="120" w:line="240" w:lineRule="auto"/>
        <w:ind w:left="1260"/>
        <w:rPr>
          <w:rFonts w:ascii="Arial" w:hAnsi="Arial" w:cs="Arial"/>
          <w:sz w:val="24"/>
          <w:szCs w:val="24"/>
        </w:rPr>
      </w:pPr>
      <w:r w:rsidRPr="00494208">
        <w:rPr>
          <w:rFonts w:ascii="Arial" w:hAnsi="Arial" w:cs="Arial"/>
          <w:sz w:val="24"/>
          <w:szCs w:val="24"/>
        </w:rPr>
        <w:t>All samples should be securely packaged in a container designed for shipping human biospecimens.</w:t>
      </w:r>
    </w:p>
    <w:p w14:paraId="6652DE0F" w14:textId="77777777" w:rsidR="00AB518A" w:rsidRPr="00494208" w:rsidRDefault="00AB518A" w:rsidP="00AB518A">
      <w:pPr>
        <w:pStyle w:val="ListParagraph"/>
        <w:numPr>
          <w:ilvl w:val="0"/>
          <w:numId w:val="33"/>
        </w:numPr>
        <w:spacing w:after="120" w:line="240" w:lineRule="auto"/>
        <w:ind w:left="1260"/>
        <w:rPr>
          <w:rFonts w:ascii="Arial" w:hAnsi="Arial" w:cs="Arial"/>
          <w:sz w:val="24"/>
          <w:szCs w:val="24"/>
        </w:rPr>
      </w:pPr>
      <w:r w:rsidRPr="00494208">
        <w:rPr>
          <w:rFonts w:ascii="Arial" w:hAnsi="Arial" w:cs="Arial"/>
          <w:sz w:val="24"/>
          <w:szCs w:val="24"/>
        </w:rPr>
        <w:t>The isolated serum should be shipped overnight with dry ice.</w:t>
      </w:r>
    </w:p>
    <w:p w14:paraId="141DD1CC" w14:textId="77777777" w:rsidR="00AB518A" w:rsidRPr="00494208" w:rsidRDefault="00AB518A" w:rsidP="00AB518A">
      <w:pPr>
        <w:pStyle w:val="ListParagraph"/>
        <w:numPr>
          <w:ilvl w:val="0"/>
          <w:numId w:val="33"/>
        </w:numPr>
        <w:spacing w:after="120" w:line="240" w:lineRule="auto"/>
        <w:ind w:left="1260"/>
        <w:rPr>
          <w:rFonts w:ascii="Arial" w:hAnsi="Arial" w:cs="Arial"/>
          <w:sz w:val="24"/>
          <w:szCs w:val="24"/>
        </w:rPr>
      </w:pPr>
      <w:r w:rsidRPr="00494208">
        <w:rPr>
          <w:rFonts w:ascii="Arial" w:hAnsi="Arial" w:cs="Arial"/>
          <w:sz w:val="24"/>
          <w:szCs w:val="24"/>
        </w:rPr>
        <w:t>All sample labels should include the following information:</w:t>
      </w:r>
    </w:p>
    <w:p w14:paraId="57064B9C" w14:textId="77777777" w:rsidR="00AB518A" w:rsidRPr="00494208" w:rsidRDefault="00AB518A" w:rsidP="00AB518A">
      <w:pPr>
        <w:pStyle w:val="ListParagraph"/>
        <w:numPr>
          <w:ilvl w:val="2"/>
          <w:numId w:val="28"/>
        </w:numPr>
        <w:spacing w:after="120" w:line="240" w:lineRule="auto"/>
        <w:ind w:left="1800"/>
        <w:rPr>
          <w:rFonts w:ascii="Arial" w:hAnsi="Arial" w:cs="Arial"/>
          <w:sz w:val="24"/>
          <w:szCs w:val="24"/>
        </w:rPr>
      </w:pPr>
      <w:r w:rsidRPr="00494208">
        <w:rPr>
          <w:rFonts w:ascii="Arial" w:hAnsi="Arial" w:cs="Arial"/>
          <w:sz w:val="24"/>
          <w:szCs w:val="24"/>
        </w:rPr>
        <w:t>Patient study ID number</w:t>
      </w:r>
    </w:p>
    <w:p w14:paraId="278F8AF9" w14:textId="77777777" w:rsidR="00AB518A" w:rsidRPr="00494208" w:rsidRDefault="00AB518A" w:rsidP="00AB518A">
      <w:pPr>
        <w:pStyle w:val="ListParagraph"/>
        <w:numPr>
          <w:ilvl w:val="2"/>
          <w:numId w:val="28"/>
        </w:numPr>
        <w:spacing w:after="120" w:line="240" w:lineRule="auto"/>
        <w:ind w:left="1800"/>
        <w:rPr>
          <w:rFonts w:ascii="Arial" w:hAnsi="Arial" w:cs="Arial"/>
          <w:sz w:val="24"/>
          <w:szCs w:val="24"/>
        </w:rPr>
      </w:pPr>
      <w:r w:rsidRPr="00494208">
        <w:rPr>
          <w:rFonts w:ascii="Arial" w:hAnsi="Arial" w:cs="Arial"/>
          <w:sz w:val="24"/>
          <w:szCs w:val="24"/>
        </w:rPr>
        <w:t>Center identification</w:t>
      </w:r>
    </w:p>
    <w:p w14:paraId="48D32A21" w14:textId="77777777" w:rsidR="00AB518A" w:rsidRPr="00494208" w:rsidRDefault="00AB518A" w:rsidP="00AB518A">
      <w:pPr>
        <w:pStyle w:val="ListParagraph"/>
        <w:numPr>
          <w:ilvl w:val="2"/>
          <w:numId w:val="28"/>
        </w:numPr>
        <w:spacing w:after="120" w:line="240" w:lineRule="auto"/>
        <w:ind w:left="1800"/>
        <w:rPr>
          <w:rFonts w:ascii="Arial" w:hAnsi="Arial" w:cs="Arial"/>
          <w:sz w:val="24"/>
          <w:szCs w:val="24"/>
        </w:rPr>
      </w:pPr>
      <w:r w:rsidRPr="00494208">
        <w:rPr>
          <w:rFonts w:ascii="Arial" w:hAnsi="Arial" w:cs="Arial"/>
          <w:sz w:val="24"/>
          <w:szCs w:val="24"/>
        </w:rPr>
        <w:t>Collection date and study time-point</w:t>
      </w:r>
    </w:p>
    <w:p w14:paraId="68040C40" w14:textId="77777777" w:rsidR="00AB518A" w:rsidRPr="00494208" w:rsidRDefault="00AB518A" w:rsidP="00AB518A">
      <w:pPr>
        <w:pStyle w:val="ListParagraph"/>
        <w:numPr>
          <w:ilvl w:val="2"/>
          <w:numId w:val="28"/>
        </w:numPr>
        <w:spacing w:after="120" w:line="240" w:lineRule="auto"/>
        <w:ind w:left="1800"/>
        <w:rPr>
          <w:rFonts w:ascii="Arial" w:hAnsi="Arial" w:cs="Arial"/>
          <w:sz w:val="24"/>
          <w:szCs w:val="24"/>
        </w:rPr>
      </w:pPr>
      <w:r w:rsidRPr="00494208">
        <w:rPr>
          <w:rFonts w:ascii="Arial" w:hAnsi="Arial" w:cs="Arial"/>
          <w:sz w:val="24"/>
          <w:szCs w:val="24"/>
        </w:rPr>
        <w:t>Initials of the individual who collected the specimen</w:t>
      </w:r>
    </w:p>
    <w:p w14:paraId="7E56F266" w14:textId="77777777" w:rsidR="00AB518A" w:rsidRPr="00494208" w:rsidRDefault="00AB518A" w:rsidP="00AB518A">
      <w:pPr>
        <w:pStyle w:val="ListParagraph"/>
        <w:spacing w:after="120"/>
        <w:ind w:left="1800"/>
        <w:rPr>
          <w:rFonts w:ascii="Arial" w:hAnsi="Arial" w:cs="Arial"/>
          <w:sz w:val="24"/>
          <w:szCs w:val="24"/>
        </w:rPr>
      </w:pPr>
    </w:p>
    <w:p w14:paraId="689E3C9F" w14:textId="77777777" w:rsidR="00AB518A" w:rsidRPr="00494208" w:rsidRDefault="00AB518A" w:rsidP="00AB518A">
      <w:pPr>
        <w:pStyle w:val="ListParagraph"/>
        <w:numPr>
          <w:ilvl w:val="0"/>
          <w:numId w:val="37"/>
        </w:numPr>
        <w:spacing w:after="120" w:line="240" w:lineRule="auto"/>
        <w:rPr>
          <w:rFonts w:ascii="Arial" w:hAnsi="Arial" w:cs="Arial"/>
          <w:b/>
          <w:sz w:val="24"/>
          <w:szCs w:val="24"/>
        </w:rPr>
      </w:pPr>
      <w:r w:rsidRPr="00494208">
        <w:rPr>
          <w:rFonts w:ascii="Arial" w:hAnsi="Arial" w:cs="Arial"/>
          <w:b/>
          <w:sz w:val="24"/>
          <w:szCs w:val="24"/>
        </w:rPr>
        <w:t>Shipping Address</w:t>
      </w:r>
    </w:p>
    <w:p w14:paraId="19888C7C" w14:textId="77777777" w:rsidR="00AB518A" w:rsidRPr="00494208" w:rsidRDefault="00AB518A" w:rsidP="00AB518A">
      <w:pPr>
        <w:pStyle w:val="gmail-p1"/>
        <w:spacing w:before="0" w:beforeAutospacing="0" w:after="0" w:afterAutospacing="0"/>
        <w:ind w:firstLine="180"/>
        <w:rPr>
          <w:rFonts w:ascii="Arial" w:hAnsi="Arial" w:cs="Arial"/>
        </w:rPr>
      </w:pPr>
      <w:r w:rsidRPr="00494208">
        <w:rPr>
          <w:rFonts w:ascii="Arial" w:hAnsi="Arial" w:cs="Arial"/>
        </w:rPr>
        <w:t xml:space="preserve"> Yaya Chu, PhD</w:t>
      </w:r>
    </w:p>
    <w:p w14:paraId="26823A07" w14:textId="77777777" w:rsidR="00AB518A" w:rsidRPr="00494208" w:rsidRDefault="00AB518A" w:rsidP="00AB518A">
      <w:pPr>
        <w:pStyle w:val="gmail-p1"/>
        <w:spacing w:before="0" w:beforeAutospacing="0" w:after="0" w:afterAutospacing="0"/>
        <w:rPr>
          <w:rFonts w:ascii="Arial" w:hAnsi="Arial" w:cs="Arial"/>
        </w:rPr>
      </w:pPr>
      <w:r w:rsidRPr="00494208">
        <w:rPr>
          <w:rFonts w:ascii="Arial" w:hAnsi="Arial" w:cs="Arial"/>
        </w:rPr>
        <w:t>    Basic Science Building, Rm401</w:t>
      </w:r>
    </w:p>
    <w:p w14:paraId="6CF8F53C" w14:textId="77777777" w:rsidR="00AB518A" w:rsidRPr="00494208" w:rsidRDefault="00AB518A" w:rsidP="00AB518A">
      <w:pPr>
        <w:pStyle w:val="gmail-p1"/>
        <w:spacing w:before="0" w:beforeAutospacing="0" w:after="0" w:afterAutospacing="0"/>
        <w:rPr>
          <w:rFonts w:ascii="Arial" w:hAnsi="Arial" w:cs="Arial"/>
        </w:rPr>
      </w:pPr>
      <w:r w:rsidRPr="00494208">
        <w:rPr>
          <w:rFonts w:ascii="Arial" w:hAnsi="Arial" w:cs="Arial"/>
        </w:rPr>
        <w:t>    New York Medical College</w:t>
      </w:r>
    </w:p>
    <w:p w14:paraId="25E4DEB5" w14:textId="77777777" w:rsidR="00AB518A" w:rsidRPr="00494208" w:rsidRDefault="00AB518A" w:rsidP="00AB518A">
      <w:pPr>
        <w:pStyle w:val="gmail-p1"/>
        <w:spacing w:before="0" w:beforeAutospacing="0" w:after="0" w:afterAutospacing="0"/>
        <w:rPr>
          <w:rFonts w:ascii="Arial" w:hAnsi="Arial" w:cs="Arial"/>
        </w:rPr>
      </w:pPr>
      <w:r w:rsidRPr="00494208">
        <w:rPr>
          <w:rFonts w:ascii="Arial" w:hAnsi="Arial" w:cs="Arial"/>
        </w:rPr>
        <w:t>    15 Dana road</w:t>
      </w:r>
    </w:p>
    <w:p w14:paraId="58408C69" w14:textId="77777777" w:rsidR="00AB518A" w:rsidRPr="00494208" w:rsidRDefault="00AB518A" w:rsidP="00AB518A">
      <w:pPr>
        <w:pStyle w:val="gmail-p1"/>
        <w:spacing w:before="0" w:beforeAutospacing="0" w:after="0" w:afterAutospacing="0"/>
        <w:rPr>
          <w:rFonts w:ascii="Arial" w:hAnsi="Arial" w:cs="Arial"/>
        </w:rPr>
      </w:pPr>
      <w:r w:rsidRPr="00494208">
        <w:rPr>
          <w:rFonts w:ascii="Arial" w:hAnsi="Arial" w:cs="Arial"/>
        </w:rPr>
        <w:t>    Valhalla, NY, 10595</w:t>
      </w:r>
    </w:p>
    <w:p w14:paraId="3F577D00" w14:textId="77777777" w:rsidR="00AB518A" w:rsidRPr="00494208" w:rsidRDefault="00AB518A" w:rsidP="00AB518A">
      <w:pPr>
        <w:pStyle w:val="gmail-p1"/>
        <w:spacing w:before="0" w:beforeAutospacing="0" w:after="0" w:afterAutospacing="0"/>
        <w:ind w:firstLine="260"/>
        <w:rPr>
          <w:rFonts w:ascii="Arial" w:hAnsi="Arial" w:cs="Arial"/>
        </w:rPr>
      </w:pPr>
      <w:r w:rsidRPr="00494208">
        <w:rPr>
          <w:rFonts w:ascii="Arial" w:hAnsi="Arial" w:cs="Arial"/>
        </w:rPr>
        <w:t>email: yaya_chu@nymc.edu. Lab 914-594-3726</w:t>
      </w:r>
    </w:p>
    <w:p w14:paraId="1A632F36" w14:textId="77777777" w:rsidR="00AB518A" w:rsidRPr="00494208" w:rsidRDefault="00AB518A" w:rsidP="00AB518A">
      <w:pPr>
        <w:pStyle w:val="gmail-p1"/>
        <w:spacing w:before="0" w:beforeAutospacing="0" w:after="0" w:afterAutospacing="0"/>
        <w:ind w:firstLine="260"/>
        <w:rPr>
          <w:rFonts w:ascii="Arial" w:hAnsi="Arial" w:cs="Arial"/>
        </w:rPr>
      </w:pPr>
    </w:p>
    <w:p w14:paraId="294F4998" w14:textId="1BD01045" w:rsidR="00D50EC2" w:rsidRDefault="00AB518A" w:rsidP="008956DA">
      <w:r w:rsidRPr="00494208">
        <w:rPr>
          <w:rFonts w:ascii="Arial" w:hAnsi="Arial" w:cs="Arial"/>
        </w:rPr>
        <w:t>Please contact Dr. Cairo’s laboratory at (914) 594-3726 or email yaya_chu@nymc.edu between the hours of 9:00 am and 5:00 pm EST Monday to Friday to inform the lab that a specimen is coming.</w:t>
      </w:r>
      <w:r w:rsidRPr="00494208">
        <w:fldChar w:fldCharType="begin"/>
      </w:r>
      <w:r w:rsidRPr="00494208">
        <w:instrText xml:space="preserve"> ADDIN </w:instrText>
      </w:r>
      <w:r w:rsidRPr="00494208">
        <w:fldChar w:fldCharType="end"/>
      </w:r>
    </w:p>
    <w:p w14:paraId="180CDC0B" w14:textId="77777777" w:rsidR="008956DA" w:rsidRPr="008956DA" w:rsidRDefault="008956DA" w:rsidP="008956DA"/>
    <w:p w14:paraId="148F4B15" w14:textId="77777777" w:rsidR="00D50EC2" w:rsidRPr="007A027A" w:rsidRDefault="00D50EC2" w:rsidP="00D50EC2">
      <w:pPr>
        <w:spacing w:after="120"/>
        <w:rPr>
          <w:rFonts w:ascii="Arial" w:hAnsi="Arial" w:cs="Arial"/>
          <w:sz w:val="24"/>
        </w:rPr>
      </w:pPr>
      <w:r w:rsidRPr="002F07E8">
        <w:rPr>
          <w:rFonts w:ascii="Arial" w:hAnsi="Arial" w:cs="Arial"/>
          <w:b/>
          <w:sz w:val="24"/>
        </w:rPr>
        <w:t>1.0 Objective</w:t>
      </w:r>
      <w:r w:rsidRPr="007A027A">
        <w:rPr>
          <w:rFonts w:ascii="Arial" w:hAnsi="Arial" w:cs="Arial"/>
          <w:sz w:val="24"/>
        </w:rPr>
        <w:t xml:space="preserve">: </w:t>
      </w:r>
    </w:p>
    <w:p w14:paraId="2EF7C953" w14:textId="3136FE17" w:rsidR="00D50EC2" w:rsidRPr="008956DA" w:rsidRDefault="00D50EC2" w:rsidP="008956DA">
      <w:pPr>
        <w:spacing w:after="120"/>
        <w:rPr>
          <w:rFonts w:ascii="Arial" w:hAnsi="Arial" w:cs="Arial"/>
          <w:sz w:val="24"/>
        </w:rPr>
      </w:pPr>
      <w:r w:rsidRPr="00561B8D">
        <w:rPr>
          <w:rFonts w:ascii="Arial" w:hAnsi="Arial" w:cs="Arial"/>
          <w:sz w:val="24"/>
        </w:rPr>
        <w:lastRenderedPageBreak/>
        <w:tab/>
      </w:r>
      <w:r>
        <w:rPr>
          <w:rFonts w:ascii="Arial" w:hAnsi="Arial" w:cs="Arial"/>
          <w:sz w:val="24"/>
        </w:rPr>
        <w:t>To c</w:t>
      </w:r>
      <w:r w:rsidRPr="00561B8D">
        <w:rPr>
          <w:rFonts w:ascii="Arial" w:hAnsi="Arial" w:cs="Arial"/>
          <w:sz w:val="24"/>
        </w:rPr>
        <w:t xml:space="preserve">haracterize </w:t>
      </w:r>
      <w:r>
        <w:rPr>
          <w:rFonts w:ascii="Arial" w:hAnsi="Arial" w:cs="Arial"/>
          <w:sz w:val="24"/>
        </w:rPr>
        <w:t xml:space="preserve">ex vivo expanded CMV </w:t>
      </w:r>
      <w:r w:rsidRPr="00561B8D">
        <w:rPr>
          <w:rFonts w:ascii="Arial" w:hAnsi="Arial" w:cs="Arial"/>
          <w:sz w:val="24"/>
        </w:rPr>
        <w:t>CTL product (IFG+ cells from CCS product)</w:t>
      </w:r>
      <w:r>
        <w:rPr>
          <w:rFonts w:ascii="Arial" w:hAnsi="Arial" w:cs="Arial"/>
          <w:sz w:val="24"/>
        </w:rPr>
        <w:t xml:space="preserve"> (on all clinical products)</w:t>
      </w:r>
    </w:p>
    <w:p w14:paraId="72F34ACB" w14:textId="77777777" w:rsidR="00D50EC2" w:rsidRPr="002F07E8" w:rsidRDefault="00D50EC2" w:rsidP="00D50EC2">
      <w:pPr>
        <w:pStyle w:val="ListParagraph"/>
        <w:numPr>
          <w:ilvl w:val="0"/>
          <w:numId w:val="32"/>
        </w:numPr>
        <w:spacing w:after="120" w:line="240" w:lineRule="auto"/>
        <w:rPr>
          <w:rFonts w:ascii="Arial" w:hAnsi="Arial" w:cs="Arial"/>
          <w:b/>
          <w:sz w:val="24"/>
          <w:szCs w:val="24"/>
        </w:rPr>
      </w:pPr>
      <w:r w:rsidRPr="002F07E8">
        <w:rPr>
          <w:rFonts w:ascii="Arial" w:hAnsi="Arial" w:cs="Arial"/>
          <w:b/>
          <w:sz w:val="24"/>
          <w:szCs w:val="24"/>
        </w:rPr>
        <w:t>Methods for Preparation of Cells</w:t>
      </w:r>
    </w:p>
    <w:p w14:paraId="7A893F2F" w14:textId="77777777" w:rsidR="00D50EC2" w:rsidRPr="002D1DEB" w:rsidRDefault="00D50EC2" w:rsidP="00D50EC2">
      <w:pPr>
        <w:pStyle w:val="ListParagraph"/>
        <w:numPr>
          <w:ilvl w:val="0"/>
          <w:numId w:val="26"/>
        </w:numPr>
        <w:spacing w:after="120" w:line="240" w:lineRule="auto"/>
        <w:ind w:left="1170"/>
        <w:rPr>
          <w:rFonts w:ascii="Arial" w:hAnsi="Arial" w:cs="Arial"/>
          <w:sz w:val="24"/>
          <w:szCs w:val="24"/>
        </w:rPr>
      </w:pPr>
      <w:r w:rsidRPr="002D1DEB">
        <w:rPr>
          <w:rFonts w:ascii="Arial" w:hAnsi="Arial" w:cs="Arial"/>
          <w:sz w:val="24"/>
          <w:szCs w:val="24"/>
        </w:rPr>
        <w:t xml:space="preserve">From the CCS viral CTL </w:t>
      </w:r>
      <w:r w:rsidRPr="002D1DEB">
        <w:rPr>
          <w:rFonts w:ascii="Arial" w:hAnsi="Arial" w:cs="Arial"/>
          <w:sz w:val="24"/>
          <w:szCs w:val="24"/>
          <w:u w:val="single"/>
        </w:rPr>
        <w:t>target cell fraction</w:t>
      </w:r>
      <w:r w:rsidRPr="002D1DEB">
        <w:rPr>
          <w:rFonts w:ascii="Arial" w:hAnsi="Arial" w:cs="Arial"/>
          <w:sz w:val="24"/>
          <w:szCs w:val="24"/>
        </w:rPr>
        <w:t>, remove 0.5-1</w:t>
      </w:r>
      <w:r w:rsidRPr="00DC3E48">
        <w:rPr>
          <w:rFonts w:ascii="Arial" w:hAnsi="Arial" w:cs="Arial"/>
          <w:sz w:val="24"/>
          <w:szCs w:val="24"/>
        </w:rPr>
        <w:t>e5</w:t>
      </w:r>
      <w:r w:rsidRPr="002D1DEB">
        <w:rPr>
          <w:rFonts w:ascii="Arial" w:hAnsi="Arial" w:cs="Arial"/>
          <w:sz w:val="24"/>
          <w:szCs w:val="24"/>
        </w:rPr>
        <w:t xml:space="preserve"> cells (50-100k cells), wash once by centrifugation, resuspend in 1 ml TexMACS supplemented with 100 IU/ml IL-2, and place in a 1 ml cryovial. Tightly seal the cryovial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w:t>
      </w:r>
    </w:p>
    <w:p w14:paraId="7E49EE93" w14:textId="77777777" w:rsidR="00D50EC2" w:rsidRDefault="00D50EC2" w:rsidP="00D50EC2">
      <w:pPr>
        <w:pStyle w:val="ListParagraph"/>
        <w:numPr>
          <w:ilvl w:val="0"/>
          <w:numId w:val="26"/>
        </w:numPr>
        <w:spacing w:after="120" w:line="240" w:lineRule="auto"/>
        <w:ind w:left="1170"/>
        <w:rPr>
          <w:rFonts w:ascii="Arial" w:hAnsi="Arial" w:cs="Arial"/>
          <w:sz w:val="24"/>
          <w:szCs w:val="24"/>
        </w:rPr>
      </w:pPr>
      <w:r w:rsidRPr="002D1DEB">
        <w:rPr>
          <w:rFonts w:ascii="Arial" w:hAnsi="Arial" w:cs="Arial"/>
          <w:sz w:val="24"/>
          <w:szCs w:val="24"/>
        </w:rPr>
        <w:t xml:space="preserve">From the CCS CTL isolation </w:t>
      </w:r>
      <w:r w:rsidRPr="002D1DEB">
        <w:rPr>
          <w:rFonts w:ascii="Arial" w:hAnsi="Arial" w:cs="Arial"/>
          <w:sz w:val="24"/>
          <w:szCs w:val="24"/>
          <w:u w:val="single"/>
        </w:rPr>
        <w:t>non-target cell fraction</w:t>
      </w:r>
      <w:r w:rsidRPr="002D1DEB">
        <w:rPr>
          <w:rFonts w:ascii="Arial" w:hAnsi="Arial" w:cs="Arial"/>
          <w:sz w:val="24"/>
          <w:szCs w:val="24"/>
        </w:rPr>
        <w:t xml:space="preserve">, concentrate and wash the cells once by centrifugation, and resuspend in 15 ml TexMACS. Place the cell suspension in a 15 ml screw-cap conical centrifuge, and tighten the cap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 These cells will be used to manufacture BLCL lines and as feeders to expand an aliquot of the target cell fraction in the Johnson Lab.</w:t>
      </w:r>
    </w:p>
    <w:p w14:paraId="75526B05" w14:textId="77777777" w:rsidR="00D50EC2" w:rsidRDefault="00D50EC2" w:rsidP="00D50EC2">
      <w:pPr>
        <w:pStyle w:val="ListParagraph"/>
        <w:spacing w:after="120" w:line="240" w:lineRule="auto"/>
        <w:ind w:left="1170"/>
        <w:rPr>
          <w:rFonts w:ascii="Arial" w:hAnsi="Arial" w:cs="Arial"/>
          <w:sz w:val="24"/>
          <w:szCs w:val="24"/>
        </w:rPr>
      </w:pPr>
    </w:p>
    <w:p w14:paraId="75E09520" w14:textId="77777777" w:rsidR="00D50EC2" w:rsidRPr="002D1DEB" w:rsidRDefault="00D50EC2" w:rsidP="00D50EC2">
      <w:pPr>
        <w:pStyle w:val="ListParagraph"/>
        <w:numPr>
          <w:ilvl w:val="0"/>
          <w:numId w:val="32"/>
        </w:numPr>
        <w:spacing w:after="120" w:line="240" w:lineRule="auto"/>
        <w:rPr>
          <w:rFonts w:ascii="Arial" w:hAnsi="Arial" w:cs="Arial"/>
          <w:b/>
          <w:sz w:val="24"/>
          <w:szCs w:val="24"/>
        </w:rPr>
      </w:pPr>
      <w:r w:rsidRPr="002D1DEB">
        <w:rPr>
          <w:rFonts w:ascii="Arial" w:hAnsi="Arial" w:cs="Arial"/>
          <w:b/>
          <w:sz w:val="24"/>
          <w:szCs w:val="24"/>
        </w:rPr>
        <w:t>Shipping Instructions</w:t>
      </w:r>
    </w:p>
    <w:p w14:paraId="43C5E5A2"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1A075F2E"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 xml:space="preserve">The </w:t>
      </w:r>
      <w:r w:rsidRPr="002D1DEB">
        <w:rPr>
          <w:rFonts w:ascii="Arial" w:hAnsi="Arial" w:cs="Arial"/>
          <w:b/>
          <w:sz w:val="24"/>
          <w:szCs w:val="24"/>
        </w:rPr>
        <w:t>freshly isolated non-target cells and target cells</w:t>
      </w:r>
      <w:r w:rsidRPr="002D1DEB">
        <w:rPr>
          <w:rFonts w:ascii="Arial" w:hAnsi="Arial" w:cs="Arial"/>
          <w:sz w:val="24"/>
          <w:szCs w:val="24"/>
        </w:rPr>
        <w:t xml:space="preserve"> (15 ml screw top conical and 1 ml cryovial, respectively, in a zip-lock bag) should be shipped overnight at 4 °C.</w:t>
      </w:r>
    </w:p>
    <w:p w14:paraId="27DB2DB2" w14:textId="77777777" w:rsidR="00D50EC2" w:rsidRPr="002D1DEB" w:rsidRDefault="00D50EC2" w:rsidP="00D50EC2">
      <w:pPr>
        <w:pStyle w:val="ListParagraph"/>
        <w:numPr>
          <w:ilvl w:val="0"/>
          <w:numId w:val="33"/>
        </w:numPr>
        <w:spacing w:after="12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1E74D22B"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Patient study ID number</w:t>
      </w:r>
      <w:r>
        <w:rPr>
          <w:rFonts w:ascii="Arial" w:hAnsi="Arial" w:cs="Arial"/>
          <w:sz w:val="24"/>
          <w:szCs w:val="24"/>
        </w:rPr>
        <w:t xml:space="preserve"> </w:t>
      </w:r>
    </w:p>
    <w:p w14:paraId="02AF808F"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Center identification</w:t>
      </w:r>
    </w:p>
    <w:p w14:paraId="21E3A5A0"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Collection date and study time-point</w:t>
      </w:r>
    </w:p>
    <w:p w14:paraId="35559D08" w14:textId="77777777" w:rsidR="00D50EC2" w:rsidRPr="002D1DEB" w:rsidRDefault="00D50EC2" w:rsidP="00D50EC2">
      <w:pPr>
        <w:pStyle w:val="ListParagraph"/>
        <w:numPr>
          <w:ilvl w:val="2"/>
          <w:numId w:val="28"/>
        </w:numPr>
        <w:spacing w:after="120" w:line="240" w:lineRule="auto"/>
        <w:ind w:left="1800"/>
        <w:rPr>
          <w:rFonts w:ascii="Arial" w:hAnsi="Arial" w:cs="Arial"/>
          <w:sz w:val="24"/>
          <w:szCs w:val="24"/>
        </w:rPr>
      </w:pPr>
      <w:r w:rsidRPr="002D1DEB">
        <w:rPr>
          <w:rFonts w:ascii="Arial" w:hAnsi="Arial" w:cs="Arial"/>
          <w:sz w:val="24"/>
          <w:szCs w:val="24"/>
        </w:rPr>
        <w:t>Initials of the individual who collected the specimen</w:t>
      </w:r>
    </w:p>
    <w:p w14:paraId="30760556" w14:textId="77777777" w:rsidR="00D50EC2" w:rsidRPr="002D1DEB" w:rsidRDefault="00D50EC2" w:rsidP="00D50EC2">
      <w:pPr>
        <w:pStyle w:val="ListParagraph"/>
        <w:spacing w:after="120"/>
        <w:ind w:left="1800"/>
        <w:rPr>
          <w:rFonts w:ascii="Arial" w:hAnsi="Arial" w:cs="Arial"/>
          <w:sz w:val="24"/>
          <w:szCs w:val="24"/>
        </w:rPr>
      </w:pPr>
    </w:p>
    <w:p w14:paraId="3AB78E62" w14:textId="77777777" w:rsidR="00D50EC2" w:rsidRPr="002D1DEB" w:rsidRDefault="00D50EC2" w:rsidP="00D50EC2">
      <w:pPr>
        <w:pStyle w:val="ListParagraph"/>
        <w:numPr>
          <w:ilvl w:val="0"/>
          <w:numId w:val="32"/>
        </w:numPr>
        <w:spacing w:after="120" w:line="240" w:lineRule="auto"/>
        <w:rPr>
          <w:rFonts w:ascii="Arial" w:hAnsi="Arial" w:cs="Arial"/>
          <w:b/>
          <w:sz w:val="24"/>
          <w:szCs w:val="24"/>
        </w:rPr>
      </w:pPr>
      <w:r w:rsidRPr="002D1DEB">
        <w:rPr>
          <w:rFonts w:ascii="Arial" w:hAnsi="Arial" w:cs="Arial"/>
          <w:b/>
          <w:sz w:val="24"/>
          <w:szCs w:val="24"/>
        </w:rPr>
        <w:t>Shipping Address</w:t>
      </w:r>
    </w:p>
    <w:p w14:paraId="2EDE0CC9" w14:textId="77777777" w:rsidR="00D50EC2" w:rsidRPr="002D1DEB" w:rsidRDefault="00D50EC2" w:rsidP="00D50EC2">
      <w:pPr>
        <w:pStyle w:val="ListParagraph"/>
        <w:spacing w:after="120"/>
        <w:rPr>
          <w:rFonts w:ascii="Arial" w:hAnsi="Arial" w:cs="Arial"/>
          <w:sz w:val="24"/>
          <w:szCs w:val="24"/>
        </w:rPr>
      </w:pPr>
    </w:p>
    <w:p w14:paraId="179D43ED"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BMT Research Laboratory </w:t>
      </w:r>
    </w:p>
    <w:p w14:paraId="0743AAD3"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Attention: Huiqing Xu, MD </w:t>
      </w:r>
    </w:p>
    <w:p w14:paraId="49FD1E51"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Froedtert Hospital Pavilion, Room 304</w:t>
      </w:r>
    </w:p>
    <w:p w14:paraId="0E80F613"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9200 West Wisconsin Avenue </w:t>
      </w:r>
    </w:p>
    <w:p w14:paraId="046CF8EB"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 xml:space="preserve">Milwaukee, WI 53226 </w:t>
      </w:r>
    </w:p>
    <w:p w14:paraId="639603D2" w14:textId="77777777" w:rsidR="00D50EC2" w:rsidRPr="002D1DEB" w:rsidRDefault="00D50EC2" w:rsidP="00D50EC2">
      <w:pPr>
        <w:pStyle w:val="ListParagraph"/>
        <w:spacing w:after="120"/>
        <w:rPr>
          <w:rFonts w:ascii="Arial" w:hAnsi="Arial" w:cs="Arial"/>
          <w:sz w:val="24"/>
          <w:szCs w:val="24"/>
        </w:rPr>
      </w:pPr>
      <w:r w:rsidRPr="002D1DEB">
        <w:rPr>
          <w:rFonts w:ascii="Arial" w:hAnsi="Arial" w:cs="Arial"/>
          <w:sz w:val="24"/>
          <w:szCs w:val="24"/>
        </w:rPr>
        <w:t>Laboratory telephone: 414-805-6143</w:t>
      </w:r>
    </w:p>
    <w:p w14:paraId="0D1D6ED3" w14:textId="77777777" w:rsidR="00D50EC2" w:rsidRPr="002D1DEB" w:rsidRDefault="00D50EC2" w:rsidP="00D50EC2">
      <w:pPr>
        <w:pStyle w:val="ListParagraph"/>
        <w:spacing w:after="120"/>
        <w:rPr>
          <w:rFonts w:ascii="Arial" w:hAnsi="Arial" w:cs="Arial"/>
          <w:sz w:val="24"/>
          <w:szCs w:val="24"/>
        </w:rPr>
      </w:pPr>
    </w:p>
    <w:p w14:paraId="3D315ED5" w14:textId="77777777" w:rsidR="00D50EC2" w:rsidRDefault="00D50EC2" w:rsidP="00D50EC2">
      <w:r w:rsidRPr="002D1DEB">
        <w:rPr>
          <w:rFonts w:ascii="Arial" w:hAnsi="Arial" w:cs="Arial"/>
          <w:sz w:val="24"/>
          <w:szCs w:val="24"/>
        </w:rPr>
        <w:t xml:space="preserve">Call the BMT Research Laboratory at 414-805-6143 between the hours of 7:00 AM and 6:00 PM Central time to let them know a specimen is coming. Alternatively email: </w:t>
      </w:r>
    </w:p>
    <w:p w14:paraId="2A0FE47A" w14:textId="77777777" w:rsidR="00D50EC2" w:rsidRDefault="00EA26CB" w:rsidP="00D50EC2">
      <w:hyperlink r:id="rId26" w:tgtFrame="_blank" w:tooltip="mailto:Kpalen@mcw.edu" w:history="1">
        <w:r w:rsidR="00D50EC2">
          <w:rPr>
            <w:rStyle w:val="Hyperlink"/>
            <w:color w:val="0078D4"/>
          </w:rPr>
          <w:t>palen@mcw.edu</w:t>
        </w:r>
      </w:hyperlink>
      <w:r w:rsidR="00D50EC2">
        <w:rPr>
          <w:color w:val="000000"/>
          <w:sz w:val="28"/>
          <w:szCs w:val="28"/>
        </w:rPr>
        <w:t> &amp; </w:t>
      </w:r>
      <w:hyperlink r:id="rId27" w:tgtFrame="_blank" w:tooltip="mailto:james.weber@froedtert.com" w:history="1">
        <w:r w:rsidR="00D50EC2">
          <w:rPr>
            <w:rStyle w:val="Hyperlink"/>
            <w:color w:val="0078D4"/>
          </w:rPr>
          <w:t>james.weber@froedtert.com</w:t>
        </w:r>
      </w:hyperlink>
      <w:r w:rsidR="00D50EC2">
        <w:rPr>
          <w:color w:val="000000"/>
          <w:sz w:val="28"/>
          <w:szCs w:val="28"/>
        </w:rPr>
        <w:t> </w:t>
      </w:r>
    </w:p>
    <w:p w14:paraId="6F0359AE" w14:textId="77777777" w:rsidR="00D50EC2" w:rsidRPr="002D1DEB" w:rsidRDefault="00D50EC2" w:rsidP="00D50EC2">
      <w:pPr>
        <w:pStyle w:val="ListParagraph"/>
        <w:spacing w:after="120"/>
        <w:rPr>
          <w:rFonts w:ascii="Arial" w:hAnsi="Arial" w:cs="Arial"/>
          <w:sz w:val="24"/>
          <w:szCs w:val="24"/>
        </w:rPr>
      </w:pPr>
    </w:p>
    <w:p w14:paraId="6E946171" w14:textId="77777777" w:rsidR="00D50EC2" w:rsidRPr="002D1DEB" w:rsidRDefault="00D50EC2" w:rsidP="008956DA">
      <w:pPr>
        <w:pStyle w:val="ListParagraph"/>
        <w:spacing w:after="120"/>
        <w:ind w:left="0"/>
        <w:rPr>
          <w:rFonts w:ascii="Arial" w:hAnsi="Arial" w:cs="Arial"/>
          <w:sz w:val="24"/>
          <w:szCs w:val="24"/>
        </w:rPr>
      </w:pPr>
      <w:r w:rsidRPr="002D1DEB">
        <w:rPr>
          <w:rFonts w:ascii="Arial" w:hAnsi="Arial" w:cs="Arial"/>
          <w:sz w:val="24"/>
          <w:szCs w:val="24"/>
        </w:rPr>
        <w:t>Ship overnight express on the day of collection; Federal Express Account Number: TBD</w:t>
      </w:r>
    </w:p>
    <w:p w14:paraId="4D6B285B" w14:textId="77777777" w:rsidR="00D50EC2" w:rsidRPr="002D1DEB" w:rsidRDefault="00D50EC2" w:rsidP="008956DA">
      <w:pPr>
        <w:pStyle w:val="ListParagraph"/>
        <w:spacing w:after="120"/>
        <w:ind w:left="0"/>
        <w:rPr>
          <w:rFonts w:ascii="Arial" w:hAnsi="Arial" w:cs="Arial"/>
          <w:sz w:val="24"/>
          <w:szCs w:val="24"/>
        </w:rPr>
      </w:pPr>
      <w:r w:rsidRPr="002D1DEB">
        <w:rPr>
          <w:rFonts w:ascii="Arial" w:hAnsi="Arial" w:cs="Arial"/>
          <w:sz w:val="24"/>
          <w:szCs w:val="24"/>
        </w:rPr>
        <w:t>Specimens will only be received Tuesday through Friday (except Holidays).</w:t>
      </w:r>
    </w:p>
    <w:p w14:paraId="3EF673E9" w14:textId="77777777" w:rsidR="00A53578" w:rsidRDefault="00A53578" w:rsidP="000C5C92"/>
    <w:sectPr w:rsidR="00A5357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A5E0" w14:textId="77777777" w:rsidR="00B10E38" w:rsidRDefault="00B10E38" w:rsidP="00B10E38">
      <w:r>
        <w:separator/>
      </w:r>
    </w:p>
  </w:endnote>
  <w:endnote w:type="continuationSeparator" w:id="0">
    <w:p w14:paraId="23993539" w14:textId="77777777" w:rsidR="00B10E38" w:rsidRDefault="00B10E38" w:rsidP="00B1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0A77" w14:textId="3CE6DFB5" w:rsidR="00B10E38" w:rsidRDefault="00B10E38">
    <w:pPr>
      <w:pStyle w:val="Footer"/>
    </w:pPr>
    <w:r>
      <w:t>Protocol Version Date: November 23,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36A5" w14:textId="77777777" w:rsidR="00B10E38" w:rsidRDefault="00B10E38" w:rsidP="00B10E38">
      <w:r>
        <w:separator/>
      </w:r>
    </w:p>
  </w:footnote>
  <w:footnote w:type="continuationSeparator" w:id="0">
    <w:p w14:paraId="691007DC" w14:textId="77777777" w:rsidR="00B10E38" w:rsidRDefault="00B10E38" w:rsidP="00B1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9F"/>
    <w:multiLevelType w:val="multilevel"/>
    <w:tmpl w:val="3C2CB63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34B4B"/>
    <w:multiLevelType w:val="hybridMultilevel"/>
    <w:tmpl w:val="9B767DC6"/>
    <w:lvl w:ilvl="0" w:tplc="9482B71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3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2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C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29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EF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C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6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B62BF"/>
    <w:multiLevelType w:val="hybridMultilevel"/>
    <w:tmpl w:val="192E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498"/>
    <w:multiLevelType w:val="hybridMultilevel"/>
    <w:tmpl w:val="872E70EE"/>
    <w:lvl w:ilvl="0" w:tplc="85DCDC0A">
      <w:start w:val="1"/>
      <w:numFmt w:val="bullet"/>
      <w:lvlText w:val="•"/>
      <w:lvlJc w:val="left"/>
      <w:pPr>
        <w:ind w:left="7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9865E2F"/>
    <w:multiLevelType w:val="multilevel"/>
    <w:tmpl w:val="01A2F92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AB2393"/>
    <w:multiLevelType w:val="hybridMultilevel"/>
    <w:tmpl w:val="E10AB9E2"/>
    <w:lvl w:ilvl="0" w:tplc="A044E7D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5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A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E7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3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EA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0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B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F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D1879"/>
    <w:multiLevelType w:val="hybridMultilevel"/>
    <w:tmpl w:val="9E84B66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5D64"/>
    <w:multiLevelType w:val="hybridMultilevel"/>
    <w:tmpl w:val="F470EFC4"/>
    <w:lvl w:ilvl="0" w:tplc="A1F23F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5C0721A"/>
    <w:multiLevelType w:val="hybridMultilevel"/>
    <w:tmpl w:val="26A049DE"/>
    <w:lvl w:ilvl="0" w:tplc="495E2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71962"/>
    <w:multiLevelType w:val="hybridMultilevel"/>
    <w:tmpl w:val="AAC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3621A"/>
    <w:multiLevelType w:val="multilevel"/>
    <w:tmpl w:val="8A44CC1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3F224E"/>
    <w:multiLevelType w:val="multilevel"/>
    <w:tmpl w:val="A2CE35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726C3D"/>
    <w:multiLevelType w:val="hybridMultilevel"/>
    <w:tmpl w:val="4920D16A"/>
    <w:lvl w:ilvl="0" w:tplc="85DCDC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2618">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C8F6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817C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6DEEE">
      <w:start w:val="1"/>
      <w:numFmt w:val="bullet"/>
      <w:lvlRestart w:val="0"/>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883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E6D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0C0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894D0">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6D2BA2"/>
    <w:multiLevelType w:val="hybridMultilevel"/>
    <w:tmpl w:val="360A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36F1F"/>
    <w:multiLevelType w:val="hybridMultilevel"/>
    <w:tmpl w:val="6EAAED30"/>
    <w:lvl w:ilvl="0" w:tplc="0EE602C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AD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EF6F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875F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0132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D611E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A03B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80A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2552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C865F3"/>
    <w:multiLevelType w:val="hybridMultilevel"/>
    <w:tmpl w:val="B1884EF2"/>
    <w:lvl w:ilvl="0" w:tplc="23EC7BF0">
      <w:start w:val="1"/>
      <w:numFmt w:val="bullet"/>
      <w:lvlText w:val=""/>
      <w:lvlJc w:val="left"/>
      <w:pPr>
        <w:ind w:left="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70EEC8">
      <w:start w:val="1"/>
      <w:numFmt w:val="bullet"/>
      <w:lvlText w:val="o"/>
      <w:lvlJc w:val="left"/>
      <w:pPr>
        <w:ind w:left="1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EA236">
      <w:start w:val="1"/>
      <w:numFmt w:val="bullet"/>
      <w:lvlText w:val="▪"/>
      <w:lvlJc w:val="left"/>
      <w:pPr>
        <w:ind w:left="2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888F1E">
      <w:start w:val="1"/>
      <w:numFmt w:val="bullet"/>
      <w:lvlText w:val="•"/>
      <w:lvlJc w:val="left"/>
      <w:pPr>
        <w:ind w:left="3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324442">
      <w:start w:val="1"/>
      <w:numFmt w:val="bullet"/>
      <w:lvlText w:val="o"/>
      <w:lvlJc w:val="left"/>
      <w:pPr>
        <w:ind w:left="3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66E3C">
      <w:start w:val="1"/>
      <w:numFmt w:val="bullet"/>
      <w:lvlText w:val="▪"/>
      <w:lvlJc w:val="left"/>
      <w:pPr>
        <w:ind w:left="4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6665EC">
      <w:start w:val="1"/>
      <w:numFmt w:val="bullet"/>
      <w:lvlText w:val="•"/>
      <w:lvlJc w:val="left"/>
      <w:pPr>
        <w:ind w:left="5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A40EC">
      <w:start w:val="1"/>
      <w:numFmt w:val="bullet"/>
      <w:lvlText w:val="o"/>
      <w:lvlJc w:val="left"/>
      <w:pPr>
        <w:ind w:left="5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ED034">
      <w:start w:val="1"/>
      <w:numFmt w:val="bullet"/>
      <w:lvlText w:val="▪"/>
      <w:lvlJc w:val="left"/>
      <w:pPr>
        <w:ind w:left="6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322948"/>
    <w:multiLevelType w:val="hybridMultilevel"/>
    <w:tmpl w:val="E08C0BB0"/>
    <w:lvl w:ilvl="0" w:tplc="DA489D46">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4612D0">
      <w:start w:val="1"/>
      <w:numFmt w:val="bullet"/>
      <w:lvlText w:val="o"/>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A46D8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23A6A">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56C7AA">
      <w:start w:val="1"/>
      <w:numFmt w:val="bullet"/>
      <w:lvlText w:val="o"/>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64448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9A2306">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4E1D4A">
      <w:start w:val="1"/>
      <w:numFmt w:val="bullet"/>
      <w:lvlText w:val="o"/>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BED58E">
      <w:start w:val="1"/>
      <w:numFmt w:val="bullet"/>
      <w:lvlText w:val="▪"/>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FA1CE0"/>
    <w:multiLevelType w:val="hybridMultilevel"/>
    <w:tmpl w:val="D5B29924"/>
    <w:lvl w:ilvl="0" w:tplc="77964D82">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05282"/>
    <w:multiLevelType w:val="hybridMultilevel"/>
    <w:tmpl w:val="8514E954"/>
    <w:lvl w:ilvl="0" w:tplc="91B436B8">
      <w:start w:val="2"/>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40B80791"/>
    <w:multiLevelType w:val="multilevel"/>
    <w:tmpl w:val="026A07FC"/>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25D"/>
    <w:multiLevelType w:val="multilevel"/>
    <w:tmpl w:val="3DDA4F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74088D"/>
    <w:multiLevelType w:val="hybridMultilevel"/>
    <w:tmpl w:val="FF9466DC"/>
    <w:lvl w:ilvl="0" w:tplc="0C382F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0B06A9"/>
    <w:multiLevelType w:val="hybridMultilevel"/>
    <w:tmpl w:val="8640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B459A0"/>
    <w:multiLevelType w:val="hybridMultilevel"/>
    <w:tmpl w:val="FDA8D562"/>
    <w:lvl w:ilvl="0" w:tplc="9B3A6F3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857C00"/>
    <w:multiLevelType w:val="multilevel"/>
    <w:tmpl w:val="C86665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96069D"/>
    <w:multiLevelType w:val="multilevel"/>
    <w:tmpl w:val="AE2C821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BF28CD"/>
    <w:multiLevelType w:val="hybridMultilevel"/>
    <w:tmpl w:val="90C45B56"/>
    <w:lvl w:ilvl="0" w:tplc="40D6DB60">
      <w:start w:val="7"/>
      <w:numFmt w:val="bullet"/>
      <w:lvlText w:val="•"/>
      <w:lvlJc w:val="left"/>
      <w:pPr>
        <w:ind w:left="1440" w:hanging="10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224DA"/>
    <w:multiLevelType w:val="hybridMultilevel"/>
    <w:tmpl w:val="9418C1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174D9"/>
    <w:multiLevelType w:val="multilevel"/>
    <w:tmpl w:val="0F8CE2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EF7ED5"/>
    <w:multiLevelType w:val="multilevel"/>
    <w:tmpl w:val="0D8E5B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5E4471"/>
    <w:multiLevelType w:val="multilevel"/>
    <w:tmpl w:val="C5A4B99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4F5091"/>
    <w:multiLevelType w:val="hybridMultilevel"/>
    <w:tmpl w:val="0D7CB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221D44"/>
    <w:multiLevelType w:val="multilevel"/>
    <w:tmpl w:val="DD4C570E"/>
    <w:lvl w:ilvl="0">
      <w:start w:val="9"/>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8E68F5"/>
    <w:multiLevelType w:val="hybridMultilevel"/>
    <w:tmpl w:val="E7CE853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E7592"/>
    <w:multiLevelType w:val="hybridMultilevel"/>
    <w:tmpl w:val="7F38F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F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AD709B"/>
    <w:multiLevelType w:val="hybridMultilevel"/>
    <w:tmpl w:val="F84E74E6"/>
    <w:lvl w:ilvl="0" w:tplc="E42C3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9007498">
    <w:abstractNumId w:val="0"/>
  </w:num>
  <w:num w:numId="2" w16cid:durableId="1611664219">
    <w:abstractNumId w:val="23"/>
  </w:num>
  <w:num w:numId="3" w16cid:durableId="158816025">
    <w:abstractNumId w:val="20"/>
  </w:num>
  <w:num w:numId="4" w16cid:durableId="27610432">
    <w:abstractNumId w:val="27"/>
  </w:num>
  <w:num w:numId="5" w16cid:durableId="1690258106">
    <w:abstractNumId w:val="14"/>
  </w:num>
  <w:num w:numId="6" w16cid:durableId="1943413022">
    <w:abstractNumId w:val="25"/>
  </w:num>
  <w:num w:numId="7" w16cid:durableId="857042425">
    <w:abstractNumId w:val="28"/>
  </w:num>
  <w:num w:numId="8" w16cid:durableId="1215771900">
    <w:abstractNumId w:val="12"/>
  </w:num>
  <w:num w:numId="9" w16cid:durableId="1394812754">
    <w:abstractNumId w:val="15"/>
  </w:num>
  <w:num w:numId="10" w16cid:durableId="516119340">
    <w:abstractNumId w:val="1"/>
  </w:num>
  <w:num w:numId="11" w16cid:durableId="1711690464">
    <w:abstractNumId w:val="16"/>
  </w:num>
  <w:num w:numId="12" w16cid:durableId="386077386">
    <w:abstractNumId w:val="5"/>
  </w:num>
  <w:num w:numId="13" w16cid:durableId="353194152">
    <w:abstractNumId w:val="35"/>
  </w:num>
  <w:num w:numId="14" w16cid:durableId="2027632788">
    <w:abstractNumId w:val="32"/>
  </w:num>
  <w:num w:numId="15" w16cid:durableId="1386487350">
    <w:abstractNumId w:val="3"/>
  </w:num>
  <w:num w:numId="16" w16cid:durableId="801077630">
    <w:abstractNumId w:val="19"/>
  </w:num>
  <w:num w:numId="17" w16cid:durableId="373845906">
    <w:abstractNumId w:val="26"/>
  </w:num>
  <w:num w:numId="18" w16cid:durableId="204297623">
    <w:abstractNumId w:val="34"/>
  </w:num>
  <w:num w:numId="19" w16cid:durableId="1401824643">
    <w:abstractNumId w:val="10"/>
  </w:num>
  <w:num w:numId="20" w16cid:durableId="1286498190">
    <w:abstractNumId w:val="17"/>
  </w:num>
  <w:num w:numId="21" w16cid:durableId="63114983">
    <w:abstractNumId w:val="31"/>
  </w:num>
  <w:num w:numId="22" w16cid:durableId="1470630464">
    <w:abstractNumId w:val="8"/>
  </w:num>
  <w:num w:numId="23" w16cid:durableId="1808162708">
    <w:abstractNumId w:val="9"/>
  </w:num>
  <w:num w:numId="24" w16cid:durableId="180315467">
    <w:abstractNumId w:val="11"/>
  </w:num>
  <w:num w:numId="25" w16cid:durableId="915211584">
    <w:abstractNumId w:val="22"/>
  </w:num>
  <w:num w:numId="26" w16cid:durableId="392312395">
    <w:abstractNumId w:val="36"/>
  </w:num>
  <w:num w:numId="27" w16cid:durableId="334186840">
    <w:abstractNumId w:val="7"/>
  </w:num>
  <w:num w:numId="28" w16cid:durableId="1776242244">
    <w:abstractNumId w:val="2"/>
  </w:num>
  <w:num w:numId="29" w16cid:durableId="1301155666">
    <w:abstractNumId w:val="21"/>
  </w:num>
  <w:num w:numId="30" w16cid:durableId="1603689340">
    <w:abstractNumId w:val="13"/>
  </w:num>
  <w:num w:numId="31" w16cid:durableId="1832327574">
    <w:abstractNumId w:val="29"/>
  </w:num>
  <w:num w:numId="32" w16cid:durableId="1185100175">
    <w:abstractNumId w:val="4"/>
  </w:num>
  <w:num w:numId="33" w16cid:durableId="2142192525">
    <w:abstractNumId w:val="33"/>
  </w:num>
  <w:num w:numId="34" w16cid:durableId="1192646618">
    <w:abstractNumId w:val="18"/>
  </w:num>
  <w:num w:numId="35" w16cid:durableId="326985331">
    <w:abstractNumId w:val="24"/>
  </w:num>
  <w:num w:numId="36" w16cid:durableId="681205767">
    <w:abstractNumId w:val="6"/>
  </w:num>
  <w:num w:numId="37" w16cid:durableId="930547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78"/>
    <w:rsid w:val="000667BE"/>
    <w:rsid w:val="000B0E96"/>
    <w:rsid w:val="000C1DDC"/>
    <w:rsid w:val="000C5C92"/>
    <w:rsid w:val="0011127A"/>
    <w:rsid w:val="0019309C"/>
    <w:rsid w:val="001B238A"/>
    <w:rsid w:val="001F6117"/>
    <w:rsid w:val="00205F50"/>
    <w:rsid w:val="002B60AB"/>
    <w:rsid w:val="002F44EB"/>
    <w:rsid w:val="0037637A"/>
    <w:rsid w:val="00376734"/>
    <w:rsid w:val="003D00F5"/>
    <w:rsid w:val="00407466"/>
    <w:rsid w:val="00431BC2"/>
    <w:rsid w:val="00472E92"/>
    <w:rsid w:val="00493FD3"/>
    <w:rsid w:val="00494208"/>
    <w:rsid w:val="00544A5E"/>
    <w:rsid w:val="00573A31"/>
    <w:rsid w:val="005832D0"/>
    <w:rsid w:val="005F5640"/>
    <w:rsid w:val="006112F7"/>
    <w:rsid w:val="006464DC"/>
    <w:rsid w:val="006B4FA9"/>
    <w:rsid w:val="00773C56"/>
    <w:rsid w:val="007E7503"/>
    <w:rsid w:val="0084206A"/>
    <w:rsid w:val="008956DA"/>
    <w:rsid w:val="008B2B14"/>
    <w:rsid w:val="008C35D3"/>
    <w:rsid w:val="009842FF"/>
    <w:rsid w:val="00A53578"/>
    <w:rsid w:val="00A94DFD"/>
    <w:rsid w:val="00AB518A"/>
    <w:rsid w:val="00B06EF7"/>
    <w:rsid w:val="00B07968"/>
    <w:rsid w:val="00B10E38"/>
    <w:rsid w:val="00BB6DF5"/>
    <w:rsid w:val="00C30464"/>
    <w:rsid w:val="00CB392A"/>
    <w:rsid w:val="00D02307"/>
    <w:rsid w:val="00D230F9"/>
    <w:rsid w:val="00D404BA"/>
    <w:rsid w:val="00D50EC2"/>
    <w:rsid w:val="00D519D8"/>
    <w:rsid w:val="00D84488"/>
    <w:rsid w:val="00DB1ACF"/>
    <w:rsid w:val="00E27831"/>
    <w:rsid w:val="00EA26CB"/>
    <w:rsid w:val="00EA5E51"/>
    <w:rsid w:val="00EE713C"/>
    <w:rsid w:val="00F42E4C"/>
    <w:rsid w:val="00FA1FF2"/>
    <w:rsid w:val="00FD15E6"/>
    <w:rsid w:val="00FE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178"/>
  <w15:chartTrackingRefBased/>
  <w15:docId w15:val="{DE93ACF7-CE95-4FCF-9B1F-E39634A2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7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493F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53578"/>
    <w:pPr>
      <w:keepNext/>
      <w:spacing w:before="240" w:after="60"/>
      <w:outlineLvl w:val="1"/>
    </w:pPr>
    <w:rPr>
      <w:rFonts w:ascii="Arial" w:eastAsia="Times New Roman" w:hAnsi="Arial" w:cs="Times New Roman"/>
      <w:b/>
      <w:i/>
      <w:sz w:val="24"/>
      <w:szCs w:val="20"/>
      <w:lang w:val="en-GB" w:eastAsia="it-IT"/>
    </w:rPr>
  </w:style>
  <w:style w:type="paragraph" w:styleId="Heading3">
    <w:name w:val="heading 3"/>
    <w:basedOn w:val="Normal"/>
    <w:next w:val="Normal"/>
    <w:link w:val="Heading3Char"/>
    <w:uiPriority w:val="9"/>
    <w:unhideWhenUsed/>
    <w:qFormat/>
    <w:rsid w:val="00493FD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05F50"/>
    <w:pPr>
      <w:keepNext/>
      <w:keepLines/>
      <w:spacing w:before="200" w:line="276" w:lineRule="auto"/>
      <w:outlineLvl w:val="3"/>
    </w:pPr>
    <w:rPr>
      <w:rFonts w:asciiTheme="majorHAnsi" w:eastAsiaTheme="majorEastAsia" w:hAnsiTheme="majorHAnsi" w:cstheme="majorBidi"/>
      <w:b/>
      <w:bCs/>
      <w:i/>
      <w:iCs/>
      <w:color w:val="5B9BD5" w:themeColor="accent1"/>
      <w14:ligatures w14:val="none"/>
    </w:rPr>
  </w:style>
  <w:style w:type="paragraph" w:styleId="Heading7">
    <w:name w:val="heading 7"/>
    <w:basedOn w:val="Normal"/>
    <w:next w:val="Normal"/>
    <w:link w:val="Heading7Char"/>
    <w:uiPriority w:val="9"/>
    <w:semiHidden/>
    <w:unhideWhenUsed/>
    <w:qFormat/>
    <w:rsid w:val="00205F50"/>
    <w:pPr>
      <w:keepNext/>
      <w:keepLines/>
      <w:spacing w:before="200" w:line="276" w:lineRule="auto"/>
      <w:outlineLvl w:val="6"/>
    </w:pPr>
    <w:rPr>
      <w:rFonts w:asciiTheme="majorHAnsi" w:eastAsiaTheme="majorEastAsia" w:hAnsiTheme="majorHAnsi" w:cstheme="majorBidi"/>
      <w:i/>
      <w:iCs/>
      <w:color w:val="404040" w:themeColor="text1" w:themeTint="B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578"/>
    <w:rPr>
      <w:color w:val="0563C1"/>
      <w:u w:val="single"/>
    </w:rPr>
  </w:style>
  <w:style w:type="paragraph" w:customStyle="1" w:styleId="Text">
    <w:name w:val="Text"/>
    <w:basedOn w:val="Normal"/>
    <w:rsid w:val="00A53578"/>
    <w:pPr>
      <w:spacing w:before="120"/>
      <w:jc w:val="both"/>
    </w:pPr>
    <w:rPr>
      <w:rFonts w:ascii="Times New Roman" w:eastAsia="Times New Roman" w:hAnsi="Times New Roman" w:cs="Times New Roman"/>
      <w:sz w:val="24"/>
      <w:szCs w:val="20"/>
      <w:lang w:eastAsia="it-IT"/>
    </w:rPr>
  </w:style>
  <w:style w:type="character" w:customStyle="1" w:styleId="Heading2Char">
    <w:name w:val="Heading 2 Char"/>
    <w:basedOn w:val="DefaultParagraphFont"/>
    <w:link w:val="Heading2"/>
    <w:rsid w:val="00A53578"/>
    <w:rPr>
      <w:rFonts w:ascii="Arial" w:eastAsia="Times New Roman" w:hAnsi="Arial" w:cs="Times New Roman"/>
      <w:b/>
      <w:i/>
      <w:kern w:val="0"/>
      <w:sz w:val="24"/>
      <w:szCs w:val="20"/>
      <w:lang w:val="en-GB" w:eastAsia="it-IT"/>
    </w:rPr>
  </w:style>
  <w:style w:type="character" w:customStyle="1" w:styleId="Heading1Char">
    <w:name w:val="Heading 1 Char"/>
    <w:basedOn w:val="DefaultParagraphFont"/>
    <w:link w:val="Heading1"/>
    <w:uiPriority w:val="9"/>
    <w:rsid w:val="00493FD3"/>
    <w:rPr>
      <w:rFonts w:asciiTheme="majorHAnsi" w:eastAsiaTheme="majorEastAsia" w:hAnsiTheme="majorHAnsi" w:cstheme="majorBidi"/>
      <w:color w:val="2E74B5" w:themeColor="accent1" w:themeShade="BF"/>
      <w:kern w:val="0"/>
      <w:sz w:val="32"/>
      <w:szCs w:val="32"/>
    </w:rPr>
  </w:style>
  <w:style w:type="paragraph" w:styleId="ListParagraph">
    <w:name w:val="List Paragraph"/>
    <w:basedOn w:val="Normal"/>
    <w:uiPriority w:val="34"/>
    <w:qFormat/>
    <w:rsid w:val="00493FD3"/>
    <w:pPr>
      <w:spacing w:after="200" w:line="276" w:lineRule="auto"/>
      <w:ind w:left="720"/>
      <w:contextualSpacing/>
    </w:pPr>
    <w:rPr>
      <w:rFonts w:asciiTheme="minorHAnsi" w:hAnsiTheme="minorHAnsi" w:cstheme="minorBidi"/>
    </w:rPr>
  </w:style>
  <w:style w:type="character" w:customStyle="1" w:styleId="Heading3Char">
    <w:name w:val="Heading 3 Char"/>
    <w:basedOn w:val="DefaultParagraphFont"/>
    <w:link w:val="Heading3"/>
    <w:uiPriority w:val="9"/>
    <w:rsid w:val="00493FD3"/>
    <w:rPr>
      <w:rFonts w:asciiTheme="majorHAnsi" w:eastAsiaTheme="majorEastAsia" w:hAnsiTheme="majorHAnsi" w:cstheme="majorBidi"/>
      <w:color w:val="1F4D78" w:themeColor="accent1" w:themeShade="7F"/>
      <w:kern w:val="0"/>
      <w:sz w:val="24"/>
      <w:szCs w:val="24"/>
    </w:rPr>
  </w:style>
  <w:style w:type="paragraph" w:customStyle="1" w:styleId="Synopsis">
    <w:name w:val="Synopsis"/>
    <w:rsid w:val="00493FD3"/>
    <w:pPr>
      <w:spacing w:after="0" w:line="240" w:lineRule="auto"/>
      <w:ind w:firstLine="14"/>
    </w:pPr>
    <w:rPr>
      <w:rFonts w:ascii="Times New Roman" w:eastAsia="Times New Roman" w:hAnsi="Times New Roman" w:cs="Times New Roman"/>
      <w:snapToGrid w:val="0"/>
      <w:kern w:val="0"/>
      <w:sz w:val="20"/>
      <w:szCs w:val="20"/>
      <w:lang w:val="en-GB"/>
    </w:rPr>
  </w:style>
  <w:style w:type="paragraph" w:styleId="Revision">
    <w:name w:val="Revision"/>
    <w:hidden/>
    <w:uiPriority w:val="99"/>
    <w:semiHidden/>
    <w:rsid w:val="00D230F9"/>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D519D8"/>
    <w:rPr>
      <w:sz w:val="16"/>
      <w:szCs w:val="16"/>
    </w:rPr>
  </w:style>
  <w:style w:type="paragraph" w:styleId="CommentText">
    <w:name w:val="annotation text"/>
    <w:basedOn w:val="Normal"/>
    <w:link w:val="CommentTextChar"/>
    <w:uiPriority w:val="99"/>
    <w:unhideWhenUsed/>
    <w:rsid w:val="00D519D8"/>
    <w:rPr>
      <w:sz w:val="20"/>
      <w:szCs w:val="20"/>
    </w:rPr>
  </w:style>
  <w:style w:type="character" w:customStyle="1" w:styleId="CommentTextChar">
    <w:name w:val="Comment Text Char"/>
    <w:basedOn w:val="DefaultParagraphFont"/>
    <w:link w:val="CommentText"/>
    <w:uiPriority w:val="99"/>
    <w:rsid w:val="00D519D8"/>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519D8"/>
    <w:rPr>
      <w:b/>
      <w:bCs/>
    </w:rPr>
  </w:style>
  <w:style w:type="character" w:customStyle="1" w:styleId="CommentSubjectChar">
    <w:name w:val="Comment Subject Char"/>
    <w:basedOn w:val="CommentTextChar"/>
    <w:link w:val="CommentSubject"/>
    <w:uiPriority w:val="99"/>
    <w:semiHidden/>
    <w:rsid w:val="00D519D8"/>
    <w:rPr>
      <w:rFonts w:ascii="Calibri" w:hAnsi="Calibri" w:cs="Calibri"/>
      <w:b/>
      <w:bCs/>
      <w:kern w:val="0"/>
      <w:sz w:val="20"/>
      <w:szCs w:val="20"/>
    </w:rPr>
  </w:style>
  <w:style w:type="paragraph" w:styleId="Header">
    <w:name w:val="header"/>
    <w:basedOn w:val="Normal"/>
    <w:link w:val="HeaderChar"/>
    <w:uiPriority w:val="99"/>
    <w:unhideWhenUsed/>
    <w:rsid w:val="00B10E38"/>
    <w:pPr>
      <w:tabs>
        <w:tab w:val="center" w:pos="4680"/>
        <w:tab w:val="right" w:pos="9360"/>
      </w:tabs>
    </w:pPr>
  </w:style>
  <w:style w:type="character" w:customStyle="1" w:styleId="HeaderChar">
    <w:name w:val="Header Char"/>
    <w:basedOn w:val="DefaultParagraphFont"/>
    <w:link w:val="Header"/>
    <w:uiPriority w:val="99"/>
    <w:rsid w:val="00B10E38"/>
    <w:rPr>
      <w:rFonts w:ascii="Calibri" w:hAnsi="Calibri" w:cs="Calibri"/>
      <w:kern w:val="0"/>
    </w:rPr>
  </w:style>
  <w:style w:type="paragraph" w:styleId="Footer">
    <w:name w:val="footer"/>
    <w:basedOn w:val="Normal"/>
    <w:link w:val="FooterChar"/>
    <w:unhideWhenUsed/>
    <w:rsid w:val="00B10E38"/>
    <w:pPr>
      <w:tabs>
        <w:tab w:val="center" w:pos="4680"/>
        <w:tab w:val="right" w:pos="9360"/>
      </w:tabs>
    </w:pPr>
  </w:style>
  <w:style w:type="character" w:customStyle="1" w:styleId="FooterChar">
    <w:name w:val="Footer Char"/>
    <w:basedOn w:val="DefaultParagraphFont"/>
    <w:link w:val="Footer"/>
    <w:uiPriority w:val="99"/>
    <w:rsid w:val="00B10E38"/>
    <w:rPr>
      <w:rFonts w:ascii="Calibri" w:hAnsi="Calibri" w:cs="Calibri"/>
      <w:kern w:val="0"/>
    </w:rPr>
  </w:style>
  <w:style w:type="paragraph" w:customStyle="1" w:styleId="EndNoteBibliography">
    <w:name w:val="EndNote Bibliography"/>
    <w:basedOn w:val="Normal"/>
    <w:link w:val="EndNoteBibliographyChar"/>
    <w:rsid w:val="00C30464"/>
    <w:pPr>
      <w:spacing w:after="200"/>
    </w:pPr>
    <w:rPr>
      <w:noProof/>
      <w14:ligatures w14:val="none"/>
    </w:rPr>
  </w:style>
  <w:style w:type="character" w:customStyle="1" w:styleId="EndNoteBibliographyChar">
    <w:name w:val="EndNote Bibliography Char"/>
    <w:basedOn w:val="DefaultParagraphFont"/>
    <w:link w:val="EndNoteBibliography"/>
    <w:rsid w:val="00C30464"/>
    <w:rPr>
      <w:rFonts w:ascii="Calibri" w:hAnsi="Calibri" w:cs="Calibri"/>
      <w:noProof/>
      <w:kern w:val="0"/>
      <w14:ligatures w14:val="none"/>
    </w:rPr>
  </w:style>
  <w:style w:type="character" w:customStyle="1" w:styleId="Heading4Char">
    <w:name w:val="Heading 4 Char"/>
    <w:basedOn w:val="DefaultParagraphFont"/>
    <w:link w:val="Heading4"/>
    <w:uiPriority w:val="9"/>
    <w:semiHidden/>
    <w:rsid w:val="00205F50"/>
    <w:rPr>
      <w:rFonts w:asciiTheme="majorHAnsi" w:eastAsiaTheme="majorEastAsia" w:hAnsiTheme="majorHAnsi" w:cstheme="majorBidi"/>
      <w:b/>
      <w:bCs/>
      <w:i/>
      <w:iCs/>
      <w:color w:val="5B9BD5" w:themeColor="accent1"/>
      <w:kern w:val="0"/>
      <w14:ligatures w14:val="none"/>
    </w:rPr>
  </w:style>
  <w:style w:type="character" w:customStyle="1" w:styleId="Heading7Char">
    <w:name w:val="Heading 7 Char"/>
    <w:basedOn w:val="DefaultParagraphFont"/>
    <w:link w:val="Heading7"/>
    <w:uiPriority w:val="9"/>
    <w:semiHidden/>
    <w:rsid w:val="00205F50"/>
    <w:rPr>
      <w:rFonts w:asciiTheme="majorHAnsi" w:eastAsiaTheme="majorEastAsia" w:hAnsiTheme="majorHAnsi" w:cstheme="majorBidi"/>
      <w:i/>
      <w:iCs/>
      <w:color w:val="404040" w:themeColor="text1" w:themeTint="BF"/>
      <w:kern w:val="0"/>
      <w14:ligatures w14:val="none"/>
    </w:rPr>
  </w:style>
  <w:style w:type="paragraph" w:styleId="Caption">
    <w:name w:val="caption"/>
    <w:basedOn w:val="Normal"/>
    <w:next w:val="Normal"/>
    <w:qFormat/>
    <w:rsid w:val="00205F50"/>
    <w:pPr>
      <w:spacing w:before="120" w:after="120"/>
    </w:pPr>
    <w:rPr>
      <w:rFonts w:ascii="Times New Roman" w:eastAsia="Times New Roman" w:hAnsi="Times New Roman" w:cs="Times New Roman"/>
      <w:b/>
      <w:sz w:val="20"/>
      <w:szCs w:val="20"/>
      <w:lang w:val="en-GB" w:eastAsia="it-IT"/>
      <w14:ligatures w14:val="none"/>
    </w:rPr>
  </w:style>
  <w:style w:type="paragraph" w:customStyle="1" w:styleId="Tabletext">
    <w:name w:val="Tabletext"/>
    <w:basedOn w:val="Normal"/>
    <w:rsid w:val="00205F50"/>
    <w:pPr>
      <w:widowControl w:val="0"/>
      <w:spacing w:before="40" w:after="40"/>
      <w:jc w:val="both"/>
    </w:pPr>
    <w:rPr>
      <w:rFonts w:ascii="Times New Roman" w:eastAsia="Times New Roman" w:hAnsi="Times New Roman" w:cs="Times New Roman"/>
      <w:snapToGrid w:val="0"/>
      <w:sz w:val="20"/>
      <w:szCs w:val="20"/>
      <w14:ligatures w14:val="none"/>
    </w:rPr>
  </w:style>
  <w:style w:type="paragraph" w:styleId="BalloonText">
    <w:name w:val="Balloon Text"/>
    <w:basedOn w:val="Normal"/>
    <w:link w:val="BalloonTextChar"/>
    <w:uiPriority w:val="99"/>
    <w:semiHidden/>
    <w:unhideWhenUsed/>
    <w:rsid w:val="00205F50"/>
    <w:rPr>
      <w:rFonts w:ascii="Tahoma" w:hAnsi="Tahoma" w:cs="Tahoma"/>
      <w:sz w:val="16"/>
      <w:szCs w:val="16"/>
      <w14:ligatures w14:val="none"/>
    </w:rPr>
  </w:style>
  <w:style w:type="character" w:customStyle="1" w:styleId="BalloonTextChar">
    <w:name w:val="Balloon Text Char"/>
    <w:basedOn w:val="DefaultParagraphFont"/>
    <w:link w:val="BalloonText"/>
    <w:uiPriority w:val="99"/>
    <w:semiHidden/>
    <w:rsid w:val="00205F50"/>
    <w:rPr>
      <w:rFonts w:ascii="Tahoma" w:hAnsi="Tahoma" w:cs="Tahoma"/>
      <w:kern w:val="0"/>
      <w:sz w:val="16"/>
      <w:szCs w:val="16"/>
      <w14:ligatures w14:val="none"/>
    </w:rPr>
  </w:style>
  <w:style w:type="paragraph" w:styleId="TOCHeading">
    <w:name w:val="TOC Heading"/>
    <w:basedOn w:val="Heading1"/>
    <w:next w:val="Normal"/>
    <w:uiPriority w:val="39"/>
    <w:unhideWhenUsed/>
    <w:qFormat/>
    <w:rsid w:val="00205F50"/>
    <w:pPr>
      <w:spacing w:line="259" w:lineRule="auto"/>
      <w:outlineLvl w:val="9"/>
    </w:pPr>
    <w:rPr>
      <w14:ligatures w14:val="none"/>
    </w:rPr>
  </w:style>
  <w:style w:type="paragraph" w:styleId="TOC2">
    <w:name w:val="toc 2"/>
    <w:basedOn w:val="Normal"/>
    <w:next w:val="Normal"/>
    <w:autoRedefine/>
    <w:uiPriority w:val="39"/>
    <w:unhideWhenUsed/>
    <w:rsid w:val="00205F50"/>
    <w:pPr>
      <w:spacing w:after="100" w:line="259" w:lineRule="auto"/>
      <w:ind w:left="220"/>
    </w:pPr>
    <w:rPr>
      <w:rFonts w:asciiTheme="minorHAnsi" w:eastAsiaTheme="minorEastAsia" w:hAnsiTheme="minorHAnsi" w:cs="Times New Roman"/>
      <w14:ligatures w14:val="none"/>
    </w:rPr>
  </w:style>
  <w:style w:type="paragraph" w:styleId="TOC1">
    <w:name w:val="toc 1"/>
    <w:basedOn w:val="Normal"/>
    <w:next w:val="Normal"/>
    <w:autoRedefine/>
    <w:uiPriority w:val="39"/>
    <w:unhideWhenUsed/>
    <w:rsid w:val="00205F50"/>
    <w:pPr>
      <w:spacing w:after="100" w:line="259" w:lineRule="auto"/>
    </w:pPr>
    <w:rPr>
      <w:rFonts w:asciiTheme="minorHAnsi" w:eastAsiaTheme="minorEastAsia" w:hAnsiTheme="minorHAnsi" w:cs="Times New Roman"/>
      <w14:ligatures w14:val="none"/>
    </w:rPr>
  </w:style>
  <w:style w:type="paragraph" w:styleId="TOC3">
    <w:name w:val="toc 3"/>
    <w:basedOn w:val="Normal"/>
    <w:next w:val="Normal"/>
    <w:autoRedefine/>
    <w:uiPriority w:val="39"/>
    <w:unhideWhenUsed/>
    <w:rsid w:val="00205F50"/>
    <w:pPr>
      <w:spacing w:after="100" w:line="259" w:lineRule="auto"/>
      <w:ind w:left="440"/>
    </w:pPr>
    <w:rPr>
      <w:rFonts w:asciiTheme="minorHAnsi" w:eastAsiaTheme="minorEastAsia" w:hAnsiTheme="minorHAnsi" w:cs="Times New Roman"/>
      <w14:ligatures w14:val="none"/>
    </w:rPr>
  </w:style>
  <w:style w:type="paragraph" w:styleId="BodyTextIndent">
    <w:name w:val="Body Text Indent"/>
    <w:basedOn w:val="Normal"/>
    <w:link w:val="BodyTextIndentChar"/>
    <w:uiPriority w:val="99"/>
    <w:rsid w:val="00205F50"/>
    <w:pPr>
      <w:ind w:left="907"/>
      <w:jc w:val="both"/>
    </w:pPr>
    <w:rPr>
      <w:rFonts w:ascii="Times New Roman" w:eastAsia="Times New Roman" w:hAnsi="Times New Roman" w:cs="Times New Roman"/>
      <w:sz w:val="20"/>
      <w:szCs w:val="20"/>
      <w14:ligatures w14:val="none"/>
    </w:rPr>
  </w:style>
  <w:style w:type="character" w:customStyle="1" w:styleId="BodyTextIndentChar">
    <w:name w:val="Body Text Indent Char"/>
    <w:basedOn w:val="DefaultParagraphFont"/>
    <w:link w:val="BodyTextIndent"/>
    <w:uiPriority w:val="99"/>
    <w:rsid w:val="00205F50"/>
    <w:rPr>
      <w:rFonts w:ascii="Times New Roman" w:eastAsia="Times New Roman" w:hAnsi="Times New Roman" w:cs="Times New Roman"/>
      <w:kern w:val="0"/>
      <w:sz w:val="20"/>
      <w:szCs w:val="20"/>
      <w14:ligatures w14:val="none"/>
    </w:rPr>
  </w:style>
  <w:style w:type="paragraph" w:customStyle="1" w:styleId="BodyText15SChar">
    <w:name w:val="Body Text 1.5S Char"/>
    <w:basedOn w:val="Normal"/>
    <w:uiPriority w:val="99"/>
    <w:rsid w:val="00205F50"/>
    <w:pPr>
      <w:spacing w:before="120" w:after="120" w:line="360" w:lineRule="auto"/>
    </w:pPr>
    <w:rPr>
      <w:rFonts w:ascii="Times New Roman" w:eastAsia="Times New Roman" w:hAnsi="Times New Roman" w:cs="Times New Roman"/>
      <w:sz w:val="24"/>
      <w:szCs w:val="20"/>
      <w14:ligatures w14:val="none"/>
    </w:rPr>
  </w:style>
  <w:style w:type="character" w:customStyle="1" w:styleId="BodyText2Char">
    <w:name w:val="Body Text 2 Char"/>
    <w:basedOn w:val="DefaultParagraphFont"/>
    <w:link w:val="BodyText2"/>
    <w:uiPriority w:val="99"/>
    <w:rsid w:val="00205F50"/>
  </w:style>
  <w:style w:type="paragraph" w:styleId="BodyText2">
    <w:name w:val="Body Text 2"/>
    <w:basedOn w:val="Normal"/>
    <w:link w:val="BodyText2Char"/>
    <w:uiPriority w:val="99"/>
    <w:unhideWhenUsed/>
    <w:rsid w:val="00205F50"/>
    <w:pPr>
      <w:spacing w:after="120" w:line="480" w:lineRule="auto"/>
    </w:pPr>
    <w:rPr>
      <w:rFonts w:asciiTheme="minorHAnsi" w:hAnsiTheme="minorHAnsi" w:cstheme="minorBidi"/>
      <w:kern w:val="2"/>
    </w:rPr>
  </w:style>
  <w:style w:type="character" w:customStyle="1" w:styleId="BodyText2Char1">
    <w:name w:val="Body Text 2 Char1"/>
    <w:basedOn w:val="DefaultParagraphFont"/>
    <w:uiPriority w:val="99"/>
    <w:semiHidden/>
    <w:rsid w:val="00205F50"/>
    <w:rPr>
      <w:rFonts w:ascii="Calibri" w:hAnsi="Calibri" w:cs="Calibri"/>
      <w:kern w:val="0"/>
    </w:rPr>
  </w:style>
  <w:style w:type="table" w:styleId="TableGrid">
    <w:name w:val="Table Grid"/>
    <w:basedOn w:val="TableNormal"/>
    <w:uiPriority w:val="59"/>
    <w:rsid w:val="00205F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05F50"/>
    <w:pPr>
      <w:spacing w:line="276" w:lineRule="auto"/>
      <w:jc w:val="center"/>
    </w:pPr>
    <w:rPr>
      <w:noProof/>
      <w14:ligatures w14:val="none"/>
    </w:rPr>
  </w:style>
  <w:style w:type="character" w:customStyle="1" w:styleId="EndNoteBibliographyTitleChar">
    <w:name w:val="EndNote Bibliography Title Char"/>
    <w:basedOn w:val="DefaultParagraphFont"/>
    <w:link w:val="EndNoteBibliographyTitle"/>
    <w:rsid w:val="00205F50"/>
    <w:rPr>
      <w:rFonts w:ascii="Calibri" w:hAnsi="Calibri" w:cs="Calibri"/>
      <w:noProof/>
      <w:kern w:val="0"/>
      <w14:ligatures w14:val="none"/>
    </w:rPr>
  </w:style>
  <w:style w:type="paragraph" w:customStyle="1" w:styleId="gmail-p1">
    <w:name w:val="gmail-p1"/>
    <w:basedOn w:val="Normal"/>
    <w:rsid w:val="00205F50"/>
    <w:pPr>
      <w:spacing w:before="100" w:beforeAutospacing="1" w:after="100" w:afterAutospacing="1"/>
    </w:pPr>
    <w:rPr>
      <w:rFonts w:ascii="Times New Roman" w:hAnsi="Times New Roman" w:cs="Times New Roman"/>
      <w:sz w:val="24"/>
      <w:szCs w:val="24"/>
      <w14:ligatures w14:val="none"/>
    </w:rPr>
  </w:style>
  <w:style w:type="paragraph" w:styleId="NormalWeb">
    <w:name w:val="Normal (Web)"/>
    <w:basedOn w:val="Normal"/>
    <w:uiPriority w:val="99"/>
    <w:semiHidden/>
    <w:unhideWhenUsed/>
    <w:rsid w:val="00205F50"/>
    <w:rPr>
      <w:rFonts w:ascii="Times New Roman" w:hAnsi="Times New Roman" w:cs="Times New Roman"/>
      <w:sz w:val="24"/>
      <w:szCs w:val="24"/>
      <w14:ligatures w14:val="none"/>
    </w:rPr>
  </w:style>
  <w:style w:type="character" w:customStyle="1" w:styleId="apple-converted-space">
    <w:name w:val="apple-converted-space"/>
    <w:basedOn w:val="DefaultParagraphFont"/>
    <w:rsid w:val="00205F50"/>
  </w:style>
  <w:style w:type="character" w:styleId="FollowedHyperlink">
    <w:name w:val="FollowedHyperlink"/>
    <w:basedOn w:val="DefaultParagraphFont"/>
    <w:uiPriority w:val="99"/>
    <w:semiHidden/>
    <w:unhideWhenUsed/>
    <w:rsid w:val="00205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ahrig@iu.edu" TargetMode="External"/><Relationship Id="rId13" Type="http://schemas.openxmlformats.org/officeDocument/2006/relationships/image" Target="media/image2.jpg"/><Relationship Id="rId18" Type="http://schemas.openxmlformats.org/officeDocument/2006/relationships/hyperlink" Target="mailto:yaya_chu@nymc.edu" TargetMode="External"/><Relationship Id="rId26" Type="http://schemas.openxmlformats.org/officeDocument/2006/relationships/hyperlink" Target="mailto:Kpalen@mcw.edu" TargetMode="External"/><Relationship Id="rId3" Type="http://schemas.openxmlformats.org/officeDocument/2006/relationships/styles" Target="styles.xml"/><Relationship Id="rId21" Type="http://schemas.openxmlformats.org/officeDocument/2006/relationships/hyperlink" Target="mailto:Kpalen@mcw.edu"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yaya_chu@nymc.edu"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Robin.Nakkula@nationwidechildrens.org" TargetMode="External"/><Relationship Id="rId20" Type="http://schemas.openxmlformats.org/officeDocument/2006/relationships/hyperlink" Target="mailto:vellal@email.chop.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1&amp;SID=fcc5180f537827131e00724c65272823&amp;h=L&amp;mc=true&amp;n=sp21.8.1271.c&amp;r=SUBPART&amp;ty=HTML"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laine.mardis@nationwidechildrens.org"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www.ecfr.gov/cgi-bin/retrieveECFR?gp=1&amp;SID=fcc5180f537827131e00724c65272823&amp;h=L&amp;mc=true&amp;n=sp21.8.1271.c&amp;r=SUBPART&amp;ty=HTML" TargetMode="External"/><Relationship Id="rId19" Type="http://schemas.openxmlformats.org/officeDocument/2006/relationships/hyperlink" Target="mailto:412-848-7461" TargetMode="External"/><Relationship Id="rId4" Type="http://schemas.openxmlformats.org/officeDocument/2006/relationships/settings" Target="settings.xml"/><Relationship Id="rId9" Type="http://schemas.openxmlformats.org/officeDocument/2006/relationships/hyperlink" Target="http://www.ecfr.gov/cgi-bin/retrieveECFR?gp=1&amp;SID=fcc5180f537827131e00724c65272823&amp;h=L&amp;mc=true&amp;n=sp21.8.1271.c&amp;r=SUBPART&amp;ty=HTML" TargetMode="External"/><Relationship Id="rId14" Type="http://schemas.openxmlformats.org/officeDocument/2006/relationships/hyperlink" Target="mailto:elaine.mardis@nationwidechildrens.org" TargetMode="External"/><Relationship Id="rId22" Type="http://schemas.openxmlformats.org/officeDocument/2006/relationships/hyperlink" Target="mailto:james.weber@froedtert.com" TargetMode="External"/><Relationship Id="rId27" Type="http://schemas.openxmlformats.org/officeDocument/2006/relationships/hyperlink" Target="mailto:james.weber@froedter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1871-A386-4D6D-8A08-C4CBA56F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17655</Words>
  <Characters>100639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118058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Rahrig, April Leigh</dc:creator>
  <cp:keywords/>
  <dc:description/>
  <cp:lastModifiedBy>Alvarado, Melissa</cp:lastModifiedBy>
  <cp:revision>2</cp:revision>
  <dcterms:created xsi:type="dcterms:W3CDTF">2023-12-07T13:10:00Z</dcterms:created>
  <dcterms:modified xsi:type="dcterms:W3CDTF">2023-12-07T13:10:00Z</dcterms:modified>
</cp:coreProperties>
</file>