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93021" w14:textId="20E8BD7A" w:rsidR="00617425" w:rsidRPr="00617425" w:rsidRDefault="00617425" w:rsidP="00617425">
      <w:pPr>
        <w:spacing w:after="0" w:line="240" w:lineRule="auto"/>
        <w:jc w:val="center"/>
        <w:rPr>
          <w:rFonts w:ascii="Arial" w:hAnsi="Arial" w:cs="Arial"/>
          <w:b/>
          <w:bCs/>
        </w:rPr>
      </w:pPr>
      <w:r w:rsidRPr="00617425">
        <w:rPr>
          <w:rFonts w:ascii="Arial" w:hAnsi="Arial" w:cs="Arial"/>
          <w:b/>
          <w:bCs/>
        </w:rPr>
        <w:t xml:space="preserve">Single patient compassionate use of alpha-beta T Cell </w:t>
      </w:r>
      <w:r w:rsidR="00286085">
        <w:rPr>
          <w:rFonts w:ascii="Arial" w:hAnsi="Arial" w:cs="Arial"/>
          <w:b/>
          <w:bCs/>
        </w:rPr>
        <w:t>and</w:t>
      </w:r>
      <w:r w:rsidRPr="00617425">
        <w:rPr>
          <w:rFonts w:ascii="Arial" w:hAnsi="Arial" w:cs="Arial"/>
          <w:b/>
          <w:bCs/>
        </w:rPr>
        <w:t xml:space="preserve"> CD19</w:t>
      </w:r>
      <w:r w:rsidR="00286085">
        <w:rPr>
          <w:rFonts w:ascii="Arial" w:hAnsi="Arial" w:cs="Arial"/>
          <w:b/>
          <w:bCs/>
        </w:rPr>
        <w:t xml:space="preserve"> B Cell</w:t>
      </w:r>
      <w:r w:rsidRPr="00617425">
        <w:rPr>
          <w:rFonts w:ascii="Arial" w:hAnsi="Arial" w:cs="Arial"/>
          <w:b/>
          <w:bCs/>
        </w:rPr>
        <w:t xml:space="preserve"> depletion of peripheral blood stem cell graft </w:t>
      </w:r>
    </w:p>
    <w:p w14:paraId="69B9CA44" w14:textId="77777777" w:rsidR="00617425" w:rsidRPr="00617425" w:rsidRDefault="00617425" w:rsidP="00617425">
      <w:pPr>
        <w:spacing w:after="0" w:line="240" w:lineRule="auto"/>
        <w:jc w:val="center"/>
        <w:rPr>
          <w:rFonts w:ascii="Arial" w:hAnsi="Arial" w:cs="Arial"/>
          <w:b/>
          <w:bCs/>
        </w:rPr>
      </w:pPr>
    </w:p>
    <w:p w14:paraId="219CB66D" w14:textId="77777777" w:rsidR="00617425" w:rsidRPr="00617425" w:rsidRDefault="00617425" w:rsidP="00617425">
      <w:pPr>
        <w:spacing w:after="0" w:line="240" w:lineRule="auto"/>
        <w:rPr>
          <w:rFonts w:ascii="Arial" w:hAnsi="Arial" w:cs="Arial"/>
        </w:rPr>
      </w:pPr>
      <w:r w:rsidRPr="00617425">
        <w:rPr>
          <w:rFonts w:ascii="Arial" w:hAnsi="Arial" w:cs="Arial"/>
          <w:b/>
          <w:bCs/>
        </w:rPr>
        <w:t>Institution name</w:t>
      </w:r>
      <w:r w:rsidRPr="00617425">
        <w:rPr>
          <w:rFonts w:ascii="Arial" w:hAnsi="Arial" w:cs="Arial"/>
        </w:rPr>
        <w:t>: Riley Hospital for Children – Indiana University</w:t>
      </w:r>
    </w:p>
    <w:p w14:paraId="140F34CA" w14:textId="77777777" w:rsidR="00617425" w:rsidRPr="00617425" w:rsidRDefault="00617425" w:rsidP="00617425">
      <w:pPr>
        <w:spacing w:after="0" w:line="240" w:lineRule="auto"/>
        <w:rPr>
          <w:rFonts w:ascii="Arial" w:hAnsi="Arial" w:cs="Arial"/>
        </w:rPr>
      </w:pPr>
      <w:r w:rsidRPr="00617425">
        <w:rPr>
          <w:rFonts w:ascii="Arial" w:hAnsi="Arial" w:cs="Arial"/>
          <w:b/>
          <w:bCs/>
        </w:rPr>
        <w:t>Sponsor:</w:t>
      </w:r>
      <w:r w:rsidRPr="00617425">
        <w:rPr>
          <w:rFonts w:ascii="Arial" w:hAnsi="Arial" w:cs="Arial"/>
        </w:rPr>
        <w:t xml:space="preserve"> April Rahrig, DO</w:t>
      </w:r>
    </w:p>
    <w:p w14:paraId="2668DDE9" w14:textId="77777777" w:rsidR="00617425" w:rsidRPr="00617425" w:rsidRDefault="00617425" w:rsidP="00617425">
      <w:pPr>
        <w:spacing w:after="0" w:line="240" w:lineRule="auto"/>
        <w:rPr>
          <w:rFonts w:ascii="Arial" w:hAnsi="Arial" w:cs="Arial"/>
        </w:rPr>
      </w:pPr>
      <w:r w:rsidRPr="00617425">
        <w:rPr>
          <w:rFonts w:ascii="Arial" w:hAnsi="Arial" w:cs="Arial"/>
        </w:rPr>
        <w:t>Riley Hospital for Children</w:t>
      </w:r>
    </w:p>
    <w:p w14:paraId="2015F3C9" w14:textId="77777777" w:rsidR="00617425" w:rsidRPr="00617425" w:rsidRDefault="00617425" w:rsidP="00617425">
      <w:pPr>
        <w:spacing w:after="0" w:line="240" w:lineRule="auto"/>
        <w:rPr>
          <w:rFonts w:ascii="Arial" w:hAnsi="Arial" w:cs="Arial"/>
        </w:rPr>
      </w:pPr>
      <w:r w:rsidRPr="00617425">
        <w:rPr>
          <w:rFonts w:ascii="Arial" w:hAnsi="Arial" w:cs="Arial"/>
        </w:rPr>
        <w:t xml:space="preserve">705 Riley Hospital Dr., Rm. 4340 </w:t>
      </w:r>
    </w:p>
    <w:p w14:paraId="05362C15" w14:textId="77777777" w:rsidR="00617425" w:rsidRPr="00617425" w:rsidRDefault="00617425" w:rsidP="00617425">
      <w:pPr>
        <w:spacing w:after="0" w:line="240" w:lineRule="auto"/>
        <w:rPr>
          <w:rFonts w:ascii="Arial" w:hAnsi="Arial" w:cs="Arial"/>
        </w:rPr>
      </w:pPr>
      <w:r w:rsidRPr="00617425">
        <w:rPr>
          <w:rFonts w:ascii="Arial" w:hAnsi="Arial" w:cs="Arial"/>
        </w:rPr>
        <w:t>Indianapolis, IN 46202</w:t>
      </w:r>
    </w:p>
    <w:p w14:paraId="0A45CEBD" w14:textId="77777777" w:rsidR="00617425" w:rsidRPr="00617425" w:rsidRDefault="00617425" w:rsidP="00617425">
      <w:pPr>
        <w:spacing w:after="0" w:line="240" w:lineRule="auto"/>
        <w:rPr>
          <w:rFonts w:ascii="Arial" w:hAnsi="Arial" w:cs="Arial"/>
        </w:rPr>
      </w:pPr>
      <w:r w:rsidRPr="00617425">
        <w:rPr>
          <w:rFonts w:ascii="Arial" w:hAnsi="Arial" w:cs="Arial"/>
        </w:rPr>
        <w:t xml:space="preserve">Phone: (317) 278-3014 </w:t>
      </w:r>
    </w:p>
    <w:p w14:paraId="3318E979" w14:textId="77777777" w:rsidR="00617425" w:rsidRPr="00617425" w:rsidRDefault="00617425" w:rsidP="00617425">
      <w:pPr>
        <w:spacing w:after="0" w:line="240" w:lineRule="auto"/>
        <w:rPr>
          <w:rFonts w:ascii="Arial" w:hAnsi="Arial" w:cs="Arial"/>
        </w:rPr>
      </w:pPr>
      <w:r w:rsidRPr="00617425">
        <w:rPr>
          <w:rFonts w:ascii="Arial" w:hAnsi="Arial" w:cs="Arial"/>
        </w:rPr>
        <w:t xml:space="preserve">Email: </w:t>
      </w:r>
      <w:hyperlink r:id="rId8" w:history="1">
        <w:r w:rsidRPr="00617425">
          <w:rPr>
            <w:rStyle w:val="Hyperlink"/>
            <w:rFonts w:ascii="Arial" w:hAnsi="Arial" w:cs="Arial"/>
          </w:rPr>
          <w:t>alrahrig@iu.edu</w:t>
        </w:r>
      </w:hyperlink>
    </w:p>
    <w:p w14:paraId="42E68C2F" w14:textId="77777777" w:rsidR="00617425" w:rsidRDefault="00617425" w:rsidP="00617425">
      <w:pPr>
        <w:rPr>
          <w:b/>
          <w:bCs/>
        </w:rPr>
      </w:pPr>
    </w:p>
    <w:p w14:paraId="2E08F986" w14:textId="09701B92" w:rsidR="00617425" w:rsidRPr="00617425" w:rsidRDefault="00617425" w:rsidP="00617425">
      <w:pPr>
        <w:pStyle w:val="ListParagraph"/>
        <w:numPr>
          <w:ilvl w:val="0"/>
          <w:numId w:val="1"/>
        </w:numPr>
        <w:rPr>
          <w:b/>
          <w:bCs/>
        </w:rPr>
      </w:pPr>
      <w:r w:rsidRPr="00617425">
        <w:rPr>
          <w:b/>
          <w:bCs/>
        </w:rPr>
        <w:t>Brief Clinical History and Rationale for Use in this patient</w:t>
      </w:r>
    </w:p>
    <w:p w14:paraId="1CA1E237" w14:textId="49B66900" w:rsidR="00617425" w:rsidRDefault="00617425" w:rsidP="00617425">
      <w:pPr>
        <w:pStyle w:val="ListParagraph"/>
        <w:numPr>
          <w:ilvl w:val="1"/>
          <w:numId w:val="1"/>
        </w:numPr>
        <w:rPr>
          <w:b/>
          <w:bCs/>
        </w:rPr>
      </w:pPr>
      <w:r>
        <w:rPr>
          <w:b/>
          <w:bCs/>
        </w:rPr>
        <w:t>Patient information</w:t>
      </w:r>
    </w:p>
    <w:p w14:paraId="36295B19" w14:textId="63080A51" w:rsidR="00D44EFE" w:rsidRDefault="00D44EFE" w:rsidP="00D44EFE">
      <w:pPr>
        <w:pStyle w:val="ListParagraph"/>
        <w:ind w:left="1095"/>
      </w:pPr>
      <w:r>
        <w:t xml:space="preserve">Age: </w:t>
      </w:r>
      <w:r w:rsidR="0041799F">
        <w:t>5 years old</w:t>
      </w:r>
    </w:p>
    <w:p w14:paraId="686756CE" w14:textId="4F2B7862" w:rsidR="00D44EFE" w:rsidRDefault="00D44EFE" w:rsidP="00D44EFE">
      <w:pPr>
        <w:pStyle w:val="ListParagraph"/>
        <w:ind w:left="1095"/>
      </w:pPr>
      <w:r>
        <w:t>Gender:</w:t>
      </w:r>
      <w:r w:rsidR="0041799F">
        <w:t xml:space="preserve"> female </w:t>
      </w:r>
    </w:p>
    <w:p w14:paraId="7514DDF2" w14:textId="7FB300E2" w:rsidR="00D44EFE" w:rsidRDefault="00D44EFE" w:rsidP="00D44EFE">
      <w:pPr>
        <w:pStyle w:val="ListParagraph"/>
        <w:ind w:left="1095"/>
      </w:pPr>
      <w:r>
        <w:t xml:space="preserve">Weight: </w:t>
      </w:r>
      <w:r w:rsidR="0041799F">
        <w:t xml:space="preserve">22.6kg </w:t>
      </w:r>
    </w:p>
    <w:p w14:paraId="439CC094" w14:textId="732F1893" w:rsidR="00D44EFE" w:rsidRPr="00D44EFE" w:rsidRDefault="00D44EFE" w:rsidP="00D44EFE">
      <w:pPr>
        <w:pStyle w:val="ListParagraph"/>
        <w:ind w:left="1095"/>
      </w:pPr>
      <w:r>
        <w:t xml:space="preserve">Diagnosis: </w:t>
      </w:r>
      <w:r w:rsidR="00517CA0">
        <w:t xml:space="preserve">Relapsed Juvenile </w:t>
      </w:r>
      <w:r w:rsidR="00C51FC9">
        <w:t>M</w:t>
      </w:r>
      <w:r w:rsidR="00517CA0">
        <w:t xml:space="preserve">yelomonocytic </w:t>
      </w:r>
      <w:r w:rsidR="00C51FC9">
        <w:t>L</w:t>
      </w:r>
      <w:r w:rsidR="00517CA0">
        <w:t xml:space="preserve">eukemia </w:t>
      </w:r>
      <w:r w:rsidR="00C51FC9">
        <w:t>(JMML) after stem cell transplant</w:t>
      </w:r>
    </w:p>
    <w:p w14:paraId="6CB6B53A" w14:textId="1BB9BFEC" w:rsidR="00330F52" w:rsidRPr="00330F52" w:rsidRDefault="00617425" w:rsidP="00330F52">
      <w:pPr>
        <w:pStyle w:val="ListParagraph"/>
        <w:numPr>
          <w:ilvl w:val="1"/>
          <w:numId w:val="1"/>
        </w:numPr>
        <w:rPr>
          <w:b/>
          <w:bCs/>
        </w:rPr>
      </w:pPr>
      <w:r>
        <w:rPr>
          <w:b/>
          <w:bCs/>
        </w:rPr>
        <w:t xml:space="preserve">Clinical history and reasoning for alpha-beta T Cell </w:t>
      </w:r>
      <w:r w:rsidR="003E6446">
        <w:rPr>
          <w:b/>
          <w:bCs/>
        </w:rPr>
        <w:t>and</w:t>
      </w:r>
      <w:r>
        <w:rPr>
          <w:b/>
          <w:bCs/>
        </w:rPr>
        <w:t>CD19</w:t>
      </w:r>
      <w:r w:rsidR="003E6446">
        <w:rPr>
          <w:b/>
          <w:bCs/>
        </w:rPr>
        <w:t xml:space="preserve"> B Cells</w:t>
      </w:r>
      <w:r>
        <w:rPr>
          <w:b/>
          <w:bCs/>
        </w:rPr>
        <w:t xml:space="preserve"> depletion of peripheral blood stem cell graft </w:t>
      </w:r>
    </w:p>
    <w:p w14:paraId="4998D30A" w14:textId="791CF710" w:rsidR="00C51FC9" w:rsidRDefault="00C51FC9" w:rsidP="00C51FC9">
      <w:pPr>
        <w:pStyle w:val="ListParagraph"/>
        <w:ind w:left="1095"/>
      </w:pPr>
      <w:r>
        <w:t>This patient is a 5 year old with a history of very high risk JMML diagnosed in November 2023</w:t>
      </w:r>
      <w:r w:rsidR="00863414">
        <w:t>. Her JMML was very high risk due to her age, presentation and the multiple genetic mutations present in her leukemia cells (PTPN11, NF1, NRAS and KRAS)</w:t>
      </w:r>
      <w:r>
        <w:t xml:space="preserve">. She received a stem cell transplant from a matched unrelated donor with a Busulfan, Cyclophosphamide, Melphalan, Anti-thymocyte globulin myeloablative preparative regimen in March 2024. She did well after stem cell transplant without any major toxicities other than </w:t>
      </w:r>
      <w:r w:rsidR="00863414">
        <w:t xml:space="preserve">mild veno-occlusive disease. </w:t>
      </w:r>
      <w:r>
        <w:t xml:space="preserve">She went into remission after stem cell transplant, but unfortunately six months after stem cell transplant her bone marrow revealed relapsed JMML. </w:t>
      </w:r>
    </w:p>
    <w:p w14:paraId="2A4A27D6" w14:textId="77777777" w:rsidR="00C51FC9" w:rsidRDefault="00C51FC9" w:rsidP="00C51FC9">
      <w:pPr>
        <w:pStyle w:val="ListParagraph"/>
        <w:ind w:left="1095"/>
      </w:pPr>
    </w:p>
    <w:p w14:paraId="735F8C85" w14:textId="5A114D47" w:rsidR="00913A2D" w:rsidRDefault="00C51FC9" w:rsidP="00C51FC9">
      <w:pPr>
        <w:pStyle w:val="ListParagraph"/>
        <w:ind w:left="1095"/>
      </w:pPr>
      <w:r>
        <w:t xml:space="preserve">She is currently receiving bridging chemotherapy with her oncologist to decrease her leukemia burden prior to stem cell transplant. The only curative therapy for relapsed JMML after allogenic stem cell transplant is a second stem cell transplant. </w:t>
      </w:r>
      <w:r w:rsidR="00863414">
        <w:t xml:space="preserve">Second allogenic stem cell transplant has resulted in outcomes similar to that of the first stem cell transplants in patients with JMML and is the best chance this patient has at a cure of her leukemia (1,2). It has been shown in prior studies the graft versus host disease, and therefore graft versus leukemia is an important way in which </w:t>
      </w:r>
      <w:r w:rsidR="0066539E">
        <w:t xml:space="preserve">JMML cells are eliminated (3). Therefore, I will not use the same matched unrelated donor for this patient as she did not get any graft </w:t>
      </w:r>
      <w:r w:rsidR="0066539E">
        <w:lastRenderedPageBreak/>
        <w:t>versus host disease or enough graft versus leukemia to keep her in remission. Given the need to move to a second transplant as soon as possible</w:t>
      </w:r>
      <w:r w:rsidR="00286085">
        <w:t xml:space="preserve"> and the need for graft versus leukemia</w:t>
      </w:r>
      <w:r w:rsidR="0066539E">
        <w:t xml:space="preserve">, I will use this patients mother as a haploidentical donor. </w:t>
      </w:r>
    </w:p>
    <w:p w14:paraId="6B1D20E5" w14:textId="77777777" w:rsidR="00913A2D" w:rsidRDefault="00913A2D" w:rsidP="00C51FC9">
      <w:pPr>
        <w:pStyle w:val="ListParagraph"/>
        <w:ind w:left="1095"/>
      </w:pPr>
    </w:p>
    <w:p w14:paraId="78F42A07" w14:textId="0D49FAE1" w:rsidR="00863414" w:rsidRDefault="0066539E" w:rsidP="00C51FC9">
      <w:pPr>
        <w:pStyle w:val="ListParagraph"/>
        <w:ind w:left="1095"/>
      </w:pPr>
      <w:r>
        <w:t xml:space="preserve">Haplo stem cell transplants require profound T Cell depletion strategies of the graft to minimize the risk of severe graft versus host disease. This can be performed using post transplant cyclophosphamide or alpha-beta T Cell </w:t>
      </w:r>
      <w:r w:rsidR="00286085">
        <w:t>and</w:t>
      </w:r>
      <w:r>
        <w:t xml:space="preserve"> CD19</w:t>
      </w:r>
      <w:r w:rsidR="00286085">
        <w:t xml:space="preserve"> B Cell</w:t>
      </w:r>
      <w:r>
        <w:t xml:space="preserve"> depletion. This patient is at risk for toxicities post stem cell transplant given the proximity to her first stem cell transplant (8 months). We need to eliminate the post transplant cyclophosphamide infusions to decrease the risk of toxicity and therefore transplant related morbidity and mortality. By depleting the alpha-beta T Cells and B Cells ex vivo and without additional immune suppression to the patient, we can remove the cells responsible for graft versus host disease and post-transplant lymphoproliferative disorder but maintain hematopoietic progenitor and stem cells for engraftment, as well as cells to elicit graft versus leukemia </w:t>
      </w:r>
      <w:r w:rsidR="00913A2D">
        <w:t>and provide anti-infective activity. Alpha-beta T Cell</w:t>
      </w:r>
      <w:r w:rsidR="00286085">
        <w:t xml:space="preserve"> and </w:t>
      </w:r>
      <w:r w:rsidR="00913A2D">
        <w:t xml:space="preserve">CD19 </w:t>
      </w:r>
      <w:r w:rsidR="00286085">
        <w:t xml:space="preserve">B Cell </w:t>
      </w:r>
      <w:r w:rsidR="00913A2D">
        <w:t xml:space="preserve">depletion is commonly used for refractory and relapsed leukemia and there are many publications that describe is use and success (4,5). </w:t>
      </w:r>
    </w:p>
    <w:p w14:paraId="1984A1F0" w14:textId="77777777" w:rsidR="00913A2D" w:rsidRDefault="00913A2D" w:rsidP="00C51FC9">
      <w:pPr>
        <w:pStyle w:val="ListParagraph"/>
        <w:ind w:left="1095"/>
      </w:pPr>
    </w:p>
    <w:p w14:paraId="4EAB7C2C" w14:textId="0C81F213" w:rsidR="00913A2D" w:rsidRPr="00997321" w:rsidRDefault="00913A2D" w:rsidP="00913A2D">
      <w:pPr>
        <w:pStyle w:val="ListParagraph"/>
        <w:ind w:left="1095"/>
        <w:rPr>
          <w:b/>
          <w:bCs/>
        </w:rPr>
      </w:pPr>
      <w:r w:rsidRPr="00997321">
        <w:rPr>
          <w:b/>
          <w:bCs/>
        </w:rPr>
        <w:t xml:space="preserve">I am requesting compassionate use of alpha-beta T Cell </w:t>
      </w:r>
      <w:r w:rsidR="00286085">
        <w:rPr>
          <w:b/>
          <w:bCs/>
        </w:rPr>
        <w:t>and</w:t>
      </w:r>
      <w:r w:rsidRPr="00997321">
        <w:rPr>
          <w:b/>
          <w:bCs/>
        </w:rPr>
        <w:t xml:space="preserve"> CD19 </w:t>
      </w:r>
      <w:r w:rsidR="00286085">
        <w:rPr>
          <w:b/>
          <w:bCs/>
        </w:rPr>
        <w:t xml:space="preserve">B Cell </w:t>
      </w:r>
      <w:r w:rsidRPr="00997321">
        <w:rPr>
          <w:b/>
          <w:bCs/>
        </w:rPr>
        <w:t xml:space="preserve">depletion to provide this patient with the best leukemia control and engraftment while decreasing the toxicity by not using high doses of cyclophosphamide. </w:t>
      </w:r>
    </w:p>
    <w:p w14:paraId="4AC15764" w14:textId="23C77CA0" w:rsidR="00913A2D" w:rsidRDefault="00913A2D" w:rsidP="00C51FC9">
      <w:pPr>
        <w:pStyle w:val="ListParagraph"/>
        <w:ind w:left="1095"/>
      </w:pPr>
      <w:r>
        <w:t xml:space="preserve">This is the most effective treatment available for this patient with the least toxicities. </w:t>
      </w:r>
    </w:p>
    <w:p w14:paraId="38CB5B0F" w14:textId="77777777" w:rsidR="00913A2D" w:rsidRDefault="00913A2D" w:rsidP="00C51FC9">
      <w:pPr>
        <w:pStyle w:val="ListParagraph"/>
        <w:ind w:left="1095"/>
      </w:pPr>
    </w:p>
    <w:p w14:paraId="514FC760" w14:textId="0E797611" w:rsidR="00F3142A" w:rsidRDefault="00913A2D" w:rsidP="00C51FC9">
      <w:pPr>
        <w:pStyle w:val="ListParagraph"/>
        <w:ind w:left="1095"/>
      </w:pPr>
      <w:r>
        <w:t xml:space="preserve">The alpha-beta T cell </w:t>
      </w:r>
      <w:r w:rsidR="00286085">
        <w:t>and</w:t>
      </w:r>
      <w:r>
        <w:t xml:space="preserve"> CD19 </w:t>
      </w:r>
      <w:r w:rsidR="00286085">
        <w:t xml:space="preserve">B Cell </w:t>
      </w:r>
      <w:r>
        <w:t>depletion is currently available on a clinical trial offered at our institution for a different underlying disease (</w:t>
      </w:r>
      <w:r w:rsidRPr="00913A2D">
        <w:t>NCT03619551</w:t>
      </w:r>
      <w:r>
        <w:t xml:space="preserve">). </w:t>
      </w:r>
      <w:r w:rsidR="00F3142A">
        <w:t>This protocol is a derivation of this clinical trial that has been approve</w:t>
      </w:r>
      <w:r w:rsidR="00613FE0">
        <w:t>d</w:t>
      </w:r>
      <w:r w:rsidR="00F3142A">
        <w:t xml:space="preserve"> for other indications and used for this indication at other institutions. The alpha-beta T cell and CD19</w:t>
      </w:r>
      <w:r w:rsidR="00286085">
        <w:t xml:space="preserve"> B Cell</w:t>
      </w:r>
      <w:r w:rsidR="00F3142A">
        <w:t xml:space="preserve"> depletion will be completed based on the clinical trial offered at our institution, however the stem cell transplant preparative regimen will be different</w:t>
      </w:r>
      <w:r w:rsidR="00286085">
        <w:t xml:space="preserve"> from the protocol</w:t>
      </w:r>
      <w:r w:rsidR="00F3142A">
        <w:t xml:space="preserve"> to target her underlying JMML. </w:t>
      </w:r>
    </w:p>
    <w:p w14:paraId="370A3791" w14:textId="77777777" w:rsidR="00F3142A" w:rsidRDefault="00F3142A" w:rsidP="00C51FC9">
      <w:pPr>
        <w:pStyle w:val="ListParagraph"/>
        <w:ind w:left="1095"/>
      </w:pPr>
    </w:p>
    <w:p w14:paraId="3D39F158" w14:textId="42ED3EAE" w:rsidR="00330F52" w:rsidRDefault="00F3142A" w:rsidP="00330F52">
      <w:pPr>
        <w:pStyle w:val="ListParagraph"/>
        <w:ind w:left="1095"/>
      </w:pPr>
      <w:r>
        <w:lastRenderedPageBreak/>
        <w:t>The donor for this patient is her mother. She is determined to be the best donor option available for this patient. She will undergo history, physical exam and blood work to determine suitability. The timeline for donor clearance and then collection will be early to mid</w:t>
      </w:r>
      <w:r w:rsidR="00613FE0">
        <w:t>-</w:t>
      </w:r>
      <w:r>
        <w:t>November. The mother’s stem cells will be peripherally collected</w:t>
      </w:r>
      <w:r w:rsidR="00286085">
        <w:t xml:space="preserve"> and will be alpha-beta T Cell and CD19 BCell depleted using the technique described below.</w:t>
      </w:r>
      <w:r>
        <w:t xml:space="preserve">  After they have been alpha-beta T Cell + CD19 depleted, they will be frozen until the cell infusion day</w:t>
      </w:r>
      <w:r w:rsidR="00286085">
        <w:t>.</w:t>
      </w:r>
      <w:r>
        <w:t xml:space="preserve"> </w:t>
      </w:r>
      <w:r w:rsidR="00EE1905">
        <w:t xml:space="preserve">Due to the tenuous clinical status of the patient’s leukemia we need to proceed with stem cell transplant urgently. This timeline would put the cell collection on a shortened holiday week. Due to staffing and accessibility, alpha-beta TCell and CD19 Depletion </w:t>
      </w:r>
      <w:r w:rsidR="00B82723">
        <w:t>cannot</w:t>
      </w:r>
      <w:r w:rsidR="00EE1905">
        <w:t xml:space="preserve"> occur during this week. To not compromise the treatment of her leukemia, we will tentatively plan to collect the patient’s mother’s stem cells</w:t>
      </w:r>
      <w:r w:rsidR="003A3FE7">
        <w:t xml:space="preserve"> before the holiday week which is</w:t>
      </w:r>
      <w:r w:rsidR="00EE1905">
        <w:t xml:space="preserve"> approximately 6 days prior to when they will be thawed and infused. </w:t>
      </w:r>
    </w:p>
    <w:p w14:paraId="6AA3AF3A" w14:textId="77777777" w:rsidR="00EE1905" w:rsidRDefault="00EE1905" w:rsidP="00330F52">
      <w:pPr>
        <w:pStyle w:val="ListParagraph"/>
        <w:ind w:left="1095"/>
      </w:pPr>
    </w:p>
    <w:p w14:paraId="5EA817C7" w14:textId="77777777" w:rsidR="00330F52" w:rsidRDefault="00330F52" w:rsidP="00330F52">
      <w:pPr>
        <w:pStyle w:val="ListParagraph"/>
        <w:numPr>
          <w:ilvl w:val="1"/>
          <w:numId w:val="1"/>
        </w:numPr>
        <w:rPr>
          <w:b/>
          <w:bCs/>
        </w:rPr>
      </w:pPr>
      <w:r>
        <w:rPr>
          <w:b/>
          <w:bCs/>
        </w:rPr>
        <w:t>Patient Treatment Plan</w:t>
      </w:r>
    </w:p>
    <w:p w14:paraId="761354C6" w14:textId="39E45CC1" w:rsidR="00330F52" w:rsidRDefault="00330F52" w:rsidP="00330F52">
      <w:pPr>
        <w:pStyle w:val="ListParagraph"/>
        <w:ind w:left="1095"/>
      </w:pPr>
      <w:r>
        <w:t>Day -12 to Day -10: rabbit anti-thymocyte globulin</w:t>
      </w:r>
    </w:p>
    <w:p w14:paraId="597E75B9" w14:textId="5FD93AB8" w:rsidR="00330F52" w:rsidRDefault="00330F52" w:rsidP="00330F52">
      <w:pPr>
        <w:pStyle w:val="ListParagraph"/>
        <w:ind w:left="1095"/>
      </w:pPr>
      <w:r>
        <w:t xml:space="preserve">Day -5 to Day -2 Clofarabine </w:t>
      </w:r>
    </w:p>
    <w:p w14:paraId="6116678C" w14:textId="236B4EF4" w:rsidR="00330F52" w:rsidRDefault="00330F52" w:rsidP="00330F52">
      <w:pPr>
        <w:pStyle w:val="ListParagraph"/>
        <w:ind w:left="1095"/>
      </w:pPr>
      <w:r>
        <w:t xml:space="preserve">Day -5 to Day -2 Fludarabine </w:t>
      </w:r>
    </w:p>
    <w:p w14:paraId="07553205" w14:textId="75B4C274" w:rsidR="00330F52" w:rsidRDefault="00330F52" w:rsidP="00330F52">
      <w:pPr>
        <w:pStyle w:val="ListParagraph"/>
        <w:ind w:left="1095"/>
      </w:pPr>
      <w:r>
        <w:t xml:space="preserve">Day -4 Thiotepa </w:t>
      </w:r>
    </w:p>
    <w:p w14:paraId="108BB3B0" w14:textId="275C03DE" w:rsidR="00330F52" w:rsidRDefault="00330F52" w:rsidP="00330F52">
      <w:pPr>
        <w:pStyle w:val="ListParagraph"/>
        <w:ind w:left="1095"/>
      </w:pPr>
      <w:r>
        <w:t xml:space="preserve">Day -3 to Day -2 Melphalan </w:t>
      </w:r>
    </w:p>
    <w:p w14:paraId="619F5E0F" w14:textId="4D884E37" w:rsidR="00330F52" w:rsidRDefault="00330F52" w:rsidP="00330F52">
      <w:pPr>
        <w:pStyle w:val="ListParagraph"/>
        <w:ind w:left="1095"/>
      </w:pPr>
      <w:r>
        <w:t>Day -1 Rest</w:t>
      </w:r>
    </w:p>
    <w:p w14:paraId="45961193" w14:textId="20E088C0" w:rsidR="00330F52" w:rsidRDefault="00330F52" w:rsidP="00330F52">
      <w:pPr>
        <w:pStyle w:val="ListParagraph"/>
        <w:ind w:left="1095"/>
      </w:pPr>
      <w:r>
        <w:t xml:space="preserve">Day 0 – infusion of alpha – beta T Cell + CD19 Depletion </w:t>
      </w:r>
      <w:r w:rsidR="00286085">
        <w:t>peripheral</w:t>
      </w:r>
      <w:r>
        <w:t xml:space="preserve"> blood stem cell infusion </w:t>
      </w:r>
    </w:p>
    <w:p w14:paraId="122130FF" w14:textId="77777777" w:rsidR="00F3142A" w:rsidRPr="00C51FC9" w:rsidRDefault="00F3142A" w:rsidP="00F3142A">
      <w:pPr>
        <w:pStyle w:val="ListParagraph"/>
        <w:ind w:left="1095"/>
      </w:pPr>
    </w:p>
    <w:p w14:paraId="7CA676A4" w14:textId="4EA5A932" w:rsidR="00526FB6" w:rsidRDefault="00617425" w:rsidP="00526FB6">
      <w:pPr>
        <w:pStyle w:val="ListParagraph"/>
        <w:numPr>
          <w:ilvl w:val="0"/>
          <w:numId w:val="1"/>
        </w:numPr>
        <w:rPr>
          <w:b/>
          <w:bCs/>
        </w:rPr>
      </w:pPr>
      <w:r>
        <w:rPr>
          <w:b/>
          <w:bCs/>
        </w:rPr>
        <w:t>Background and Rationale for alpha-beta T Cell + CD19 Delpeted grafts</w:t>
      </w:r>
    </w:p>
    <w:p w14:paraId="0C98CCDC" w14:textId="3A1FF7EF" w:rsidR="00526FB6" w:rsidRPr="00DD13C6" w:rsidRDefault="00526FB6" w:rsidP="00DD13C6">
      <w:pPr>
        <w:pStyle w:val="ListParagraph"/>
        <w:ind w:left="375"/>
        <w:rPr>
          <w:rFonts w:cs="Arial"/>
        </w:rPr>
      </w:pPr>
      <w:r w:rsidRPr="00526FB6">
        <w:rPr>
          <w:rFonts w:cs="Arial"/>
        </w:rPr>
        <w:t>The risk of severe graft v</w:t>
      </w:r>
      <w:r>
        <w:rPr>
          <w:rFonts w:cs="Arial"/>
        </w:rPr>
        <w:t>ersus</w:t>
      </w:r>
      <w:r w:rsidRPr="00526FB6">
        <w:rPr>
          <w:rFonts w:cs="Arial"/>
        </w:rPr>
        <w:t xml:space="preserve"> host disease</w:t>
      </w:r>
      <w:r w:rsidR="00FD2A10">
        <w:rPr>
          <w:rFonts w:cs="Arial"/>
        </w:rPr>
        <w:t xml:space="preserve"> (GVHD)</w:t>
      </w:r>
      <w:r>
        <w:rPr>
          <w:rFonts w:cs="Arial"/>
        </w:rPr>
        <w:t xml:space="preserve"> </w:t>
      </w:r>
      <w:r w:rsidRPr="00526FB6">
        <w:rPr>
          <w:rFonts w:cs="Arial"/>
        </w:rPr>
        <w:t>and other complications is higher with unrelated donors, or partially matched related</w:t>
      </w:r>
      <w:r>
        <w:rPr>
          <w:rFonts w:cs="Arial"/>
        </w:rPr>
        <w:t xml:space="preserve"> </w:t>
      </w:r>
      <w:r w:rsidRPr="00526FB6">
        <w:rPr>
          <w:rFonts w:cs="Arial"/>
        </w:rPr>
        <w:t xml:space="preserve">donors </w:t>
      </w:r>
      <w:r>
        <w:rPr>
          <w:rFonts w:cs="Arial"/>
        </w:rPr>
        <w:t>(</w:t>
      </w:r>
      <w:r w:rsidR="00CB5EA7">
        <w:rPr>
          <w:rFonts w:cs="Arial"/>
        </w:rPr>
        <w:t xml:space="preserve">6). </w:t>
      </w:r>
      <w:r w:rsidR="00FD2A10">
        <w:rPr>
          <w:rFonts w:cs="Arial"/>
        </w:rPr>
        <w:t xml:space="preserve">GVHD can be mitigated by the use of post stem cell transplant (SCT) immunosuppression. The use of post SCT immunosuppression, </w:t>
      </w:r>
      <w:r w:rsidRPr="00FD2A10">
        <w:rPr>
          <w:rFonts w:cs="Arial"/>
        </w:rPr>
        <w:t>typically with calcineurin inhibitors such as cyclosporine A or tacrolimus, delays immunocompetence by interfering with T cell function for up to a year post-HCT and has significant side effects including nephrotoxicity, hypertension, electrolyte derangement and neurotoxicity.</w:t>
      </w:r>
      <w:r w:rsidR="00FD2A10">
        <w:rPr>
          <w:rFonts w:cs="Arial"/>
        </w:rPr>
        <w:t xml:space="preserve"> Post transplant cyclophosphamide is used in addition to a calcineurin inhibitor in haplo</w:t>
      </w:r>
      <w:r w:rsidR="005B5ABB">
        <w:rPr>
          <w:rFonts w:cs="Arial"/>
        </w:rPr>
        <w:t>identical</w:t>
      </w:r>
      <w:r w:rsidR="00FD2A10">
        <w:rPr>
          <w:rFonts w:cs="Arial"/>
        </w:rPr>
        <w:t xml:space="preserve"> stem cell transplants and further adds to the toxicity and </w:t>
      </w:r>
      <w:r w:rsidR="00DD13C6">
        <w:rPr>
          <w:rFonts w:cs="Arial"/>
        </w:rPr>
        <w:t xml:space="preserve">immunosuppression. </w:t>
      </w:r>
    </w:p>
    <w:p w14:paraId="41887F57" w14:textId="2F4AAEAC" w:rsidR="00526FB6" w:rsidRDefault="00526FB6" w:rsidP="00526FB6">
      <w:pPr>
        <w:pStyle w:val="ListParagraph"/>
        <w:ind w:left="375"/>
        <w:rPr>
          <w:rFonts w:cs="Arial"/>
        </w:rPr>
      </w:pPr>
      <w:r w:rsidRPr="00526FB6">
        <w:rPr>
          <w:rFonts w:cs="Arial"/>
        </w:rPr>
        <w:t xml:space="preserve">There is thus a critical need for more effective techniques that prevent GVHD while minimizing </w:t>
      </w:r>
      <w:r w:rsidR="00DD13C6">
        <w:rPr>
          <w:rFonts w:cs="Arial"/>
        </w:rPr>
        <w:t>toxicity</w:t>
      </w:r>
      <w:r w:rsidRPr="00526FB6">
        <w:rPr>
          <w:rFonts w:cs="Arial"/>
        </w:rPr>
        <w:t xml:space="preserve"> and facilitating rapid post-</w:t>
      </w:r>
      <w:r w:rsidR="005B5ABB">
        <w:rPr>
          <w:rFonts w:cs="Arial"/>
        </w:rPr>
        <w:t>SCT</w:t>
      </w:r>
      <w:r w:rsidRPr="00526FB6">
        <w:rPr>
          <w:rFonts w:cs="Arial"/>
        </w:rPr>
        <w:t xml:space="preserve"> T cell immunocompetence. One such promising technique is the use of the CliniMACS® system to deplete only CD3+ T cells </w:t>
      </w:r>
      <w:r w:rsidRPr="00526FB6">
        <w:rPr>
          <w:rFonts w:cs="Arial"/>
        </w:rPr>
        <w:lastRenderedPageBreak/>
        <w:t>expressing αβ T cell receptors (TCRαβ+ T cells) along with depletion of CD19+ B cells to minimize risks of post-HCT EBV-LPD (</w:t>
      </w:r>
      <w:r w:rsidR="00DD13C6">
        <w:rPr>
          <w:rFonts w:cs="Arial"/>
        </w:rPr>
        <w:t>7</w:t>
      </w:r>
      <w:r w:rsidRPr="00526FB6">
        <w:rPr>
          <w:rFonts w:cs="Arial"/>
        </w:rPr>
        <w:t xml:space="preserve">). While the vast majority of allogeneic T cells are removed by this technique, T cells expressing γδ T cell receptors are </w:t>
      </w:r>
      <w:r w:rsidR="00613FE0">
        <w:rPr>
          <w:rFonts w:cs="Arial"/>
        </w:rPr>
        <w:t>retained</w:t>
      </w:r>
      <w:r w:rsidRPr="00526FB6">
        <w:rPr>
          <w:rFonts w:cs="Arial"/>
        </w:rPr>
        <w:t>, and infusion of TCR γδ+ T cells appears to facilitate engraftment and provide post-HCT adoptive immunity (</w:t>
      </w:r>
      <w:r w:rsidR="00DD13C6">
        <w:rPr>
          <w:rFonts w:cs="Arial"/>
        </w:rPr>
        <w:t>8</w:t>
      </w:r>
      <w:r w:rsidRPr="00526FB6">
        <w:rPr>
          <w:rFonts w:cs="Arial"/>
        </w:rPr>
        <w:t>,</w:t>
      </w:r>
      <w:r w:rsidR="00DD13C6">
        <w:rPr>
          <w:rFonts w:cs="Arial"/>
        </w:rPr>
        <w:t>9</w:t>
      </w:r>
      <w:r w:rsidRPr="00526FB6">
        <w:rPr>
          <w:rFonts w:cs="Arial"/>
        </w:rPr>
        <w:t>). In addition, retention of neutrophils, monocytes, macrophages, NK-cells, and other WBC lineages within the graft provide other immune benefits to the recipient.</w:t>
      </w:r>
    </w:p>
    <w:p w14:paraId="4665523E" w14:textId="77777777" w:rsidR="00526FB6" w:rsidRDefault="00526FB6" w:rsidP="00526FB6">
      <w:pPr>
        <w:pStyle w:val="ListParagraph"/>
        <w:ind w:left="375"/>
        <w:rPr>
          <w:rFonts w:cs="Arial"/>
        </w:rPr>
      </w:pPr>
    </w:p>
    <w:p w14:paraId="669A7980" w14:textId="1AE07B95" w:rsidR="00526FB6" w:rsidRPr="00297D8E" w:rsidRDefault="00526FB6" w:rsidP="00297D8E">
      <w:pPr>
        <w:pStyle w:val="ListParagraph"/>
        <w:ind w:left="375"/>
        <w:rPr>
          <w:rFonts w:cs="Arial"/>
        </w:rPr>
      </w:pPr>
      <w:r w:rsidRPr="00526FB6">
        <w:rPr>
          <w:rFonts w:cs="Arial"/>
        </w:rPr>
        <w:t>Pilot</w:t>
      </w:r>
      <w:r w:rsidR="00E91000">
        <w:rPr>
          <w:rFonts w:cs="Arial"/>
        </w:rPr>
        <w:t xml:space="preserve"> </w:t>
      </w:r>
      <w:r w:rsidRPr="00E91000">
        <w:rPr>
          <w:rFonts w:cs="Arial"/>
        </w:rPr>
        <w:t xml:space="preserve">studies in haploidentical </w:t>
      </w:r>
      <w:r w:rsidR="005B5ABB">
        <w:rPr>
          <w:rFonts w:cs="Arial"/>
        </w:rPr>
        <w:t xml:space="preserve">peripheral blood </w:t>
      </w:r>
      <w:r w:rsidRPr="00E91000">
        <w:rPr>
          <w:rFonts w:cs="Arial"/>
        </w:rPr>
        <w:t>SCT, including children, have been encouraging. An initial study</w:t>
      </w:r>
      <w:r w:rsidR="00E91000">
        <w:rPr>
          <w:rFonts w:cs="Arial"/>
        </w:rPr>
        <w:t xml:space="preserve"> </w:t>
      </w:r>
      <w:r w:rsidRPr="00E91000">
        <w:rPr>
          <w:rFonts w:cs="Arial"/>
        </w:rPr>
        <w:t xml:space="preserve">of 5 children with advanced leukemias and haploidentical mobilized </w:t>
      </w:r>
      <w:r w:rsidR="005B5ABB">
        <w:rPr>
          <w:rFonts w:cs="Arial"/>
        </w:rPr>
        <w:t>peripheral blood stem cells</w:t>
      </w:r>
      <w:r w:rsidR="00B55E0F">
        <w:rPr>
          <w:rFonts w:cs="Arial"/>
        </w:rPr>
        <w:t xml:space="preserve"> </w:t>
      </w:r>
      <w:r w:rsidRPr="00E91000">
        <w:rPr>
          <w:rFonts w:cs="Arial"/>
        </w:rPr>
        <w:t>noted a 4.5 log</w:t>
      </w:r>
      <w:r w:rsidR="00E91000">
        <w:rPr>
          <w:rFonts w:cs="Arial"/>
        </w:rPr>
        <w:t xml:space="preserve"> </w:t>
      </w:r>
      <w:r w:rsidRPr="00E91000">
        <w:rPr>
          <w:rFonts w:cs="Arial"/>
        </w:rPr>
        <w:t>depletion of</w:t>
      </w:r>
      <w:r w:rsidR="00E91000">
        <w:rPr>
          <w:rFonts w:cs="Arial"/>
        </w:rPr>
        <w:t xml:space="preserve"> alpha-beta</w:t>
      </w:r>
      <w:r w:rsidRPr="00E91000">
        <w:rPr>
          <w:rFonts w:cs="Arial"/>
        </w:rPr>
        <w:t xml:space="preserve"> T cells, with 72% recovery of CD34+ cells and 80% recovery of </w:t>
      </w:r>
      <w:r w:rsidR="00E91000" w:rsidRPr="00526FB6">
        <w:rPr>
          <w:rFonts w:cs="Arial"/>
        </w:rPr>
        <w:t>γδ</w:t>
      </w:r>
      <w:r w:rsidR="00E91000" w:rsidRPr="00E91000">
        <w:rPr>
          <w:rFonts w:cs="Arial"/>
        </w:rPr>
        <w:t xml:space="preserve"> </w:t>
      </w:r>
      <w:r w:rsidRPr="00E91000">
        <w:rPr>
          <w:rFonts w:cs="Arial"/>
        </w:rPr>
        <w:t>T cells</w:t>
      </w:r>
      <w:r w:rsidR="00E91000">
        <w:rPr>
          <w:rFonts w:cs="Arial"/>
        </w:rPr>
        <w:t xml:space="preserve"> (10). </w:t>
      </w:r>
      <w:r w:rsidRPr="00E91000">
        <w:rPr>
          <w:rFonts w:cs="Arial"/>
        </w:rPr>
        <w:t>No GVHD prophylaxis was given with chemotherapy conditioning only. All patients had</w:t>
      </w:r>
      <w:r w:rsidR="00E91000">
        <w:rPr>
          <w:rFonts w:cs="Arial"/>
        </w:rPr>
        <w:t xml:space="preserve"> r</w:t>
      </w:r>
      <w:r w:rsidRPr="00E91000">
        <w:rPr>
          <w:rFonts w:cs="Arial"/>
        </w:rPr>
        <w:t>apid hematologic engraftment and rapid immune reconstitution.</w:t>
      </w:r>
      <w:r w:rsidR="00E91000">
        <w:rPr>
          <w:rFonts w:cs="Arial"/>
        </w:rPr>
        <w:t xml:space="preserve"> </w:t>
      </w:r>
      <w:r w:rsidRPr="00E91000">
        <w:rPr>
          <w:rFonts w:cs="Arial"/>
        </w:rPr>
        <w:t>One patient had grade III skin GVHD, but there was no other</w:t>
      </w:r>
      <w:r w:rsidR="00E91000">
        <w:rPr>
          <w:rFonts w:cs="Arial"/>
        </w:rPr>
        <w:t xml:space="preserve"> </w:t>
      </w:r>
      <w:r w:rsidRPr="00E91000">
        <w:rPr>
          <w:rFonts w:cs="Arial"/>
        </w:rPr>
        <w:t>acute GVHD noted. Of note, ATG was used during conditioning to achieve additional host</w:t>
      </w:r>
      <w:r w:rsidR="00E91000">
        <w:rPr>
          <w:rFonts w:cs="Arial"/>
        </w:rPr>
        <w:t xml:space="preserve"> </w:t>
      </w:r>
      <w:r w:rsidRPr="00E91000">
        <w:rPr>
          <w:rFonts w:cs="Arial"/>
        </w:rPr>
        <w:t>immunosuppression.</w:t>
      </w:r>
      <w:r w:rsidR="006C6592">
        <w:rPr>
          <w:rFonts w:cs="Arial"/>
        </w:rPr>
        <w:t xml:space="preserve"> More r</w:t>
      </w:r>
      <w:r w:rsidRPr="006C6592">
        <w:rPr>
          <w:rFonts w:cs="Arial"/>
        </w:rPr>
        <w:t xml:space="preserve">ecent </w:t>
      </w:r>
      <w:r w:rsidR="006C6592">
        <w:rPr>
          <w:rFonts w:cs="Arial"/>
        </w:rPr>
        <w:t xml:space="preserve">publications </w:t>
      </w:r>
      <w:r w:rsidRPr="006C6592">
        <w:rPr>
          <w:rFonts w:cs="Arial"/>
        </w:rPr>
        <w:t xml:space="preserve">have expanded upon this pilot study </w:t>
      </w:r>
      <w:r w:rsidR="00297D8E">
        <w:rPr>
          <w:rFonts w:cs="Arial"/>
        </w:rPr>
        <w:t xml:space="preserve">and </w:t>
      </w:r>
      <w:r w:rsidR="00613FE0">
        <w:rPr>
          <w:rFonts w:cs="Arial"/>
        </w:rPr>
        <w:t xml:space="preserve">trials </w:t>
      </w:r>
      <w:r w:rsidR="00297D8E">
        <w:rPr>
          <w:rFonts w:cs="Arial"/>
        </w:rPr>
        <w:t>have been performed internationally (4,11</w:t>
      </w:r>
      <w:r w:rsidR="00DD0725">
        <w:rPr>
          <w:rFonts w:cs="Arial"/>
        </w:rPr>
        <w:t>-13</w:t>
      </w:r>
      <w:r w:rsidR="00297D8E">
        <w:rPr>
          <w:rFonts w:cs="Arial"/>
        </w:rPr>
        <w:t xml:space="preserve">) that consistently show good engraftment, rapid immune reconstitution, and low rates of severe GVHD. </w:t>
      </w:r>
    </w:p>
    <w:p w14:paraId="5EFCF6FC" w14:textId="77777777" w:rsidR="00526FB6" w:rsidRPr="00526FB6" w:rsidRDefault="00526FB6" w:rsidP="00526FB6">
      <w:pPr>
        <w:pStyle w:val="ListParagraph"/>
        <w:ind w:left="375"/>
        <w:rPr>
          <w:b/>
          <w:bCs/>
        </w:rPr>
      </w:pPr>
    </w:p>
    <w:p w14:paraId="214E1F44" w14:textId="2D7FEE03" w:rsidR="00617425" w:rsidRDefault="00617425" w:rsidP="00617425">
      <w:pPr>
        <w:pStyle w:val="ListParagraph"/>
        <w:numPr>
          <w:ilvl w:val="0"/>
          <w:numId w:val="1"/>
        </w:numPr>
        <w:rPr>
          <w:b/>
          <w:bCs/>
        </w:rPr>
      </w:pPr>
      <w:r>
        <w:rPr>
          <w:b/>
          <w:bCs/>
        </w:rPr>
        <w:t xml:space="preserve">Alpha-beta T Cell + CD19 Depletion procedure </w:t>
      </w:r>
    </w:p>
    <w:p w14:paraId="1082B95E" w14:textId="5EADAD74" w:rsidR="00617425" w:rsidRDefault="00617425" w:rsidP="00617425">
      <w:pPr>
        <w:pStyle w:val="ListParagraph"/>
        <w:numPr>
          <w:ilvl w:val="1"/>
          <w:numId w:val="1"/>
        </w:numPr>
        <w:rPr>
          <w:b/>
          <w:bCs/>
        </w:rPr>
      </w:pPr>
      <w:r>
        <w:rPr>
          <w:b/>
          <w:bCs/>
        </w:rPr>
        <w:t>Procedure overview</w:t>
      </w:r>
    </w:p>
    <w:p w14:paraId="7E071119" w14:textId="385B8F5A" w:rsidR="00E874C8" w:rsidRDefault="00275188" w:rsidP="00275188">
      <w:pPr>
        <w:pStyle w:val="ListParagraph"/>
        <w:ind w:left="1095"/>
        <w:rPr>
          <w:rFonts w:cs="Arial"/>
        </w:rPr>
      </w:pPr>
      <w:r w:rsidRPr="00275188">
        <w:rPr>
          <w:rFonts w:cs="Arial"/>
        </w:rPr>
        <w:t xml:space="preserve">A mobilization regimen with granulocyte colony stimulating factor (G-CSF) will be used to obtain a PBSC product from </w:t>
      </w:r>
      <w:r w:rsidR="00E874C8">
        <w:rPr>
          <w:rFonts w:cs="Arial"/>
        </w:rPr>
        <w:t>the patient’s</w:t>
      </w:r>
    </w:p>
    <w:p w14:paraId="27883EC3" w14:textId="72DBD736" w:rsidR="00275188" w:rsidRDefault="00E874C8" w:rsidP="00275188">
      <w:pPr>
        <w:pStyle w:val="ListParagraph"/>
        <w:ind w:left="1095"/>
        <w:rPr>
          <w:rFonts w:cs="Arial"/>
        </w:rPr>
      </w:pPr>
      <w:r>
        <w:rPr>
          <w:rFonts w:cs="Arial"/>
        </w:rPr>
        <w:t xml:space="preserve"> mother after obtaining written informed</w:t>
      </w:r>
      <w:r w:rsidR="00275188" w:rsidRPr="00275188">
        <w:rPr>
          <w:rFonts w:cs="Arial"/>
        </w:rPr>
        <w:t xml:space="preserve"> consent. Apheresis will be performed according to institutional standards aiming for 3-4 total blood volume</w:t>
      </w:r>
      <w:r>
        <w:rPr>
          <w:rFonts w:cs="Arial"/>
        </w:rPr>
        <w:t>s</w:t>
      </w:r>
      <w:r w:rsidR="00275188" w:rsidRPr="00275188">
        <w:rPr>
          <w:rFonts w:cs="Arial"/>
        </w:rPr>
        <w:t xml:space="preserve"> as tolerated by the donor. The target infusion goal will be at least 10 x 10</w:t>
      </w:r>
      <w:r w:rsidR="00275188">
        <w:rPr>
          <w:rFonts w:cs="Arial"/>
        </w:rPr>
        <w:t>^</w:t>
      </w:r>
      <w:r w:rsidR="00275188" w:rsidRPr="00275188">
        <w:rPr>
          <w:rFonts w:cs="Arial"/>
        </w:rPr>
        <w:t>6 CD34+ cells/kg</w:t>
      </w:r>
      <w:r w:rsidR="00275188">
        <w:rPr>
          <w:rFonts w:cs="Arial"/>
        </w:rPr>
        <w:t>. The donor will mobilize with G-CSF on Days 1-4 with 10mcg/kg/day subcutaneous. On day 5, the donor will continue with the dosing of G-CSF and apheresis will begin</w:t>
      </w:r>
      <w:r w:rsidR="00613FE0">
        <w:rPr>
          <w:rFonts w:cs="Arial"/>
        </w:rPr>
        <w:t xml:space="preserve"> and may continue on day 6 if the target cell number is not reached after the first collection</w:t>
      </w:r>
      <w:r w:rsidR="00275188">
        <w:rPr>
          <w:rFonts w:cs="Arial"/>
        </w:rPr>
        <w:t xml:space="preserve">. </w:t>
      </w:r>
    </w:p>
    <w:p w14:paraId="5B18BBB7" w14:textId="77777777" w:rsidR="00275188" w:rsidRDefault="00275188" w:rsidP="00275188">
      <w:pPr>
        <w:pStyle w:val="ListParagraph"/>
        <w:ind w:left="1095"/>
        <w:rPr>
          <w:rFonts w:cs="Arial"/>
        </w:rPr>
      </w:pPr>
    </w:p>
    <w:p w14:paraId="4210EB85" w14:textId="37EA3142" w:rsidR="00275188" w:rsidRDefault="00275188" w:rsidP="00275188">
      <w:pPr>
        <w:pStyle w:val="ListParagraph"/>
        <w:ind w:left="1095"/>
        <w:rPr>
          <w:rFonts w:cs="Arial"/>
        </w:rPr>
      </w:pPr>
      <w:r w:rsidRPr="00275188">
        <w:rPr>
          <w:rFonts w:cs="Arial"/>
        </w:rPr>
        <w:t xml:space="preserve">Apheresis will typically begin on the 5th day of mobilization. Apheresis may need to be performed over a two-day period, though most donors are likely to be able to provide the stem cell doses required for transplant after one day of apheresis. If required, additional days of apheresis will be done at the transplant or apheresis physician’s discretion. </w:t>
      </w:r>
    </w:p>
    <w:p w14:paraId="2B7818EF" w14:textId="77777777" w:rsidR="00275188" w:rsidRDefault="00275188" w:rsidP="00275188">
      <w:pPr>
        <w:pStyle w:val="ListParagraph"/>
        <w:ind w:left="1095"/>
        <w:rPr>
          <w:rFonts w:cs="Arial"/>
        </w:rPr>
      </w:pPr>
    </w:p>
    <w:p w14:paraId="2AE22CE0" w14:textId="6C6F0B49" w:rsidR="00275188" w:rsidRDefault="00275188" w:rsidP="00275188">
      <w:pPr>
        <w:pStyle w:val="ListParagraph"/>
        <w:ind w:left="1095"/>
        <w:rPr>
          <w:rFonts w:cs="Arial"/>
        </w:rPr>
      </w:pPr>
    </w:p>
    <w:p w14:paraId="58F5C560" w14:textId="1346DF0D" w:rsidR="00275188" w:rsidRDefault="00275188" w:rsidP="00275188">
      <w:pPr>
        <w:pStyle w:val="ListParagraph"/>
        <w:ind w:left="1095"/>
        <w:rPr>
          <w:rFonts w:cs="Arial"/>
        </w:rPr>
      </w:pPr>
      <w:r w:rsidRPr="00275188">
        <w:rPr>
          <w:rFonts w:cs="Arial"/>
        </w:rPr>
        <w:t>All donors will be monitored and PBSC products will be collected according to FACT-JACIE international standards for cell therapy, product collections, processing and administration.</w:t>
      </w:r>
    </w:p>
    <w:p w14:paraId="7F084C2C" w14:textId="77777777" w:rsidR="00275188" w:rsidRDefault="00275188" w:rsidP="00275188">
      <w:pPr>
        <w:pStyle w:val="ListParagraph"/>
        <w:ind w:left="1095"/>
        <w:rPr>
          <w:rFonts w:cs="Arial"/>
        </w:rPr>
      </w:pPr>
    </w:p>
    <w:p w14:paraId="0C7B0B7A" w14:textId="3F4D5DE1" w:rsidR="005E7418" w:rsidRDefault="005E7418" w:rsidP="005E7418">
      <w:pPr>
        <w:pStyle w:val="ListParagraph"/>
        <w:ind w:left="1095"/>
        <w:rPr>
          <w:rFonts w:cs="Arial"/>
        </w:rPr>
      </w:pPr>
      <w:r w:rsidRPr="005E7418">
        <w:rPr>
          <w:rFonts w:cs="Arial"/>
        </w:rPr>
        <w:t xml:space="preserve">All cell processing will take place at </w:t>
      </w:r>
      <w:r w:rsidR="00E874C8">
        <w:rPr>
          <w:rFonts w:cs="Arial"/>
        </w:rPr>
        <w:t>the IU Health Cellular Therapy Lab</w:t>
      </w:r>
      <w:r w:rsidRPr="005E7418">
        <w:rPr>
          <w:rFonts w:cs="Arial"/>
        </w:rPr>
        <w:t xml:space="preserve"> using validated Standard Operating Procedures. If more than 1 apheresis event is performed to collect a sufficient cell dose, HPC-A products may be combined prior to T- &amp; B-cell depletion. HPC-A products will be T- &amp; B-cell depleted using the CliniMACS® device according to the manufacturer’s instructions. Briefly, </w:t>
      </w:r>
      <w:r w:rsidR="00613FE0">
        <w:rPr>
          <w:rFonts w:cs="Arial"/>
        </w:rPr>
        <w:t>the starting material will be assessed</w:t>
      </w:r>
      <w:r w:rsidRPr="005E7418">
        <w:rPr>
          <w:rFonts w:cs="Arial"/>
        </w:rPr>
        <w:t xml:space="preserve"> by a cell count</w:t>
      </w:r>
      <w:r w:rsidR="00613FE0">
        <w:rPr>
          <w:rFonts w:cs="Arial"/>
        </w:rPr>
        <w:t>,</w:t>
      </w:r>
      <w:r w:rsidRPr="005E7418">
        <w:rPr>
          <w:rFonts w:cs="Arial"/>
        </w:rPr>
        <w:t xml:space="preserve"> viability</w:t>
      </w:r>
      <w:r w:rsidR="00613FE0">
        <w:rPr>
          <w:rFonts w:cs="Arial"/>
        </w:rPr>
        <w:t xml:space="preserve"> and flow cytometry for TCR </w:t>
      </w:r>
      <w:r w:rsidR="00613FE0" w:rsidRPr="00997321">
        <w:rPr>
          <w:rFonts w:ascii="Symbol" w:hAnsi="Symbol" w:cs="Arial"/>
        </w:rPr>
        <w:t>a</w:t>
      </w:r>
      <w:r w:rsidR="00613FE0">
        <w:rPr>
          <w:rFonts w:cs="Arial"/>
        </w:rPr>
        <w:t>/</w:t>
      </w:r>
      <w:r w:rsidR="00613FE0" w:rsidRPr="00997321">
        <w:rPr>
          <w:rFonts w:ascii="Symbol" w:hAnsi="Symbol" w:cs="Arial"/>
        </w:rPr>
        <w:t>b</w:t>
      </w:r>
      <w:r w:rsidR="00613FE0">
        <w:rPr>
          <w:rFonts w:cs="Arial"/>
        </w:rPr>
        <w:t>+ cells and CD19+ cells</w:t>
      </w:r>
      <w:r w:rsidRPr="005E7418">
        <w:rPr>
          <w:rFonts w:cs="Arial"/>
        </w:rPr>
        <w:t>. Prior to immunomagnetically labeling the</w:t>
      </w:r>
      <w:r w:rsidR="005E790D">
        <w:rPr>
          <w:rFonts w:cs="Arial"/>
        </w:rPr>
        <w:t xml:space="preserve"> Hematopoetic progenitor cell by apheresis</w:t>
      </w:r>
      <w:r w:rsidRPr="005E7418">
        <w:rPr>
          <w:rFonts w:cs="Arial"/>
        </w:rPr>
        <w:t xml:space="preserve"> </w:t>
      </w:r>
      <w:r w:rsidR="005E790D">
        <w:rPr>
          <w:rFonts w:cs="Arial"/>
        </w:rPr>
        <w:t>(</w:t>
      </w:r>
      <w:r w:rsidRPr="005E7418">
        <w:rPr>
          <w:rFonts w:cs="Arial"/>
        </w:rPr>
        <w:t>HPC-A</w:t>
      </w:r>
      <w:r w:rsidR="005E790D">
        <w:rPr>
          <w:rFonts w:cs="Arial"/>
        </w:rPr>
        <w:t>)</w:t>
      </w:r>
      <w:r w:rsidR="00B55E0F">
        <w:rPr>
          <w:rFonts w:cs="Arial"/>
        </w:rPr>
        <w:t xml:space="preserve"> </w:t>
      </w:r>
      <w:r w:rsidRPr="005E7418">
        <w:rPr>
          <w:rFonts w:cs="Arial"/>
        </w:rPr>
        <w:t xml:space="preserve">product, the HPC-A product will be washed to remove platelets and the cell concentration will be adjusted in preparation for antibody labeling. The </w:t>
      </w:r>
      <w:r w:rsidR="005B5ABB">
        <w:rPr>
          <w:rFonts w:cs="Arial"/>
        </w:rPr>
        <w:t>peripheral blood stem cell (</w:t>
      </w:r>
      <w:r w:rsidRPr="005E7418">
        <w:rPr>
          <w:rFonts w:cs="Arial"/>
        </w:rPr>
        <w:t>PBSC</w:t>
      </w:r>
      <w:r w:rsidR="005B5ABB">
        <w:rPr>
          <w:rFonts w:cs="Arial"/>
        </w:rPr>
        <w:t>)</w:t>
      </w:r>
      <w:r w:rsidRPr="005E7418">
        <w:rPr>
          <w:rFonts w:cs="Arial"/>
        </w:rPr>
        <w:t xml:space="preserve"> product will be labeled using the CliniMACS® TCRαβ Biotin kit and CD19+ Microbeads. After immunomagnetically labeling cells with TCRαβ and CD19 antibodies, the cells will be washed to remove unbound microbeads. The HPC-A product will be loaded onto the CliniMACS® device and the negative cell fraction will be collected. The cells from the negative fraction will then be centrifuged and reconstituted to obtain the final product. Cell viability, cell counts, sterility, gram stain and endotoxin testing will be performed on the final product prior to infusion. In addition, the final product will be enumerated and assessed for viable stem cell (CD34+) T-cell (TCR αβ+CD3+, TCR γδ+CD3+) and B-cell content using anti-CD20 (due to blockage of the CD19 antigen by the reagent used for depletion) by flow cytometry. The HPC-A graft product will be infused fresh after completion of release testing</w:t>
      </w:r>
      <w:r w:rsidR="00E874C8">
        <w:rPr>
          <w:rFonts w:cs="Arial"/>
        </w:rPr>
        <w:t>,</w:t>
      </w:r>
      <w:r w:rsidRPr="005E7418">
        <w:rPr>
          <w:rFonts w:cs="Arial"/>
        </w:rPr>
        <w:t xml:space="preserve"> stored overnight at 4</w:t>
      </w:r>
      <w:r w:rsidRPr="00997321">
        <w:rPr>
          <w:rFonts w:cs="Arial"/>
          <w:vertAlign w:val="superscript"/>
        </w:rPr>
        <w:t>o</w:t>
      </w:r>
      <w:r w:rsidRPr="005E7418">
        <w:rPr>
          <w:rFonts w:cs="Arial"/>
        </w:rPr>
        <w:t>C prior to infusion</w:t>
      </w:r>
      <w:r>
        <w:rPr>
          <w:rFonts w:cs="Arial"/>
        </w:rPr>
        <w:t xml:space="preserve"> or frozen </w:t>
      </w:r>
      <w:r w:rsidR="00E874C8">
        <w:rPr>
          <w:rFonts w:cs="Arial"/>
        </w:rPr>
        <w:t>for future infusion at the discretion of</w:t>
      </w:r>
      <w:r>
        <w:rPr>
          <w:rFonts w:cs="Arial"/>
        </w:rPr>
        <w:t xml:space="preserve"> the stem cell transplant physician</w:t>
      </w:r>
      <w:r w:rsidRPr="005E7418">
        <w:rPr>
          <w:rFonts w:cs="Arial"/>
        </w:rPr>
        <w:t xml:space="preserve">. </w:t>
      </w:r>
    </w:p>
    <w:p w14:paraId="142170C8" w14:textId="77777777" w:rsidR="005E7418" w:rsidRPr="005E7418" w:rsidRDefault="005E7418" w:rsidP="005E7418">
      <w:pPr>
        <w:pStyle w:val="ListParagraph"/>
        <w:ind w:left="1095"/>
        <w:rPr>
          <w:rFonts w:cs="Arial"/>
        </w:rPr>
      </w:pPr>
    </w:p>
    <w:p w14:paraId="6773F71F" w14:textId="77777777" w:rsidR="005E7418" w:rsidRPr="005E7418" w:rsidRDefault="005E7418" w:rsidP="005E7418">
      <w:pPr>
        <w:pStyle w:val="ListParagraph"/>
        <w:ind w:left="1095"/>
        <w:rPr>
          <w:rFonts w:cs="Arial"/>
        </w:rPr>
      </w:pPr>
      <w:r w:rsidRPr="005E7418">
        <w:rPr>
          <w:rFonts w:cs="Arial"/>
        </w:rPr>
        <w:t xml:space="preserve">Cell dose parameters for the </w:t>
      </w:r>
      <w:r w:rsidRPr="005E7418">
        <w:rPr>
          <w:rFonts w:cs="Arial"/>
          <w:i/>
          <w:iCs/>
        </w:rPr>
        <w:t xml:space="preserve">primary HSC </w:t>
      </w:r>
      <w:r w:rsidRPr="005E7418">
        <w:rPr>
          <w:rFonts w:cs="Arial"/>
        </w:rPr>
        <w:t xml:space="preserve">infusion donor graft are as follows. The cell doses noted are defined as the total αβ+CD3+, CD34+, and B-cell counts contained in the final product. </w:t>
      </w:r>
    </w:p>
    <w:p w14:paraId="66DC5C1E" w14:textId="668516AA" w:rsidR="005E7418" w:rsidRPr="005E7418" w:rsidRDefault="005E7418" w:rsidP="005E7418">
      <w:pPr>
        <w:pStyle w:val="ListParagraph"/>
        <w:ind w:left="1095"/>
        <w:rPr>
          <w:rFonts w:cs="Arial"/>
        </w:rPr>
      </w:pPr>
      <w:r w:rsidRPr="005E7418">
        <w:rPr>
          <w:rFonts w:cs="Arial"/>
        </w:rPr>
        <w:t>• The target HSC dose is at least 10 x 10</w:t>
      </w:r>
      <w:r w:rsidRPr="00997321">
        <w:rPr>
          <w:rFonts w:cs="Arial"/>
          <w:vertAlign w:val="superscript"/>
        </w:rPr>
        <w:t>6</w:t>
      </w:r>
      <w:r w:rsidRPr="005E7418">
        <w:rPr>
          <w:rFonts w:cs="Arial"/>
        </w:rPr>
        <w:t xml:space="preserve"> CD34+ cells/kg recipient weight. The minimum cell dose will be 2-5 x 10</w:t>
      </w:r>
      <w:r w:rsidRPr="00997321">
        <w:rPr>
          <w:rFonts w:cs="Arial"/>
          <w:vertAlign w:val="superscript"/>
        </w:rPr>
        <w:t>6</w:t>
      </w:r>
      <w:r w:rsidRPr="005E7418">
        <w:rPr>
          <w:rFonts w:cs="Arial"/>
        </w:rPr>
        <w:t xml:space="preserve"> CD34+ cells/kg with no maximum dose</w:t>
      </w:r>
      <w:r w:rsidR="00690B76">
        <w:rPr>
          <w:rFonts w:cs="Arial"/>
        </w:rPr>
        <w:t xml:space="preserve">, </w:t>
      </w:r>
      <w:r w:rsidRPr="005E7418">
        <w:rPr>
          <w:rFonts w:cs="Arial"/>
        </w:rPr>
        <w:t xml:space="preserve">but the CD34+ dose is usually limited by the need to not exceed the αβ+CD3+ dose threshold below. </w:t>
      </w:r>
    </w:p>
    <w:p w14:paraId="2EC6CE68" w14:textId="57AD0C3D" w:rsidR="005E7418" w:rsidRPr="005E7418" w:rsidRDefault="005E7418" w:rsidP="005E7418">
      <w:pPr>
        <w:pStyle w:val="ListParagraph"/>
        <w:ind w:left="1095"/>
        <w:rPr>
          <w:rFonts w:cs="Arial"/>
        </w:rPr>
      </w:pPr>
      <w:r w:rsidRPr="005E7418">
        <w:rPr>
          <w:rFonts w:cs="Arial"/>
        </w:rPr>
        <w:t>• The target αβ+ CD3+ cell dose content in the primary infusion donor product will be ≤1.0 x 10</w:t>
      </w:r>
      <w:r w:rsidRPr="00997321">
        <w:rPr>
          <w:rFonts w:cs="Arial"/>
          <w:vertAlign w:val="superscript"/>
        </w:rPr>
        <w:t>5</w:t>
      </w:r>
      <w:r w:rsidRPr="005E7418">
        <w:rPr>
          <w:rFonts w:cs="Arial"/>
        </w:rPr>
        <w:t xml:space="preserve"> αβ+CD3+ cells/kg recipient weight. If projected CD34+ content of a graft will be &lt; 5.0 x 10</w:t>
      </w:r>
      <w:r w:rsidRPr="00997321">
        <w:rPr>
          <w:rFonts w:cs="Arial"/>
          <w:vertAlign w:val="superscript"/>
        </w:rPr>
        <w:t>6</w:t>
      </w:r>
      <w:r w:rsidRPr="005E7418">
        <w:rPr>
          <w:rFonts w:cs="Arial"/>
        </w:rPr>
        <w:t xml:space="preserve"> /kg, the αβ+CD3+ </w:t>
      </w:r>
      <w:r w:rsidR="00690B76">
        <w:rPr>
          <w:rFonts w:cs="Arial"/>
        </w:rPr>
        <w:t xml:space="preserve">in the graft may be increased </w:t>
      </w:r>
      <w:r w:rsidRPr="005E7418">
        <w:rPr>
          <w:rFonts w:cs="Arial"/>
        </w:rPr>
        <w:t>to a maximum of 5.0 x 10</w:t>
      </w:r>
      <w:r w:rsidRPr="00997321">
        <w:rPr>
          <w:rFonts w:cs="Arial"/>
          <w:vertAlign w:val="superscript"/>
        </w:rPr>
        <w:t>5</w:t>
      </w:r>
      <w:r w:rsidRPr="005E7418">
        <w:rPr>
          <w:rFonts w:cs="Arial"/>
        </w:rPr>
        <w:t xml:space="preserve"> αβ+CD3+ cells/kg to increase CD34+ content in the graft. Alternatively, the </w:t>
      </w:r>
      <w:r w:rsidR="00690B76">
        <w:rPr>
          <w:rFonts w:cs="Arial"/>
        </w:rPr>
        <w:t>Cellular Therapy Lab</w:t>
      </w:r>
      <w:r w:rsidRPr="005E7418">
        <w:rPr>
          <w:rFonts w:cs="Arial"/>
        </w:rPr>
        <w:t xml:space="preserve"> may perform a CD34 selection on a portion of the collection or a second collection in order to optimize the CD34+ numbers for infusion. </w:t>
      </w:r>
    </w:p>
    <w:p w14:paraId="4316C8B5" w14:textId="128075CA" w:rsidR="005E7418" w:rsidRDefault="005E7418" w:rsidP="005E7418">
      <w:pPr>
        <w:pStyle w:val="ListParagraph"/>
        <w:ind w:left="1095"/>
      </w:pPr>
      <w:r w:rsidRPr="005E7418">
        <w:rPr>
          <w:rFonts w:cs="Arial"/>
        </w:rPr>
        <w:t xml:space="preserve">• </w:t>
      </w:r>
      <w:r w:rsidR="004C4D8E">
        <w:t>Rituximab will be given on Day -1 200mg/m^2 IV x 1 dose</w:t>
      </w:r>
      <w:r w:rsidR="004B40A3">
        <w:t xml:space="preserve"> to reduce the risk of Epstein-Barr virus (EBV) related post-transplant lymphoproliferative disorder (PTLD)</w:t>
      </w:r>
      <w:r w:rsidR="004C4D8E">
        <w:t>.</w:t>
      </w:r>
    </w:p>
    <w:p w14:paraId="780EB188" w14:textId="77777777" w:rsidR="00F03BA6" w:rsidRDefault="00F03BA6" w:rsidP="005E7418">
      <w:pPr>
        <w:pStyle w:val="ListParagraph"/>
        <w:ind w:left="1095"/>
        <w:rPr>
          <w:rFonts w:cs="Arial"/>
        </w:rPr>
      </w:pPr>
    </w:p>
    <w:p w14:paraId="18E2A0B7" w14:textId="5451476F" w:rsidR="003A3FE7" w:rsidRPr="003A3FE7" w:rsidRDefault="005E7418" w:rsidP="003A3FE7">
      <w:pPr>
        <w:pStyle w:val="ListParagraph"/>
        <w:ind w:left="1095"/>
        <w:rPr>
          <w:rFonts w:cs="Arial"/>
        </w:rPr>
      </w:pPr>
      <w:r w:rsidRPr="005E7418">
        <w:rPr>
          <w:rFonts w:cs="Arial"/>
          <w:b/>
          <w:bCs/>
        </w:rPr>
        <w:t xml:space="preserve">Optional CD34+ selection to boost CD34+ dose. </w:t>
      </w:r>
      <w:r w:rsidRPr="005E7418">
        <w:rPr>
          <w:rFonts w:cs="Arial"/>
        </w:rPr>
        <w:t>If at the end of the negative depletion procedure, the residual number of TCRαβ T cells would be greater than 1x10</w:t>
      </w:r>
      <w:r w:rsidRPr="00997321">
        <w:rPr>
          <w:rFonts w:cs="Arial"/>
          <w:vertAlign w:val="superscript"/>
        </w:rPr>
        <w:t>5</w:t>
      </w:r>
      <w:r w:rsidRPr="005E7418">
        <w:rPr>
          <w:rFonts w:cs="Arial"/>
        </w:rPr>
        <w:t xml:space="preserve">/kg recipient weight, a residual part of the selected graft may undergo further CD34 selection and both allograft products returned to the subject. Alternatively, a saved portion of the first collection or a second leukapheresis collection may be selected for CD34 after the target residual αβ-T cells has been reached. CD34+ selection will be performed following the standardized protocol in the User’s Manual for the CliniMACS (Miltenyi Biotech), operating under the </w:t>
      </w:r>
      <w:r w:rsidR="00690B76">
        <w:rPr>
          <w:rFonts w:cs="Arial"/>
        </w:rPr>
        <w:t>Cellular Therapy Lab</w:t>
      </w:r>
      <w:r w:rsidRPr="005E7418">
        <w:rPr>
          <w:rFonts w:cs="Arial"/>
        </w:rPr>
        <w:t>’s standard operating laboratory procedures. The total graft will consist of one or two sequential T &amp; B-cell depleted HPC-A cell infusions</w:t>
      </w:r>
      <w:r w:rsidR="00690B76">
        <w:rPr>
          <w:rFonts w:cs="Arial"/>
        </w:rPr>
        <w:t>,</w:t>
      </w:r>
      <w:r w:rsidRPr="005E7418">
        <w:rPr>
          <w:rFonts w:cs="Arial"/>
        </w:rPr>
        <w:t xml:space="preserve"> plus </w:t>
      </w:r>
      <w:r w:rsidR="00690B76">
        <w:rPr>
          <w:rFonts w:cs="Arial"/>
        </w:rPr>
        <w:t xml:space="preserve">additional </w:t>
      </w:r>
      <w:r w:rsidRPr="005E7418">
        <w:rPr>
          <w:rFonts w:cs="Arial"/>
        </w:rPr>
        <w:t>CD34+ selected cells</w:t>
      </w:r>
      <w:r w:rsidR="00690B76">
        <w:rPr>
          <w:rFonts w:cs="Arial"/>
        </w:rPr>
        <w:t xml:space="preserve"> if necessary</w:t>
      </w:r>
      <w:r w:rsidRPr="005E7418">
        <w:rPr>
          <w:rFonts w:cs="Arial"/>
        </w:rPr>
        <w:t xml:space="preserve"> to increase the CD34+ dose.</w:t>
      </w:r>
    </w:p>
    <w:p w14:paraId="3D708332" w14:textId="77777777" w:rsidR="005E7418" w:rsidRDefault="005E7418" w:rsidP="005E7418">
      <w:pPr>
        <w:pStyle w:val="ListParagraph"/>
        <w:ind w:left="1095"/>
        <w:rPr>
          <w:rFonts w:cs="Arial"/>
        </w:rPr>
      </w:pPr>
    </w:p>
    <w:p w14:paraId="7EF6C8E8" w14:textId="5EAE2D2E" w:rsidR="005E7418" w:rsidRDefault="00B82723" w:rsidP="005E7418">
      <w:pPr>
        <w:pStyle w:val="ListParagraph"/>
        <w:ind w:left="1095"/>
        <w:rPr>
          <w:rFonts w:cs="Arial"/>
        </w:rPr>
      </w:pPr>
      <w:r>
        <w:rPr>
          <w:rFonts w:cs="Arial"/>
        </w:rPr>
        <w:t>T</w:t>
      </w:r>
      <w:r w:rsidR="005E7418" w:rsidRPr="005E7418">
        <w:rPr>
          <w:rFonts w:cs="Arial"/>
        </w:rPr>
        <w:t>he final TCRαβ and CD19 depleted</w:t>
      </w:r>
      <w:r w:rsidR="00EE1905">
        <w:rPr>
          <w:rFonts w:cs="Arial"/>
        </w:rPr>
        <w:t xml:space="preserve"> cryopreserved</w:t>
      </w:r>
      <w:r w:rsidR="005E7418" w:rsidRPr="005E7418">
        <w:rPr>
          <w:rFonts w:cs="Arial"/>
        </w:rPr>
        <w:t xml:space="preserve"> product will be </w:t>
      </w:r>
      <w:r>
        <w:rPr>
          <w:rFonts w:cs="Arial"/>
        </w:rPr>
        <w:t>infus</w:t>
      </w:r>
      <w:r w:rsidR="005E7418" w:rsidRPr="005E7418">
        <w:rPr>
          <w:rFonts w:cs="Arial"/>
        </w:rPr>
        <w:t>ed intravenously</w:t>
      </w:r>
      <w:r>
        <w:rPr>
          <w:rFonts w:cs="Arial"/>
        </w:rPr>
        <w:t xml:space="preserve"> </w:t>
      </w:r>
      <w:r w:rsidR="005E7418" w:rsidRPr="005E7418">
        <w:rPr>
          <w:rFonts w:cs="Arial"/>
        </w:rPr>
        <w:t xml:space="preserve">according to institutional standards. </w:t>
      </w:r>
    </w:p>
    <w:p w14:paraId="31B01E7E" w14:textId="77777777" w:rsidR="005E7418" w:rsidRDefault="005E7418" w:rsidP="005E7418">
      <w:pPr>
        <w:pStyle w:val="ListParagraph"/>
        <w:ind w:left="1095"/>
        <w:rPr>
          <w:rFonts w:cs="Arial"/>
        </w:rPr>
      </w:pPr>
    </w:p>
    <w:p w14:paraId="16033F69" w14:textId="5B5517A1" w:rsidR="005E7418" w:rsidRDefault="005E7418" w:rsidP="005E7418">
      <w:pPr>
        <w:pStyle w:val="ListParagraph"/>
        <w:ind w:left="1095"/>
        <w:rPr>
          <w:rFonts w:cs="Arial"/>
        </w:rPr>
      </w:pPr>
      <w:r w:rsidRPr="005E7418">
        <w:rPr>
          <w:rFonts w:cs="Arial"/>
        </w:rPr>
        <w:t>This</w:t>
      </w:r>
      <w:r>
        <w:rPr>
          <w:rFonts w:cs="Arial"/>
        </w:rPr>
        <w:t xml:space="preserve"> patient</w:t>
      </w:r>
      <w:r w:rsidRPr="005E7418">
        <w:rPr>
          <w:rFonts w:cs="Arial"/>
        </w:rPr>
        <w:t xml:space="preserve"> </w:t>
      </w:r>
      <w:r w:rsidR="00690B76">
        <w:rPr>
          <w:rFonts w:cs="Arial"/>
        </w:rPr>
        <w:t>will not receive</w:t>
      </w:r>
      <w:r w:rsidRPr="005E7418">
        <w:rPr>
          <w:rFonts w:cs="Arial"/>
        </w:rPr>
        <w:t xml:space="preserve"> GVHD prophylaxis because &lt;1.0 x 10</w:t>
      </w:r>
      <w:r w:rsidRPr="00997321">
        <w:rPr>
          <w:rFonts w:cs="Arial"/>
          <w:vertAlign w:val="superscript"/>
        </w:rPr>
        <w:t>5</w:t>
      </w:r>
      <w:r w:rsidRPr="005E7418">
        <w:rPr>
          <w:rFonts w:cs="Arial"/>
        </w:rPr>
        <w:t xml:space="preserve"> αβ+CD3+ cells/kg recipient weight will generally be administered</w:t>
      </w:r>
    </w:p>
    <w:p w14:paraId="5DEC74AC" w14:textId="77777777" w:rsidR="005E7418" w:rsidRDefault="005E7418" w:rsidP="005E7418">
      <w:pPr>
        <w:pStyle w:val="ListParagraph"/>
        <w:ind w:left="1095"/>
        <w:rPr>
          <w:rFonts w:cs="Arial"/>
        </w:rPr>
      </w:pPr>
    </w:p>
    <w:p w14:paraId="14BE6131" w14:textId="46E1BC5A" w:rsidR="005E7418" w:rsidRDefault="005E7418" w:rsidP="005E7418">
      <w:pPr>
        <w:pStyle w:val="ListParagraph"/>
        <w:ind w:left="1095"/>
        <w:rPr>
          <w:rFonts w:cs="Arial"/>
        </w:rPr>
      </w:pPr>
      <w:r>
        <w:rPr>
          <w:rFonts w:cs="Arial"/>
        </w:rPr>
        <w:t xml:space="preserve">The rest of the supportive care before, during and after stem cell transplant will follow institutional standards. </w:t>
      </w:r>
    </w:p>
    <w:p w14:paraId="34A079CD" w14:textId="77777777" w:rsidR="003A3FE7" w:rsidRDefault="003A3FE7" w:rsidP="005E7418">
      <w:pPr>
        <w:pStyle w:val="ListParagraph"/>
        <w:ind w:left="1095"/>
        <w:rPr>
          <w:rFonts w:cs="Arial"/>
        </w:rPr>
      </w:pPr>
    </w:p>
    <w:p w14:paraId="2AB81CCB" w14:textId="154A0FEA" w:rsidR="003A3FE7" w:rsidRPr="00CE1D2F" w:rsidRDefault="003A3FE7" w:rsidP="003A3FE7">
      <w:pPr>
        <w:pStyle w:val="ListParagraph"/>
        <w:numPr>
          <w:ilvl w:val="1"/>
          <w:numId w:val="1"/>
        </w:numPr>
        <w:rPr>
          <w:rFonts w:cs="Arial"/>
        </w:rPr>
      </w:pPr>
      <w:r>
        <w:rPr>
          <w:rFonts w:cs="Arial"/>
          <w:b/>
          <w:bCs/>
        </w:rPr>
        <w:t>Cryopreservation Process</w:t>
      </w:r>
    </w:p>
    <w:p w14:paraId="483C7C9B" w14:textId="5240C5F0" w:rsidR="003A3FE7" w:rsidRDefault="003A3FE7" w:rsidP="003A3FE7">
      <w:pPr>
        <w:pStyle w:val="ListParagraph"/>
        <w:ind w:left="1095"/>
        <w:rPr>
          <w:rFonts w:cs="Arial"/>
        </w:rPr>
      </w:pPr>
      <w:r w:rsidRPr="00CE1D2F">
        <w:rPr>
          <w:rFonts w:cs="Arial"/>
        </w:rPr>
        <w:t xml:space="preserve">Cryopreservation will be performed per our </w:t>
      </w:r>
      <w:r w:rsidR="0062742B" w:rsidRPr="0062742B">
        <w:rPr>
          <w:rFonts w:cs="Arial"/>
        </w:rPr>
        <w:t>institutional</w:t>
      </w:r>
      <w:r w:rsidRPr="00CE1D2F">
        <w:rPr>
          <w:rFonts w:cs="Arial"/>
        </w:rPr>
        <w:t xml:space="preserve"> standards of care. Storage duration will be approximately 6 days. </w:t>
      </w:r>
    </w:p>
    <w:p w14:paraId="0AA805EC" w14:textId="77777777" w:rsidR="00A72264" w:rsidRDefault="00A72264" w:rsidP="003A3FE7">
      <w:pPr>
        <w:pStyle w:val="ListParagraph"/>
        <w:ind w:left="1095"/>
        <w:rPr>
          <w:rFonts w:cs="Arial"/>
        </w:rPr>
      </w:pPr>
    </w:p>
    <w:p w14:paraId="61021F4A" w14:textId="77777777" w:rsidR="00A72264" w:rsidRDefault="00A72264" w:rsidP="003A3FE7">
      <w:pPr>
        <w:pStyle w:val="ListParagraph"/>
        <w:ind w:left="1095"/>
        <w:rPr>
          <w:rFonts w:cs="Arial"/>
        </w:rPr>
      </w:pPr>
    </w:p>
    <w:p w14:paraId="3533D4FC" w14:textId="18D4BA11" w:rsidR="00A72264" w:rsidRPr="00A72264" w:rsidRDefault="00A72264" w:rsidP="00A72264">
      <w:pPr>
        <w:pStyle w:val="ListParagraph"/>
        <w:ind w:left="1095"/>
        <w:rPr>
          <w:rFonts w:cs="Arial"/>
        </w:rPr>
      </w:pPr>
      <w:r w:rsidRPr="00A72264">
        <w:rPr>
          <w:rFonts w:cs="Arial"/>
        </w:rPr>
        <w:t>HCP products are cryopreserved using 10% DMSO plus 5% HSA.  After addition of the cryopreservation solution the bags are labeled per ISBT standards and placed in a controlled rate freezer.  The controlled rate freezer reduces the temperature of the cells slowly to minimize any damage to the cells. The cell bags reach -90 degrees C at which they are held for 15 minutes, they are then transferred to liquid nitrogen vapor phase storage freezers.  The LN2 storage freezers are kept &lt;=-150 degrees C.</w:t>
      </w:r>
      <w:r>
        <w:rPr>
          <w:rFonts w:cs="Arial"/>
        </w:rPr>
        <w:t xml:space="preserve"> Please reference CMC for more details on cryopreservation process. </w:t>
      </w:r>
    </w:p>
    <w:p w14:paraId="0C08534A" w14:textId="77777777" w:rsidR="00A72264" w:rsidRPr="00CE1D2F" w:rsidRDefault="00A72264" w:rsidP="003A3FE7">
      <w:pPr>
        <w:pStyle w:val="ListParagraph"/>
        <w:ind w:left="1095"/>
        <w:rPr>
          <w:rFonts w:cs="Arial"/>
        </w:rPr>
      </w:pPr>
    </w:p>
    <w:p w14:paraId="4A20F9A6" w14:textId="77777777" w:rsidR="003A3FE7" w:rsidRPr="00CE1D2F" w:rsidRDefault="003A3FE7" w:rsidP="003A3FE7">
      <w:pPr>
        <w:pStyle w:val="ListParagraph"/>
        <w:ind w:left="1095"/>
        <w:rPr>
          <w:rFonts w:cs="Arial"/>
        </w:rPr>
      </w:pPr>
    </w:p>
    <w:p w14:paraId="269EAC13" w14:textId="77777777" w:rsidR="00A72264" w:rsidRDefault="00513660" w:rsidP="0062742B">
      <w:pPr>
        <w:pStyle w:val="ListParagraph"/>
        <w:ind w:left="1095"/>
        <w:rPr>
          <w:rFonts w:cs="Arial"/>
        </w:rPr>
      </w:pPr>
      <w:r>
        <w:rPr>
          <w:rFonts w:cs="Arial"/>
        </w:rPr>
        <w:t>Cryopreservation of hematopoietic stem cells is a common procedure in our cellular therapy lab.</w:t>
      </w:r>
      <w:r w:rsidR="0062742B">
        <w:rPr>
          <w:rFonts w:cs="Arial"/>
        </w:rPr>
        <w:t xml:space="preserve"> Stability testing is performed on HPC products every year and has consistently shown great recovery from the cryopreserved products. Appendix B shows our institution’s 2022 data with great viability recovery.</w:t>
      </w:r>
      <w:r>
        <w:rPr>
          <w:rFonts w:cs="Arial"/>
        </w:rPr>
        <w:t xml:space="preserve"> The length of time of cryopreservation</w:t>
      </w:r>
      <w:r w:rsidR="00A72264">
        <w:rPr>
          <w:rFonts w:cs="Arial"/>
        </w:rPr>
        <w:t xml:space="preserve"> for this patient</w:t>
      </w:r>
      <w:r>
        <w:rPr>
          <w:rFonts w:cs="Arial"/>
        </w:rPr>
        <w:t xml:space="preserve"> is quite short and should not cause a significant decrease in viability or decrease engraftment. At our institution, there has been successful engraftment of clinically collected and thawed PBSC following cryopreservation up to 18 years in mice, which signifies likely successful clinical transplantation following long-term cryopreservation (14). </w:t>
      </w:r>
    </w:p>
    <w:p w14:paraId="6CA29B9D" w14:textId="77777777" w:rsidR="00A72264" w:rsidRDefault="00A72264" w:rsidP="0062742B">
      <w:pPr>
        <w:pStyle w:val="ListParagraph"/>
        <w:ind w:left="1095"/>
        <w:rPr>
          <w:rFonts w:cs="Arial"/>
        </w:rPr>
      </w:pPr>
    </w:p>
    <w:p w14:paraId="6C47DCD6" w14:textId="5B082DBA" w:rsidR="00275188" w:rsidRPr="00275188" w:rsidRDefault="00513660" w:rsidP="00275188">
      <w:pPr>
        <w:pStyle w:val="ListParagraph"/>
        <w:ind w:left="1095"/>
        <w:rPr>
          <w:rFonts w:cs="Arial"/>
        </w:rPr>
      </w:pPr>
      <w:r>
        <w:rPr>
          <w:rFonts w:cs="Arial"/>
        </w:rPr>
        <w:t xml:space="preserve">Our institution has </w:t>
      </w:r>
      <w:r w:rsidR="00A72264">
        <w:rPr>
          <w:rFonts w:cs="Arial"/>
        </w:rPr>
        <w:t xml:space="preserve">recently </w:t>
      </w:r>
      <w:r>
        <w:rPr>
          <w:rFonts w:cs="Arial"/>
        </w:rPr>
        <w:t>performed cryopreservation on CD34 selected graft</w:t>
      </w:r>
      <w:r w:rsidR="00A72264">
        <w:rPr>
          <w:rFonts w:cs="Arial"/>
        </w:rPr>
        <w:t xml:space="preserve">s </w:t>
      </w:r>
      <w:r>
        <w:rPr>
          <w:rFonts w:cs="Arial"/>
        </w:rPr>
        <w:t>with great success</w:t>
      </w:r>
      <w:r w:rsidR="00A72264">
        <w:rPr>
          <w:rFonts w:cs="Arial"/>
        </w:rPr>
        <w:t>, see Appendix C for more details. On the one with a post thaw viability available, there was</w:t>
      </w:r>
      <w:r>
        <w:rPr>
          <w:rFonts w:cs="Arial"/>
        </w:rPr>
        <w:t xml:space="preserve"> </w:t>
      </w:r>
      <w:r w:rsidR="00A72264">
        <w:rPr>
          <w:rFonts w:cs="Arial"/>
        </w:rPr>
        <w:t>a</w:t>
      </w:r>
      <w:r>
        <w:rPr>
          <w:rFonts w:cs="Arial"/>
        </w:rPr>
        <w:t xml:space="preserve"> post thaw viability was 72%. Our CD34 collection dose will be robust and </w:t>
      </w:r>
      <w:r w:rsidR="0062742B">
        <w:rPr>
          <w:rFonts w:cs="Arial"/>
        </w:rPr>
        <w:t xml:space="preserve">should still be </w:t>
      </w:r>
      <w:r w:rsidR="00B82723">
        <w:rPr>
          <w:rFonts w:cs="Arial"/>
        </w:rPr>
        <w:t xml:space="preserve">well </w:t>
      </w:r>
      <w:r w:rsidR="0062742B">
        <w:rPr>
          <w:rFonts w:cs="Arial"/>
        </w:rPr>
        <w:t>within the accepted CD34 dose</w:t>
      </w:r>
      <w:r w:rsidR="00A72264">
        <w:rPr>
          <w:rFonts w:cs="Arial"/>
        </w:rPr>
        <w:t xml:space="preserve"> for the patient</w:t>
      </w:r>
      <w:r w:rsidR="0062742B">
        <w:rPr>
          <w:rFonts w:cs="Arial"/>
        </w:rPr>
        <w:t xml:space="preserve"> if </w:t>
      </w:r>
      <w:r w:rsidR="00B82723">
        <w:rPr>
          <w:rFonts w:cs="Arial"/>
        </w:rPr>
        <w:t xml:space="preserve">a </w:t>
      </w:r>
      <w:r w:rsidR="0062742B">
        <w:rPr>
          <w:rFonts w:cs="Arial"/>
        </w:rPr>
        <w:t xml:space="preserve">20-30% decrease in viability is seen. </w:t>
      </w:r>
    </w:p>
    <w:p w14:paraId="36D069C9" w14:textId="327D4D7C" w:rsidR="00B65D5B" w:rsidRPr="00CE1D2F" w:rsidRDefault="003A3FE7" w:rsidP="00CE1D2F">
      <w:pPr>
        <w:ind w:left="720"/>
        <w:rPr>
          <w:b/>
          <w:bCs/>
        </w:rPr>
      </w:pPr>
      <w:r>
        <w:rPr>
          <w:b/>
          <w:bCs/>
        </w:rPr>
        <w:t xml:space="preserve">3.3 </w:t>
      </w:r>
      <w:r w:rsidR="00617425" w:rsidRPr="00CE1D2F">
        <w:rPr>
          <w:b/>
          <w:bCs/>
        </w:rPr>
        <w:t>Manufactur</w:t>
      </w:r>
      <w:r w:rsidR="00BA55D0" w:rsidRPr="00CE1D2F">
        <w:rPr>
          <w:b/>
          <w:bCs/>
        </w:rPr>
        <w:t>ing Responsibilities</w:t>
      </w:r>
    </w:p>
    <w:p w14:paraId="0E27FC03" w14:textId="27DB2D41" w:rsidR="00690B76" w:rsidRDefault="00B65D5B" w:rsidP="00690B76">
      <w:pPr>
        <w:pStyle w:val="ListParagraph"/>
        <w:ind w:left="1095"/>
      </w:pPr>
      <w:r>
        <w:t xml:space="preserve">The alpha-beta T Cell + CD19 depletion will be manufactured </w:t>
      </w:r>
      <w:r w:rsidR="00690B76">
        <w:t>using</w:t>
      </w:r>
      <w:r>
        <w:t xml:space="preserve"> the Miltenyi Biotec CliniMACS </w:t>
      </w:r>
      <w:r w:rsidR="00690B76">
        <w:t>device</w:t>
      </w:r>
      <w:r>
        <w:t xml:space="preserve">. </w:t>
      </w:r>
    </w:p>
    <w:p w14:paraId="71B3FB2F" w14:textId="5022E7EC" w:rsidR="00B65D5B" w:rsidRDefault="00B65D5B" w:rsidP="00B65D5B">
      <w:pPr>
        <w:pStyle w:val="ListParagraph"/>
        <w:ind w:left="1095"/>
      </w:pPr>
    </w:p>
    <w:p w14:paraId="76A9E8BA" w14:textId="77777777" w:rsidR="00B65D5B" w:rsidRDefault="00B65D5B" w:rsidP="00B65D5B">
      <w:pPr>
        <w:autoSpaceDE w:val="0"/>
        <w:autoSpaceDN w:val="0"/>
        <w:adjustRightInd w:val="0"/>
        <w:spacing w:after="0"/>
        <w:ind w:left="375" w:firstLine="720"/>
        <w:jc w:val="both"/>
        <w:rPr>
          <w:rFonts w:ascii="Arial" w:hAnsi="Arial" w:cs="Arial"/>
        </w:rPr>
      </w:pPr>
    </w:p>
    <w:p w14:paraId="7EF7E51E" w14:textId="6415EB0A" w:rsidR="00B65D5B" w:rsidRDefault="00B65D5B" w:rsidP="004253DA">
      <w:pPr>
        <w:autoSpaceDE w:val="0"/>
        <w:autoSpaceDN w:val="0"/>
        <w:adjustRightInd w:val="0"/>
        <w:spacing w:after="0" w:line="240" w:lineRule="auto"/>
        <w:ind w:left="1080"/>
        <w:jc w:val="both"/>
      </w:pPr>
      <w:r w:rsidRPr="00B65D5B">
        <w:t>Apheresis PBMC collections are performed at the following FACT accredit</w:t>
      </w:r>
      <w:r w:rsidR="004253DA">
        <w:t xml:space="preserve">ed </w:t>
      </w:r>
      <w:r w:rsidRPr="00B65D5B">
        <w:t>facility:</w:t>
      </w:r>
      <w:r w:rsidR="004253DA">
        <w:t xml:space="preserve"> </w:t>
      </w:r>
    </w:p>
    <w:p w14:paraId="6C1FC0D8"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Transfusion Medicine - Apheresis</w:t>
      </w:r>
    </w:p>
    <w:p w14:paraId="1935FFA7"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Indiana University Hospital</w:t>
      </w:r>
    </w:p>
    <w:p w14:paraId="479D73C6"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550 University Blvd</w:t>
      </w:r>
    </w:p>
    <w:p w14:paraId="7E6F3F0E"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Indianapolis, IN 46202</w:t>
      </w:r>
    </w:p>
    <w:p w14:paraId="0CD2EAE9" w14:textId="77777777" w:rsidR="004253DA" w:rsidRPr="00D72D4C" w:rsidRDefault="004253DA" w:rsidP="004253DA">
      <w:pPr>
        <w:spacing w:after="0" w:line="240" w:lineRule="auto"/>
        <w:ind w:left="1080"/>
        <w:jc w:val="both"/>
        <w:rPr>
          <w:rFonts w:ascii="Arial" w:hAnsi="Arial" w:cs="Arial"/>
        </w:rPr>
      </w:pPr>
    </w:p>
    <w:p w14:paraId="128A92A3" w14:textId="77777777" w:rsidR="004253DA" w:rsidRPr="00D11C74" w:rsidRDefault="004253DA" w:rsidP="004253DA">
      <w:pPr>
        <w:spacing w:after="0" w:line="240" w:lineRule="auto"/>
        <w:ind w:left="1080"/>
        <w:jc w:val="both"/>
        <w:rPr>
          <w:rFonts w:ascii="Arial" w:hAnsi="Arial" w:cs="Arial"/>
        </w:rPr>
      </w:pPr>
      <w:r w:rsidRPr="00D72D4C">
        <w:rPr>
          <w:rFonts w:ascii="Arial" w:hAnsi="Arial" w:cs="Arial"/>
          <w:b/>
          <w:bCs/>
        </w:rPr>
        <w:t>Transfusion Medicine Director:</w:t>
      </w:r>
      <w:r w:rsidRPr="00D11C74">
        <w:rPr>
          <w:rFonts w:ascii="Arial" w:hAnsi="Arial" w:cs="Arial"/>
        </w:rPr>
        <w:t xml:space="preserve"> Elaine Skipworth, MBA, MT(ASCP)HP</w:t>
      </w:r>
    </w:p>
    <w:p w14:paraId="69282E36" w14:textId="77777777" w:rsidR="004253DA" w:rsidRPr="00D11C74" w:rsidRDefault="004253DA" w:rsidP="004253DA">
      <w:pPr>
        <w:spacing w:after="0" w:line="240" w:lineRule="auto"/>
        <w:ind w:left="1080"/>
        <w:jc w:val="both"/>
        <w:rPr>
          <w:rFonts w:ascii="Arial" w:hAnsi="Arial" w:cs="Arial"/>
        </w:rPr>
      </w:pPr>
    </w:p>
    <w:p w14:paraId="5796549B" w14:textId="6E5A8B69" w:rsidR="0081459C" w:rsidRDefault="0081459C" w:rsidP="0081459C">
      <w:pPr>
        <w:pStyle w:val="ListParagraph"/>
        <w:ind w:left="1095"/>
      </w:pPr>
      <w:r>
        <w:t>Depletion of the product is performed in the IU Health Cell Therapy Laboratory, a FACT accredited facility.</w:t>
      </w:r>
    </w:p>
    <w:p w14:paraId="22A32FA9" w14:textId="25DD545E" w:rsidR="0081459C" w:rsidRDefault="0081459C" w:rsidP="0081459C">
      <w:pPr>
        <w:pStyle w:val="ListParagraph"/>
        <w:ind w:left="1095"/>
      </w:pPr>
    </w:p>
    <w:p w14:paraId="3BAEC2BA" w14:textId="77777777" w:rsidR="0081459C" w:rsidRPr="00D11C74" w:rsidRDefault="0081459C" w:rsidP="0081459C">
      <w:pPr>
        <w:spacing w:after="0" w:line="240" w:lineRule="auto"/>
        <w:ind w:left="1080"/>
        <w:jc w:val="both"/>
        <w:rPr>
          <w:rFonts w:ascii="Arial" w:hAnsi="Arial" w:cs="Arial"/>
        </w:rPr>
      </w:pPr>
      <w:r w:rsidRPr="00D11C74">
        <w:rPr>
          <w:rFonts w:ascii="Arial" w:hAnsi="Arial" w:cs="Arial"/>
        </w:rPr>
        <w:t>Transfusion Medicine – Cell Therapy Laboratory</w:t>
      </w:r>
    </w:p>
    <w:p w14:paraId="3A713DC0" w14:textId="77777777" w:rsidR="0081459C" w:rsidRPr="00D11C74" w:rsidRDefault="0081459C" w:rsidP="0081459C">
      <w:pPr>
        <w:spacing w:after="0" w:line="240" w:lineRule="auto"/>
        <w:ind w:left="1080"/>
        <w:jc w:val="both"/>
        <w:rPr>
          <w:rFonts w:ascii="Arial" w:hAnsi="Arial" w:cs="Arial"/>
        </w:rPr>
      </w:pPr>
      <w:r w:rsidRPr="00D11C74">
        <w:rPr>
          <w:rFonts w:ascii="Arial" w:hAnsi="Arial" w:cs="Arial"/>
        </w:rPr>
        <w:t>Indiana University Hospital</w:t>
      </w:r>
    </w:p>
    <w:p w14:paraId="255AC2F9" w14:textId="77777777" w:rsidR="0081459C" w:rsidRPr="00D11C74" w:rsidRDefault="0081459C" w:rsidP="0081459C">
      <w:pPr>
        <w:spacing w:after="0" w:line="240" w:lineRule="auto"/>
        <w:ind w:left="1080"/>
        <w:jc w:val="both"/>
        <w:rPr>
          <w:rFonts w:ascii="Arial" w:hAnsi="Arial" w:cs="Arial"/>
        </w:rPr>
      </w:pPr>
      <w:r w:rsidRPr="00D11C74">
        <w:rPr>
          <w:rFonts w:ascii="Arial" w:hAnsi="Arial" w:cs="Arial"/>
        </w:rPr>
        <w:t>550 University Blvd</w:t>
      </w:r>
    </w:p>
    <w:p w14:paraId="25F6843B" w14:textId="77777777" w:rsidR="0081459C" w:rsidRPr="00D11C74" w:rsidRDefault="0081459C" w:rsidP="0081459C">
      <w:pPr>
        <w:spacing w:after="0" w:line="240" w:lineRule="auto"/>
        <w:ind w:left="1080"/>
        <w:jc w:val="both"/>
        <w:rPr>
          <w:rFonts w:ascii="Arial" w:hAnsi="Arial" w:cs="Arial"/>
        </w:rPr>
      </w:pPr>
      <w:r w:rsidRPr="00D11C74">
        <w:rPr>
          <w:rFonts w:ascii="Arial" w:hAnsi="Arial" w:cs="Arial"/>
        </w:rPr>
        <w:t>Indianapolis, IN 46202</w:t>
      </w:r>
    </w:p>
    <w:p w14:paraId="36FA4ED3" w14:textId="7D3B80A1" w:rsidR="0081459C" w:rsidRDefault="0081459C" w:rsidP="0081459C">
      <w:pPr>
        <w:pStyle w:val="ListParagraph"/>
        <w:ind w:left="1095"/>
      </w:pPr>
    </w:p>
    <w:p w14:paraId="6EC29F57" w14:textId="70EC4165" w:rsidR="0081459C" w:rsidRDefault="0081459C" w:rsidP="0081459C">
      <w:pPr>
        <w:pStyle w:val="ListParagraph"/>
        <w:ind w:left="1095"/>
      </w:pPr>
      <w:r w:rsidRPr="00997321">
        <w:rPr>
          <w:b/>
          <w:bCs/>
        </w:rPr>
        <w:t>CTL Manager:</w:t>
      </w:r>
      <w:r>
        <w:t xml:space="preserve"> Dave Schwering, MT(AMT), CABP </w:t>
      </w:r>
    </w:p>
    <w:p w14:paraId="00079482" w14:textId="3295AE70" w:rsidR="0081459C" w:rsidRDefault="0081459C" w:rsidP="0081459C">
      <w:pPr>
        <w:pStyle w:val="ListParagraph"/>
        <w:ind w:left="1095"/>
        <w:rPr>
          <w:rFonts w:ascii="Arial" w:hAnsi="Arial" w:cs="Arial"/>
        </w:rPr>
      </w:pPr>
      <w:r w:rsidRPr="00997321">
        <w:rPr>
          <w:b/>
          <w:bCs/>
        </w:rPr>
        <w:t>Transfusion Medicine Director:</w:t>
      </w:r>
      <w:r>
        <w:t xml:space="preserve"> </w:t>
      </w:r>
      <w:r w:rsidRPr="00D11C74">
        <w:rPr>
          <w:rFonts w:ascii="Arial" w:hAnsi="Arial" w:cs="Arial"/>
        </w:rPr>
        <w:t>Elaine Skipworth, MBA, MT(ASCP)HP</w:t>
      </w:r>
    </w:p>
    <w:p w14:paraId="3351C426" w14:textId="77777777" w:rsidR="0081459C" w:rsidRDefault="0081459C" w:rsidP="0081459C">
      <w:pPr>
        <w:pStyle w:val="ListParagraph"/>
        <w:ind w:left="1095"/>
      </w:pPr>
    </w:p>
    <w:p w14:paraId="003230C3" w14:textId="28C2C0B4" w:rsidR="0081459C" w:rsidRDefault="0081459C" w:rsidP="0081459C">
      <w:pPr>
        <w:pStyle w:val="ListParagraph"/>
        <w:ind w:left="1095"/>
      </w:pPr>
      <w:r>
        <w:t>Product testing for CD19/CD20 and CD3 TCR</w:t>
      </w:r>
      <w:r w:rsidRPr="00AD0541">
        <w:rPr>
          <w:rFonts w:ascii="Symbol" w:hAnsi="Symbol"/>
        </w:rPr>
        <w:t>a/b</w:t>
      </w:r>
      <w:r>
        <w:t xml:space="preserve"> will be completed in the Cell Immunotherapy and Transduction Facility (CIT) at the Indiana University School of Medicine.</w:t>
      </w:r>
    </w:p>
    <w:p w14:paraId="52677AA7" w14:textId="66D93A86" w:rsidR="0081459C" w:rsidRDefault="0081459C" w:rsidP="0081459C">
      <w:pPr>
        <w:pStyle w:val="ListParagraph"/>
        <w:ind w:left="1095"/>
      </w:pPr>
    </w:p>
    <w:p w14:paraId="36A70910" w14:textId="754892A0" w:rsidR="0081459C" w:rsidRDefault="0081459C" w:rsidP="0081459C">
      <w:pPr>
        <w:pStyle w:val="ListParagraph"/>
        <w:ind w:left="1095"/>
      </w:pPr>
      <w:r>
        <w:t>Cell Immunotherapy and Transduction Facility</w:t>
      </w:r>
    </w:p>
    <w:p w14:paraId="7C2E096B" w14:textId="37B3E80E" w:rsidR="0081459C" w:rsidRDefault="0081459C" w:rsidP="0081459C">
      <w:pPr>
        <w:pStyle w:val="ListParagraph"/>
        <w:ind w:left="1095"/>
      </w:pPr>
      <w:r>
        <w:t>Cell and Gene Therapy Manufacturing</w:t>
      </w:r>
    </w:p>
    <w:p w14:paraId="0BDA2D11" w14:textId="7FFEC502" w:rsidR="0081459C" w:rsidRDefault="0081459C" w:rsidP="0081459C">
      <w:pPr>
        <w:pStyle w:val="ListParagraph"/>
        <w:ind w:left="1095"/>
      </w:pPr>
      <w:r>
        <w:t>Indiana University School of Medicine</w:t>
      </w:r>
    </w:p>
    <w:p w14:paraId="6BD8C919" w14:textId="1EC81A9D" w:rsidR="0081459C" w:rsidRDefault="0081459C" w:rsidP="0081459C">
      <w:pPr>
        <w:pStyle w:val="ListParagraph"/>
        <w:ind w:left="1095"/>
      </w:pPr>
      <w:r>
        <w:t>Indiana University Hospital</w:t>
      </w:r>
    </w:p>
    <w:p w14:paraId="7DB1BC8B" w14:textId="61481F93" w:rsidR="0081459C" w:rsidRPr="0081459C" w:rsidRDefault="0081459C" w:rsidP="0081459C">
      <w:pPr>
        <w:pStyle w:val="ListParagraph"/>
        <w:ind w:left="1095"/>
      </w:pPr>
      <w:r>
        <w:t>550 University Blvd</w:t>
      </w:r>
      <w:r>
        <w:br/>
        <w:t>Indianapolis, IN 46202</w:t>
      </w:r>
    </w:p>
    <w:p w14:paraId="20854C6F" w14:textId="77777777" w:rsidR="0081459C" w:rsidRDefault="0081459C" w:rsidP="0081459C">
      <w:pPr>
        <w:autoSpaceDE w:val="0"/>
        <w:autoSpaceDN w:val="0"/>
        <w:adjustRightInd w:val="0"/>
        <w:spacing w:after="0"/>
        <w:ind w:left="375" w:firstLine="720"/>
        <w:jc w:val="both"/>
        <w:rPr>
          <w:rFonts w:ascii="Arial" w:hAnsi="Arial" w:cs="Arial"/>
        </w:rPr>
      </w:pPr>
      <w:r w:rsidRPr="00D72D4C">
        <w:rPr>
          <w:rFonts w:ascii="Arial" w:hAnsi="Arial" w:cs="Arial"/>
          <w:b/>
          <w:bCs/>
        </w:rPr>
        <w:t xml:space="preserve">CIT </w:t>
      </w:r>
      <w:r>
        <w:rPr>
          <w:rFonts w:ascii="Arial" w:hAnsi="Arial" w:cs="Arial"/>
          <w:b/>
          <w:bCs/>
        </w:rPr>
        <w:t>Manager</w:t>
      </w:r>
      <w:r w:rsidRPr="00D72D4C">
        <w:rPr>
          <w:rFonts w:ascii="Arial" w:hAnsi="Arial" w:cs="Arial"/>
          <w:b/>
          <w:bCs/>
        </w:rPr>
        <w:t>:</w:t>
      </w:r>
      <w:r w:rsidRPr="00D11C74">
        <w:rPr>
          <w:rFonts w:ascii="Arial" w:hAnsi="Arial" w:cs="Arial"/>
        </w:rPr>
        <w:t xml:space="preserve"> </w:t>
      </w:r>
      <w:r>
        <w:rPr>
          <w:rFonts w:ascii="Arial" w:hAnsi="Arial" w:cs="Arial"/>
        </w:rPr>
        <w:t>Christina Vaughan</w:t>
      </w:r>
      <w:r w:rsidRPr="00D11C74">
        <w:rPr>
          <w:rFonts w:ascii="Arial" w:hAnsi="Arial" w:cs="Arial"/>
        </w:rPr>
        <w:t xml:space="preserve">, MS, </w:t>
      </w:r>
      <w:r>
        <w:rPr>
          <w:rFonts w:ascii="Arial" w:hAnsi="Arial" w:cs="Arial"/>
        </w:rPr>
        <w:t>CABP</w:t>
      </w:r>
    </w:p>
    <w:p w14:paraId="34D1FC84" w14:textId="77777777" w:rsidR="0081459C" w:rsidRDefault="0081459C" w:rsidP="0081459C">
      <w:pPr>
        <w:autoSpaceDE w:val="0"/>
        <w:autoSpaceDN w:val="0"/>
        <w:adjustRightInd w:val="0"/>
        <w:spacing w:after="0"/>
        <w:ind w:left="375" w:firstLine="720"/>
        <w:jc w:val="both"/>
        <w:rPr>
          <w:rFonts w:ascii="Arial" w:hAnsi="Arial" w:cs="Arial"/>
        </w:rPr>
      </w:pPr>
      <w:r>
        <w:rPr>
          <w:rFonts w:ascii="Arial" w:hAnsi="Arial" w:cs="Arial"/>
          <w:b/>
          <w:bCs/>
        </w:rPr>
        <w:t>CIT/</w:t>
      </w:r>
      <w:r w:rsidRPr="00D72D4C">
        <w:rPr>
          <w:rFonts w:ascii="Arial" w:hAnsi="Arial" w:cs="Arial"/>
          <w:b/>
          <w:bCs/>
        </w:rPr>
        <w:t>CGTM Director:</w:t>
      </w:r>
      <w:r w:rsidRPr="00D11C74">
        <w:rPr>
          <w:rFonts w:ascii="Arial" w:hAnsi="Arial" w:cs="Arial"/>
        </w:rPr>
        <w:t xml:space="preserve"> Emily Hopewell, PhD</w:t>
      </w:r>
      <w:r>
        <w:rPr>
          <w:rFonts w:ascii="Arial" w:hAnsi="Arial" w:cs="Arial"/>
        </w:rPr>
        <w:t>, CABP(H)</w:t>
      </w:r>
    </w:p>
    <w:p w14:paraId="0262A318" w14:textId="21BE9E11" w:rsidR="0081459C" w:rsidRDefault="0081459C" w:rsidP="00997321">
      <w:pPr>
        <w:spacing w:after="0" w:line="240" w:lineRule="auto"/>
        <w:jc w:val="both"/>
        <w:rPr>
          <w:rFonts w:ascii="Arial" w:hAnsi="Arial" w:cs="Arial"/>
        </w:rPr>
      </w:pPr>
    </w:p>
    <w:p w14:paraId="4581B3E5" w14:textId="3E204E7E" w:rsidR="004253DA" w:rsidRPr="00D11C74" w:rsidRDefault="004253DA" w:rsidP="004253DA">
      <w:pPr>
        <w:spacing w:after="0" w:line="240" w:lineRule="auto"/>
        <w:ind w:left="1080"/>
        <w:jc w:val="both"/>
        <w:rPr>
          <w:rFonts w:ascii="Arial" w:hAnsi="Arial" w:cs="Arial"/>
        </w:rPr>
      </w:pPr>
      <w:r w:rsidRPr="00D11C74">
        <w:rPr>
          <w:rFonts w:ascii="Arial" w:hAnsi="Arial" w:cs="Arial"/>
        </w:rPr>
        <w:t>Clinical products are distributed for infusion by the following FACT accredited facility:</w:t>
      </w:r>
    </w:p>
    <w:p w14:paraId="1BDF2FB6"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Transfusion Medicine – Cell Therapy Laboratory</w:t>
      </w:r>
    </w:p>
    <w:p w14:paraId="5C361296"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Indiana University Hospital</w:t>
      </w:r>
    </w:p>
    <w:p w14:paraId="2173EA8C"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550 University Blvd</w:t>
      </w:r>
    </w:p>
    <w:p w14:paraId="76F9BF78"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Indianapolis, IN 46202</w:t>
      </w:r>
    </w:p>
    <w:p w14:paraId="33EA263D" w14:textId="77777777" w:rsidR="004253DA" w:rsidRPr="00D11C74" w:rsidRDefault="004253DA" w:rsidP="004253DA">
      <w:pPr>
        <w:spacing w:after="0" w:line="240" w:lineRule="auto"/>
        <w:ind w:left="1080"/>
        <w:jc w:val="both"/>
        <w:rPr>
          <w:rFonts w:ascii="Arial" w:hAnsi="Arial" w:cs="Arial"/>
        </w:rPr>
      </w:pPr>
    </w:p>
    <w:p w14:paraId="38C9CF72" w14:textId="77777777" w:rsidR="004253DA" w:rsidRPr="00D11C74" w:rsidRDefault="004253DA" w:rsidP="004253DA">
      <w:pPr>
        <w:spacing w:after="0" w:line="240" w:lineRule="auto"/>
        <w:ind w:left="1080"/>
        <w:jc w:val="both"/>
        <w:rPr>
          <w:rFonts w:ascii="Arial" w:hAnsi="Arial" w:cs="Arial"/>
        </w:rPr>
      </w:pPr>
      <w:r w:rsidRPr="00D11C74">
        <w:rPr>
          <w:rFonts w:ascii="Arial" w:hAnsi="Arial" w:cs="Arial"/>
        </w:rPr>
        <w:t>Patients are infused at the following facility:</w:t>
      </w:r>
    </w:p>
    <w:p w14:paraId="312827B9" w14:textId="77777777" w:rsidR="004253DA" w:rsidRPr="00D72D4C" w:rsidRDefault="004253DA" w:rsidP="004253DA">
      <w:pPr>
        <w:spacing w:after="0" w:line="240" w:lineRule="auto"/>
        <w:ind w:left="1080"/>
        <w:jc w:val="both"/>
        <w:rPr>
          <w:rFonts w:ascii="Arial" w:hAnsi="Arial" w:cs="Arial"/>
        </w:rPr>
      </w:pPr>
    </w:p>
    <w:p w14:paraId="6C88BFD8" w14:textId="77777777" w:rsidR="004253DA" w:rsidRPr="00D11C74" w:rsidRDefault="004253DA" w:rsidP="004253DA">
      <w:pPr>
        <w:spacing w:after="0" w:line="240" w:lineRule="auto"/>
        <w:ind w:left="1080"/>
        <w:jc w:val="both"/>
        <w:rPr>
          <w:rFonts w:ascii="Arial" w:hAnsi="Arial" w:cs="Arial"/>
        </w:rPr>
      </w:pPr>
      <w:r>
        <w:rPr>
          <w:rFonts w:ascii="Arial" w:hAnsi="Arial" w:cs="Arial"/>
        </w:rPr>
        <w:t xml:space="preserve">Riley Hospital for Children - </w:t>
      </w:r>
      <w:r w:rsidRPr="00D11C74">
        <w:rPr>
          <w:rFonts w:ascii="Arial" w:hAnsi="Arial" w:cs="Arial"/>
        </w:rPr>
        <w:t>Indiana University</w:t>
      </w:r>
    </w:p>
    <w:p w14:paraId="5534A0ED" w14:textId="77777777" w:rsidR="004253DA" w:rsidRPr="00D11C74" w:rsidRDefault="004253DA" w:rsidP="004253DA">
      <w:pPr>
        <w:spacing w:after="0" w:line="240" w:lineRule="auto"/>
        <w:ind w:left="1080"/>
        <w:jc w:val="both"/>
        <w:rPr>
          <w:rFonts w:ascii="Arial" w:hAnsi="Arial" w:cs="Arial"/>
        </w:rPr>
      </w:pPr>
      <w:r>
        <w:rPr>
          <w:rFonts w:ascii="Arial" w:hAnsi="Arial" w:cs="Arial"/>
        </w:rPr>
        <w:t>705 Riley Hospital Dr</w:t>
      </w:r>
    </w:p>
    <w:p w14:paraId="0CF75FD8" w14:textId="7A15D426" w:rsidR="00B65D5B" w:rsidRPr="004253DA" w:rsidRDefault="004253DA" w:rsidP="004253DA">
      <w:pPr>
        <w:spacing w:after="0" w:line="240" w:lineRule="auto"/>
        <w:ind w:left="1080"/>
        <w:jc w:val="both"/>
        <w:rPr>
          <w:rFonts w:ascii="Arial" w:hAnsi="Arial" w:cs="Arial"/>
        </w:rPr>
      </w:pPr>
      <w:r w:rsidRPr="00D11C74">
        <w:rPr>
          <w:rFonts w:ascii="Arial" w:hAnsi="Arial" w:cs="Arial"/>
        </w:rPr>
        <w:t>Indianapolis, IN 46202</w:t>
      </w:r>
    </w:p>
    <w:p w14:paraId="5E445920" w14:textId="77777777" w:rsidR="00B65D5B" w:rsidRPr="00B65D5B" w:rsidRDefault="00B65D5B" w:rsidP="00B65D5B">
      <w:pPr>
        <w:pStyle w:val="ListParagraph"/>
        <w:ind w:left="1095"/>
      </w:pPr>
    </w:p>
    <w:p w14:paraId="1E7F8F6A" w14:textId="36A59966" w:rsidR="00BA55D0" w:rsidRPr="00CE1D2F" w:rsidRDefault="003A3FE7" w:rsidP="00CE1D2F">
      <w:pPr>
        <w:ind w:left="720"/>
        <w:rPr>
          <w:b/>
          <w:bCs/>
        </w:rPr>
      </w:pPr>
      <w:r>
        <w:rPr>
          <w:b/>
          <w:bCs/>
        </w:rPr>
        <w:t xml:space="preserve">3.4 </w:t>
      </w:r>
      <w:r w:rsidR="00BA55D0" w:rsidRPr="00CE1D2F">
        <w:rPr>
          <w:b/>
          <w:bCs/>
        </w:rPr>
        <w:t>Assessment and release criteria for final product</w:t>
      </w:r>
    </w:p>
    <w:p w14:paraId="7EE1DE00" w14:textId="55B66451" w:rsidR="00DF4018" w:rsidRPr="00997321" w:rsidRDefault="00845935" w:rsidP="00997321">
      <w:pPr>
        <w:ind w:left="720"/>
      </w:pPr>
      <w:r>
        <w:t>The final selected product will be assessed for residual CD3+</w:t>
      </w:r>
      <w:r w:rsidR="008C4DED">
        <w:t>, TCR</w:t>
      </w:r>
      <w:r w:rsidR="008C4DED" w:rsidRPr="00997321">
        <w:rPr>
          <w:rFonts w:ascii="Symbol" w:hAnsi="Symbol"/>
        </w:rPr>
        <w:t>a/b</w:t>
      </w:r>
      <w:r w:rsidR="008C4DED">
        <w:t>+</w:t>
      </w:r>
      <w:r>
        <w:t xml:space="preserve"> and CD20+ cell content as described above.  In addition, release criteria will include general institutional product standards such as</w:t>
      </w:r>
      <w:r w:rsidR="009D6BE1">
        <w:t xml:space="preserve"> CD34+</w:t>
      </w:r>
      <w:r>
        <w:t xml:space="preserve"> </w:t>
      </w:r>
      <w:r w:rsidR="00DF4018" w:rsidRPr="00997321">
        <w:t>cell count</w:t>
      </w:r>
      <w:r>
        <w:t xml:space="preserve">, </w:t>
      </w:r>
      <w:r w:rsidR="009D6BE1">
        <w:t xml:space="preserve">total cell count, </w:t>
      </w:r>
      <w:r w:rsidR="00DF4018" w:rsidRPr="00997321">
        <w:t>viability,</w:t>
      </w:r>
      <w:r>
        <w:t xml:space="preserve"> and s</w:t>
      </w:r>
      <w:r w:rsidR="00DF4018" w:rsidRPr="00997321">
        <w:t>terility testing</w:t>
      </w:r>
      <w:r>
        <w:t xml:space="preserve"> of the final product per institution SOPs</w:t>
      </w:r>
      <w:r w:rsidR="00DF4018" w:rsidRPr="00997321">
        <w:t>.</w:t>
      </w:r>
    </w:p>
    <w:p w14:paraId="6BD7EE27" w14:textId="72FC6445" w:rsidR="00BA55D0" w:rsidRPr="00CE1D2F" w:rsidRDefault="003A3FE7" w:rsidP="00CE1D2F">
      <w:pPr>
        <w:ind w:left="720"/>
        <w:rPr>
          <w:b/>
          <w:bCs/>
        </w:rPr>
      </w:pPr>
      <w:r>
        <w:rPr>
          <w:b/>
          <w:bCs/>
        </w:rPr>
        <w:t xml:space="preserve">3.5 </w:t>
      </w:r>
      <w:r w:rsidR="00BA55D0" w:rsidRPr="00CE1D2F">
        <w:rPr>
          <w:b/>
          <w:bCs/>
        </w:rPr>
        <w:t xml:space="preserve">Packaging, labeling and storage </w:t>
      </w:r>
    </w:p>
    <w:p w14:paraId="23F8BE80" w14:textId="6E99DCCA" w:rsidR="00DF4018" w:rsidRPr="00997321" w:rsidRDefault="00DF4018" w:rsidP="00997321">
      <w:pPr>
        <w:ind w:left="720"/>
      </w:pPr>
      <w:r>
        <w:t>The final product will be packaged and labelled according to</w:t>
      </w:r>
      <w:r w:rsidRPr="00997321">
        <w:t xml:space="preserve"> institutional SOPs </w:t>
      </w:r>
      <w:r>
        <w:t>which incorporate FDA, FACT and other accreditation</w:t>
      </w:r>
      <w:r w:rsidRPr="00997321">
        <w:t xml:space="preserve"> standards</w:t>
      </w:r>
      <w:r>
        <w:t xml:space="preserve">.  If the final product is frozen prior to infusion, cell freezing and storage will </w:t>
      </w:r>
      <w:r w:rsidR="00845935">
        <w:t>be carried out per institutional SOPs as well.</w:t>
      </w:r>
    </w:p>
    <w:p w14:paraId="1519A671" w14:textId="3F856210" w:rsidR="00617425" w:rsidRPr="00CE1D2F" w:rsidRDefault="003A3FE7" w:rsidP="00CE1D2F">
      <w:pPr>
        <w:ind w:left="720"/>
        <w:rPr>
          <w:b/>
          <w:bCs/>
        </w:rPr>
      </w:pPr>
      <w:r>
        <w:rPr>
          <w:b/>
          <w:bCs/>
        </w:rPr>
        <w:t xml:space="preserve">3.6 </w:t>
      </w:r>
      <w:r w:rsidR="00617425" w:rsidRPr="00CE1D2F">
        <w:rPr>
          <w:b/>
          <w:bCs/>
        </w:rPr>
        <w:t>Institutional experience with CliniMACS Reagent System</w:t>
      </w:r>
    </w:p>
    <w:p w14:paraId="66417832" w14:textId="1C3B9D4E" w:rsidR="00845935" w:rsidRDefault="00DF4018" w:rsidP="00845935">
      <w:pPr>
        <w:ind w:left="720"/>
      </w:pPr>
      <w:r>
        <w:t>CTL has e</w:t>
      </w:r>
      <w:r w:rsidRPr="00997321">
        <w:t xml:space="preserve">xperience with CD34 selections including with NK cell add-back , </w:t>
      </w:r>
      <w:r w:rsidR="00845935">
        <w:t xml:space="preserve">and has performed alpha-beta T Cell + CD19 depletion </w:t>
      </w:r>
      <w:r w:rsidRPr="00997321">
        <w:t xml:space="preserve">validation(s) for </w:t>
      </w:r>
      <w:r w:rsidR="00845935">
        <w:t xml:space="preserve">the </w:t>
      </w:r>
      <w:r w:rsidRPr="00997321">
        <w:t>C-SIDE study</w:t>
      </w:r>
      <w:r>
        <w:t xml:space="preserve">.  CIT Lab manufactures </w:t>
      </w:r>
      <w:r w:rsidR="00845935">
        <w:t xml:space="preserve">CAR T cells using the CliniMACS Prodigy device </w:t>
      </w:r>
      <w:r>
        <w:t>and performs flow on CAR T products.</w:t>
      </w:r>
    </w:p>
    <w:p w14:paraId="006B2901" w14:textId="77777777" w:rsidR="00845935" w:rsidRPr="00997321" w:rsidRDefault="00845935" w:rsidP="00845935">
      <w:pPr>
        <w:ind w:left="720"/>
      </w:pPr>
    </w:p>
    <w:p w14:paraId="22DD1F85" w14:textId="4582AA59" w:rsidR="00617425" w:rsidRDefault="00617425" w:rsidP="00617425">
      <w:pPr>
        <w:pStyle w:val="ListParagraph"/>
        <w:numPr>
          <w:ilvl w:val="0"/>
          <w:numId w:val="1"/>
        </w:numPr>
        <w:rPr>
          <w:b/>
          <w:bCs/>
        </w:rPr>
      </w:pPr>
      <w:r>
        <w:rPr>
          <w:b/>
          <w:bCs/>
        </w:rPr>
        <w:t>Patient and donor eligibility</w:t>
      </w:r>
    </w:p>
    <w:p w14:paraId="3674834E" w14:textId="423B291D" w:rsidR="00617425" w:rsidRDefault="00617425" w:rsidP="00617425">
      <w:pPr>
        <w:pStyle w:val="ListParagraph"/>
        <w:numPr>
          <w:ilvl w:val="1"/>
          <w:numId w:val="1"/>
        </w:numPr>
        <w:rPr>
          <w:b/>
          <w:bCs/>
        </w:rPr>
      </w:pPr>
      <w:r>
        <w:rPr>
          <w:b/>
          <w:bCs/>
        </w:rPr>
        <w:t>Patient eligibility</w:t>
      </w:r>
    </w:p>
    <w:p w14:paraId="5B27C544" w14:textId="355EE2CE" w:rsidR="004253DA" w:rsidRDefault="004253DA" w:rsidP="004253DA">
      <w:pPr>
        <w:pStyle w:val="ListParagraph"/>
        <w:ind w:left="1095"/>
      </w:pPr>
      <w:r w:rsidRPr="004253DA">
        <w:t>This patient is deemed eligible for alpha beta T Cell + CD19 depletion</w:t>
      </w:r>
      <w:r>
        <w:t xml:space="preserve"> based on institutional standards for eligibility for stem cell transplant. She will have a work up that includes organ function, infection assessment and disease status. </w:t>
      </w:r>
    </w:p>
    <w:p w14:paraId="6723AC39" w14:textId="77777777" w:rsidR="00EE1905" w:rsidRPr="004253DA" w:rsidRDefault="00EE1905" w:rsidP="004253DA">
      <w:pPr>
        <w:pStyle w:val="ListParagraph"/>
        <w:ind w:left="1095"/>
      </w:pPr>
    </w:p>
    <w:p w14:paraId="44F6F318" w14:textId="7EC490BA" w:rsidR="00617425" w:rsidRDefault="00617425" w:rsidP="00617425">
      <w:pPr>
        <w:pStyle w:val="ListParagraph"/>
        <w:numPr>
          <w:ilvl w:val="1"/>
          <w:numId w:val="1"/>
        </w:numPr>
        <w:rPr>
          <w:b/>
          <w:bCs/>
        </w:rPr>
      </w:pPr>
      <w:r>
        <w:rPr>
          <w:b/>
          <w:bCs/>
        </w:rPr>
        <w:t>Donor eligibility</w:t>
      </w:r>
    </w:p>
    <w:p w14:paraId="0A729FDC" w14:textId="452F955F" w:rsidR="004253DA" w:rsidRDefault="004253DA" w:rsidP="004253DA">
      <w:pPr>
        <w:pStyle w:val="ListParagraph"/>
        <w:ind w:left="1095"/>
      </w:pPr>
      <w:r>
        <w:t>This patient’</w:t>
      </w:r>
      <w:r w:rsidR="00330F52">
        <w:t>s</w:t>
      </w:r>
      <w:r>
        <w:t xml:space="preserve"> donor is her mother and her back up donor is her father</w:t>
      </w:r>
      <w:r w:rsidR="00330F52">
        <w:t xml:space="preserve"> in the event that her mother becomes ineligible. Patient’s mother will undergo history, physical exam and blood work to determine suitability per institutional standards</w:t>
      </w:r>
      <w:r w:rsidR="00CD5E77">
        <w:t xml:space="preserve"> according to 21 CFR 1271</w:t>
      </w:r>
      <w:r w:rsidR="00582A96">
        <w:t>(15) and FACT standards</w:t>
      </w:r>
      <w:r w:rsidR="00CD5E77">
        <w:t>.</w:t>
      </w:r>
    </w:p>
    <w:p w14:paraId="42B8F6A3" w14:textId="0AFF12BD" w:rsidR="000200AE" w:rsidRDefault="00EE1905" w:rsidP="000200AE">
      <w:pPr>
        <w:pStyle w:val="ListParagraph"/>
        <w:numPr>
          <w:ilvl w:val="2"/>
          <w:numId w:val="1"/>
        </w:numPr>
      </w:pPr>
      <w:r w:rsidRPr="00CE1D2F">
        <w:rPr>
          <w:u w:val="single"/>
        </w:rPr>
        <w:t>History</w:t>
      </w:r>
      <w:r w:rsidR="000200AE" w:rsidRPr="00CE1D2F">
        <w:rPr>
          <w:u w:val="single"/>
        </w:rPr>
        <w:t>:</w:t>
      </w:r>
      <w:r w:rsidR="000200AE">
        <w:t xml:space="preserve"> The donor will undergo a consultation with a transplant donor physician. This will include review of medical records that includes risk factors for and clinical evidence of, relevant communicable disea</w:t>
      </w:r>
      <w:r w:rsidR="00B82723">
        <w:t>s</w:t>
      </w:r>
      <w:r w:rsidR="000200AE">
        <w:t xml:space="preserve">e agents and diseases, as well as any conditions that that ay increase risk during mobilization or peripheral blood stem cell collection. A list of current medications will be reviewed. Part of the history taking will involve reviewing and discussing the donor health history questionnaire (DHHQ) that is completed by the donor. This screening tool to determine if the donor is eligible or ineligible to donate and will indicate if there is a risk of communicable disease transmission to the </w:t>
      </w:r>
      <w:r w:rsidR="00B82723">
        <w:t>recipient, including questions about travel and/or living in Europe and history of or exposure to CJD</w:t>
      </w:r>
      <w:r w:rsidR="000200AE">
        <w:t xml:space="preserve">. </w:t>
      </w:r>
      <w:r w:rsidR="00582A96">
        <w:t xml:space="preserve">(See DHHQ as a separate appendix) </w:t>
      </w:r>
    </w:p>
    <w:p w14:paraId="334C48D8" w14:textId="2CE6337B" w:rsidR="000200AE" w:rsidRDefault="000200AE" w:rsidP="000200AE">
      <w:pPr>
        <w:pStyle w:val="ListParagraph"/>
        <w:numPr>
          <w:ilvl w:val="2"/>
          <w:numId w:val="1"/>
        </w:numPr>
      </w:pPr>
      <w:r w:rsidRPr="00CE1D2F">
        <w:rPr>
          <w:u w:val="single"/>
        </w:rPr>
        <w:t>Physical Exam</w:t>
      </w:r>
      <w:r>
        <w:t>: A physical exam, including vital signs, will be performed by the transplant donor physician to ensure the donor is suitable to donate stem cells.</w:t>
      </w:r>
    </w:p>
    <w:p w14:paraId="0C1D199F" w14:textId="4EC1509B" w:rsidR="000200AE" w:rsidRDefault="000200AE" w:rsidP="000200AE">
      <w:pPr>
        <w:pStyle w:val="ListParagraph"/>
        <w:numPr>
          <w:ilvl w:val="2"/>
          <w:numId w:val="1"/>
        </w:numPr>
      </w:pPr>
      <w:r w:rsidRPr="00CE1D2F">
        <w:rPr>
          <w:u w:val="single"/>
        </w:rPr>
        <w:t>Laboratory Testing:</w:t>
      </w:r>
      <w:r>
        <w:t xml:space="preserve"> </w:t>
      </w:r>
      <w:r w:rsidR="005A75A7">
        <w:t xml:space="preserve">All lab tests performed are drawn prior to the collection of the peripheral blood stem cells. The CBC and infectious disease marker (IDM) testing must be performed within 30 days of the collection. </w:t>
      </w:r>
    </w:p>
    <w:p w14:paraId="3064A71E" w14:textId="5C2AF054" w:rsidR="000200AE" w:rsidRDefault="005A75A7" w:rsidP="003C6B41">
      <w:pPr>
        <w:pStyle w:val="ListParagraph"/>
        <w:numPr>
          <w:ilvl w:val="3"/>
          <w:numId w:val="1"/>
        </w:numPr>
      </w:pPr>
      <w:r>
        <w:t xml:space="preserve">List of Labs: CBC with differential, Complete metabolic profile, sickle cell screen, ABO-rh, chimerism testing, IDM testing performed by Versiti (Appendix A). Infectious disease testing includes: </w:t>
      </w:r>
      <w:r w:rsidR="003C6B41" w:rsidRPr="003C6B41">
        <w:t>Hepatitis B Virus (HBV)</w:t>
      </w:r>
      <w:r w:rsidR="003C6B41">
        <w:t xml:space="preserve">; </w:t>
      </w:r>
      <w:r w:rsidR="003C6B41" w:rsidRPr="003C6B41">
        <w:t>Anti-HBs (Hepatitis B surface antibody) blood automatically sent by IBC i</w:t>
      </w:r>
      <w:r w:rsidR="003C6B41">
        <w:t xml:space="preserve">f </w:t>
      </w:r>
      <w:r w:rsidR="003C6B41" w:rsidRPr="003C6B41">
        <w:t>Anti-HBc is reactive</w:t>
      </w:r>
      <w:r w:rsidR="003C6B41">
        <w:t xml:space="preserve">, </w:t>
      </w:r>
      <w:r w:rsidR="003C6B41" w:rsidRPr="003C6B41">
        <w:t>HBsAG (Hepatitis B surface antigen)</w:t>
      </w:r>
      <w:r w:rsidR="003C6B41">
        <w:t xml:space="preserve">, </w:t>
      </w:r>
      <w:r w:rsidR="003C6B41" w:rsidRPr="003C6B41">
        <w:t>Anti-HBc (Hepatitis B core antibody)</w:t>
      </w:r>
      <w:r w:rsidR="003C6B41">
        <w:t xml:space="preserve">, </w:t>
      </w:r>
      <w:r w:rsidR="003C6B41" w:rsidRPr="003C6B41">
        <w:t>HBV NAT</w:t>
      </w:r>
      <w:r w:rsidR="003C6B41">
        <w:t xml:space="preserve">, </w:t>
      </w:r>
      <w:r w:rsidR="003C6B41" w:rsidRPr="003C6B41">
        <w:t>Hepatitis C Virus (HCV)</w:t>
      </w:r>
      <w:r w:rsidR="003C6B41">
        <w:t xml:space="preserve">; </w:t>
      </w:r>
      <w:r w:rsidR="003C6B41" w:rsidRPr="003C6B41">
        <w:t>Anti-HCV (Hepatitis C antibody)</w:t>
      </w:r>
      <w:r w:rsidR="003C6B41">
        <w:t xml:space="preserve">, </w:t>
      </w:r>
      <w:r w:rsidR="003C6B41" w:rsidRPr="003C6B41">
        <w:t>HCV NAT</w:t>
      </w:r>
      <w:r w:rsidR="003C6B41">
        <w:t xml:space="preserve">, </w:t>
      </w:r>
      <w:r w:rsidR="003C6B41" w:rsidRPr="003C6B41">
        <w:t>Anti-HTLV I/II (Human T-Lymphotrophic Virus I/II)</w:t>
      </w:r>
      <w:r w:rsidR="003C6B41">
        <w:t xml:space="preserve">, </w:t>
      </w:r>
      <w:r w:rsidR="003C6B41" w:rsidRPr="003C6B41">
        <w:t>HIV Testing</w:t>
      </w:r>
      <w:r w:rsidR="003C6B41">
        <w:t xml:space="preserve">; </w:t>
      </w:r>
      <w:r w:rsidR="003C6B41" w:rsidRPr="003C6B41">
        <w:t>Anti-HIV 1+2</w:t>
      </w:r>
      <w:r w:rsidR="003C6B41">
        <w:t xml:space="preserve">, </w:t>
      </w:r>
      <w:r w:rsidR="003C6B41" w:rsidRPr="003C6B41">
        <w:t>HIV-1 NAT</w:t>
      </w:r>
      <w:r w:rsidR="003C6B41">
        <w:t xml:space="preserve">, </w:t>
      </w:r>
      <w:r w:rsidR="003C6B41" w:rsidRPr="003C6B41">
        <w:t>STS (syphilis)</w:t>
      </w:r>
      <w:r w:rsidR="003C6B41">
        <w:t xml:space="preserve">, </w:t>
      </w:r>
      <w:r w:rsidR="003C6B41" w:rsidRPr="003C6B41">
        <w:t>WNV-NAT (West Nile Virus)</w:t>
      </w:r>
      <w:r w:rsidR="003C6B41">
        <w:t xml:space="preserve">, </w:t>
      </w:r>
      <w:r w:rsidR="003C6B41" w:rsidRPr="003C6B41">
        <w:t>Chaga</w:t>
      </w:r>
      <w:r w:rsidR="003C6B41">
        <w:t xml:space="preserve">s, </w:t>
      </w:r>
      <w:r w:rsidR="003C6B41" w:rsidRPr="003C6B41">
        <w:t>CMV IgG</w:t>
      </w:r>
      <w:r w:rsidR="003C6B41">
        <w:t xml:space="preserve">, </w:t>
      </w:r>
      <w:r w:rsidR="003C6B41" w:rsidRPr="003C6B41">
        <w:t>Epstein-Barr Virus (EBV) VCA IgG and IgM</w:t>
      </w:r>
      <w:r w:rsidR="003C6B41">
        <w:t xml:space="preserve">, </w:t>
      </w:r>
      <w:r w:rsidR="003C6B41" w:rsidRPr="003C6B41">
        <w:t>Herpes Simplex Virus (HSV)</w:t>
      </w:r>
      <w:r w:rsidR="003C6B41">
        <w:t xml:space="preserve"> IgG, </w:t>
      </w:r>
      <w:r w:rsidR="003C6B41" w:rsidRPr="003C6B41">
        <w:t>Varicella Zoster Virus (VZV)</w:t>
      </w:r>
      <w:r w:rsidR="003C6B41">
        <w:t xml:space="preserve"> IgG, </w:t>
      </w:r>
      <w:r w:rsidR="003C6B41" w:rsidRPr="003C6B41">
        <w:t>Toxoplasmosis IgG and IgM</w:t>
      </w:r>
      <w:r w:rsidR="00582A96">
        <w:t xml:space="preserve">. If any concerning signs or symptoms noted on history and physical exam, testing for </w:t>
      </w:r>
      <w:r w:rsidR="00E408A0">
        <w:t xml:space="preserve"> Chlamydia and Gonorrhea</w:t>
      </w:r>
      <w:r w:rsidR="00582A96">
        <w:t xml:space="preserve"> will be completed. </w:t>
      </w:r>
      <w:r w:rsidR="00E408A0">
        <w:t xml:space="preserve"> </w:t>
      </w:r>
    </w:p>
    <w:p w14:paraId="2A6BDF49" w14:textId="3864371B" w:rsidR="003C6B41" w:rsidRDefault="003C6B41" w:rsidP="00CE1D2F">
      <w:pPr>
        <w:pStyle w:val="ListParagraph"/>
        <w:numPr>
          <w:ilvl w:val="2"/>
          <w:numId w:val="1"/>
        </w:numPr>
      </w:pPr>
      <w:r w:rsidRPr="00CE1D2F">
        <w:rPr>
          <w:u w:val="single"/>
        </w:rPr>
        <w:t>Imaging:</w:t>
      </w:r>
      <w:r>
        <w:t xml:space="preserve"> EKG, Chest Xray and other diagnostic test or imaging will be obtained if clinically indicated </w:t>
      </w:r>
    </w:p>
    <w:p w14:paraId="5E533720" w14:textId="77777777" w:rsidR="00330F52" w:rsidRPr="004253DA" w:rsidRDefault="00330F52" w:rsidP="004253DA">
      <w:pPr>
        <w:pStyle w:val="ListParagraph"/>
        <w:ind w:left="1095"/>
      </w:pPr>
    </w:p>
    <w:p w14:paraId="572ADD24" w14:textId="33EA3E09" w:rsidR="00BA55D0" w:rsidRDefault="00BA55D0" w:rsidP="00617425">
      <w:pPr>
        <w:pStyle w:val="ListParagraph"/>
        <w:numPr>
          <w:ilvl w:val="0"/>
          <w:numId w:val="1"/>
        </w:numPr>
        <w:rPr>
          <w:b/>
          <w:bCs/>
        </w:rPr>
      </w:pPr>
      <w:r>
        <w:rPr>
          <w:b/>
          <w:bCs/>
        </w:rPr>
        <w:t>References</w:t>
      </w:r>
    </w:p>
    <w:p w14:paraId="7C77A7D7" w14:textId="1C9C1903" w:rsidR="00863414" w:rsidRDefault="00863414" w:rsidP="00863414">
      <w:pPr>
        <w:pStyle w:val="ListParagraph"/>
        <w:numPr>
          <w:ilvl w:val="0"/>
          <w:numId w:val="4"/>
        </w:numPr>
      </w:pPr>
      <w:r w:rsidRPr="00863414">
        <w:t>Yoshimi, A., Mohamed, M., Bierings, M. </w:t>
      </w:r>
      <w:r w:rsidRPr="00863414">
        <w:rPr>
          <w:i/>
          <w:iCs/>
        </w:rPr>
        <w:t>et al.</w:t>
      </w:r>
      <w:r w:rsidRPr="00863414">
        <w:t> Second allogeneic hematopoietic stem cell transplantation (HSCT) results in outcome similar to that of first HSCT for patients with juvenile myelomonocytic leukemia. </w:t>
      </w:r>
      <w:r w:rsidRPr="00863414">
        <w:rPr>
          <w:i/>
          <w:iCs/>
        </w:rPr>
        <w:t>Leukemia</w:t>
      </w:r>
      <w:r w:rsidRPr="00863414">
        <w:t xml:space="preserve"> 21, 556–560 (2007). </w:t>
      </w:r>
      <w:hyperlink r:id="rId9" w:history="1">
        <w:r w:rsidRPr="00FF0A03">
          <w:rPr>
            <w:rStyle w:val="Hyperlink"/>
          </w:rPr>
          <w:t>https://doi.org/10.1038/sj.leu.2404537</w:t>
        </w:r>
      </w:hyperlink>
    </w:p>
    <w:p w14:paraId="75DB1872" w14:textId="1A439875" w:rsidR="00863414" w:rsidRDefault="00863414" w:rsidP="00863414">
      <w:pPr>
        <w:pStyle w:val="ListParagraph"/>
        <w:numPr>
          <w:ilvl w:val="0"/>
          <w:numId w:val="4"/>
        </w:numPr>
      </w:pPr>
      <w:r w:rsidRPr="00863414">
        <w:t>Vinci L, Flotho C, Noellke P, Lebrecht D, Masetti R, de Haas V, De Moerloose B, Dworzak M, Hasle H, Güngör T, Starý J, Turkiewicz D, Ussowicz M, de Heredia CD, Buechner J, Jahnukainen K, Kallay K, Bodova I, Smith OP, Zecca M, Bresters D, Lang P, Masmas TN, Meisel R, Pichler H, Erlacher M, Göhring G, Locatelli F, Strahm B, Niemeyer CM, Yoshimi A. Second allogeneic stem cell transplantation can rescue a significant proportion of patients with JMML relapsing after first allograft. Bone Marrow Transplant. 2023 May;58(5):607-609. doi: 10.1038/s41409-023-01942-4. Epub 2023 Feb 23. PMID: 36823455; PMCID: PMC10162940.</w:t>
      </w:r>
    </w:p>
    <w:p w14:paraId="32C552D8" w14:textId="0E96D534" w:rsidR="00863414" w:rsidRDefault="0066539E" w:rsidP="00863414">
      <w:pPr>
        <w:pStyle w:val="ListParagraph"/>
        <w:numPr>
          <w:ilvl w:val="0"/>
          <w:numId w:val="4"/>
        </w:numPr>
      </w:pPr>
      <w:r w:rsidRPr="0066539E">
        <w:t>Hecht A, Meyer J, Chehab FF, White KL, Magruder K, Dvorak CC, Loh ML, Stieglitz E. Molecular assessment of pretransplant chemotherapy in the treatment of juvenile myelomonocytic leukemia. Pediatr Blood Cancer. 2019 Nov;66(11):e27948. doi: 10.1002/pbc.27948. Epub 2019 Jul 26. PMID: 31347788; PMCID: PMC6754267.</w:t>
      </w:r>
    </w:p>
    <w:p w14:paraId="74D9D640" w14:textId="0DB21917" w:rsidR="0066539E" w:rsidRDefault="00913A2D" w:rsidP="00863414">
      <w:pPr>
        <w:pStyle w:val="ListParagraph"/>
        <w:numPr>
          <w:ilvl w:val="0"/>
          <w:numId w:val="4"/>
        </w:numPr>
      </w:pPr>
      <w:r w:rsidRPr="00913A2D">
        <w:t>Sahasrabudhe K, Otto M, Hematti P, Kenkre V. TCR αβ+/CD19+ cell depletion in haploidentical hematopoietic allogeneic stem cell transplantation: a review of current data. Leuk Lymphoma. 2019 Mar;60(3):598-609. doi: 10.1080/10428194.2018.1485905. Epub 2018 Sep 6. PMID: 30187806; PMCID: PMC6764418.</w:t>
      </w:r>
    </w:p>
    <w:p w14:paraId="722DDD57" w14:textId="4BDFE94C" w:rsidR="00913A2D" w:rsidRDefault="00913A2D" w:rsidP="00863414">
      <w:pPr>
        <w:pStyle w:val="ListParagraph"/>
        <w:numPr>
          <w:ilvl w:val="0"/>
          <w:numId w:val="4"/>
        </w:numPr>
      </w:pPr>
      <w:r w:rsidRPr="00913A2D">
        <w:t>Merli P, Algeri M, Galaverna F, Bertaina V, Lucarelli B, Boccieri E, Becilli M, Quagliarella F, Rosignoli C, Biagini S, Girolami E, Meschini A, Del Principe G, Sborgia R, Catanoso ML, Carta R, Strocchio L, Pinto RM, Buldini B, Falco M, Meazza R, Pende D, Andreani M, Li Pira G, Pagliara D, Locatelli F. TCRαβ/CD19 cell-depleted HLA-haploidentical transplantation to treat pediatric acute leukemia: updated final analysis. Blood. 2024 Jan 18;143(3):279-289. doi: 10.1182/blood.2023021336. PMID: 37738655.</w:t>
      </w:r>
    </w:p>
    <w:p w14:paraId="7664FF60" w14:textId="5C95AFC5" w:rsidR="00CB5EA7" w:rsidRDefault="00CB5EA7" w:rsidP="00863414">
      <w:pPr>
        <w:pStyle w:val="ListParagraph"/>
        <w:numPr>
          <w:ilvl w:val="0"/>
          <w:numId w:val="4"/>
        </w:numPr>
      </w:pPr>
      <w:r w:rsidRPr="00CB5EA7">
        <w:t>Zeiser R, Blazar BR. Acute Graft-versus-Host Disease - Biologic Process, Prevention, and Therapy. N Engl J Med. 2017 Nov 30;377(22):2167-2179. doi: 10.1056/NEJMra1609337. PMID: 29171820; PMCID: PMC6034180.</w:t>
      </w:r>
    </w:p>
    <w:p w14:paraId="1F5ADFF2" w14:textId="33F17C6E" w:rsidR="00DD13C6" w:rsidRDefault="00DD13C6" w:rsidP="00863414">
      <w:pPr>
        <w:pStyle w:val="ListParagraph"/>
        <w:numPr>
          <w:ilvl w:val="0"/>
          <w:numId w:val="4"/>
        </w:numPr>
      </w:pPr>
      <w:r w:rsidRPr="00DD13C6">
        <w:t>Li Pira G, Malaspina D, Girolami E, Biagini S, Cicchetti E, Conflitti G, Broglia M, Ceccarelli S, Lazzaro S, Pagliara D, Meschini A, Bertaina A, Montanari M, Locatelli F. Selective Depletion of αβ T Cells and B Cells for Human Leukocyte Antigen-Haploidentical Hematopoietic Stem Cell Transplantation. A Three-Year Follow-Up of Procedure Efficiency. Biol Blood Marrow Transplant. 2016 Nov;22(11):2056-2064. doi: 10.1016/j.bbmt.2016.08.006. Epub 2016 Aug 9. PMID: 27519279.</w:t>
      </w:r>
    </w:p>
    <w:p w14:paraId="5532B352" w14:textId="3D125A34" w:rsidR="00DD13C6" w:rsidRDefault="00DD13C6" w:rsidP="00863414">
      <w:pPr>
        <w:pStyle w:val="ListParagraph"/>
        <w:numPr>
          <w:ilvl w:val="0"/>
          <w:numId w:val="4"/>
        </w:numPr>
      </w:pPr>
      <w:r w:rsidRPr="00DD13C6">
        <w:t>Airoldi I, Bertaina A, Prigione I, Zorzoli A, Pagliara D, Cocco C, Meazza R, Loiacono F, Lucarelli B, Bernardo ME, Barbarito G, Pende D, Moretta A, Pistoia V, Moretta L, Locatelli F. γδ T-cell reconstitution after HLA-haploidentical hematopoietic transplantation depleted of TCR-αβ+/CD19+ lymphocytes. Blood. 2015 Apr 9;125(15):2349-58. doi: 10.1182/blood-2014-09-599423. Epub 2015 Jan 22. Erratum in: Blood. 2016 Mar 24;127(12):1620. Erratum in: Blood. 2016 Mar 24;127(12):1620. doi: 10.1182/blood-2016-02-700625. PMID: 25612623; PMCID: PMC4440890.</w:t>
      </w:r>
    </w:p>
    <w:p w14:paraId="013F7298" w14:textId="0859DB5E" w:rsidR="00DD13C6" w:rsidRDefault="00DD13C6" w:rsidP="00863414">
      <w:pPr>
        <w:pStyle w:val="ListParagraph"/>
        <w:numPr>
          <w:ilvl w:val="0"/>
          <w:numId w:val="4"/>
        </w:numPr>
      </w:pPr>
      <w:r w:rsidRPr="00DD13C6">
        <w:t>Bertaina A, Merli P, Rutella S, Pagliara D, Bernardo ME, Masetti R, Pende D, Falco M, Handgretinger R, Moretta F, Lucarelli B, Brescia LP, Li Pira G, Testi M, Cancrini C, Kabbara N, Carsetti R, Finocchi A, Moretta A, Moretta L, Locatelli F. HLA-haploidentical stem cell transplantation after removal of αβ+ T and B cells in children with nonmalignant disorders. Blood. 2014 Jul 31;124(5):822-6. doi: 10.1182/blood-2014-03-563817. Epub 2014 May 28. PMID: 24869942.</w:t>
      </w:r>
    </w:p>
    <w:p w14:paraId="233B9283" w14:textId="3D176945" w:rsidR="00E91000" w:rsidRDefault="00E91000" w:rsidP="00863414">
      <w:pPr>
        <w:pStyle w:val="ListParagraph"/>
        <w:numPr>
          <w:ilvl w:val="0"/>
          <w:numId w:val="4"/>
        </w:numPr>
      </w:pPr>
      <w:r w:rsidRPr="00E91000">
        <w:t>Handgretinger, R, Locatelli F, Lang P, et al., Transplantation of TcR alpha beta/CD19 Depleted Stem Cells From Haploidentical Donors: Robust Engraftment and Rapid Immune Reconstitution In Children with High Risk Leukemia. Blood; 2011. 118(21): p. 460-460</w:t>
      </w:r>
    </w:p>
    <w:p w14:paraId="45B20F9B" w14:textId="34DACD81" w:rsidR="00E91000" w:rsidRPr="00DD0725" w:rsidRDefault="00297D8E" w:rsidP="00863414">
      <w:pPr>
        <w:pStyle w:val="ListParagraph"/>
        <w:numPr>
          <w:ilvl w:val="0"/>
          <w:numId w:val="4"/>
        </w:numPr>
      </w:pPr>
      <w:r w:rsidRPr="00297D8E">
        <w:rPr>
          <w:rFonts w:eastAsia="Times New Roman"/>
        </w:rPr>
        <w:t>Locatelli F, Merli P, Pagliara D, Li Pira G, Falco M, Pende D, Rondelli R, Lucarelli B, Brescia LP, Masetti R, Milano GM, Bertaina V, Algeri M, Pinto RM, Strocchio L, Meazza R, Grapulin L, Handgretinger R, Moretta A, Bertaina A, Moretta L. Outcome of children with acute leukemia given HLA-haploidentical HSCT after αβ T-cell and B-cell depletion. Blood. 2017 Aug 3;130(5):677-685. doi: 10.1182/blood-2017-04-779769. Epub 2017 Jun 6. PMID: 28588018.</w:t>
      </w:r>
    </w:p>
    <w:p w14:paraId="6F4C5208" w14:textId="1FD3FD80" w:rsidR="00DD0725" w:rsidRDefault="00DD0725" w:rsidP="00863414">
      <w:pPr>
        <w:pStyle w:val="ListParagraph"/>
        <w:numPr>
          <w:ilvl w:val="0"/>
          <w:numId w:val="4"/>
        </w:numPr>
      </w:pPr>
      <w:r w:rsidRPr="00DD0725">
        <w:t>Bertaina A, Zecca M, Buldini B, Sacchi N, Algeri M, Saglio F, Perotti C, Gallina AM, Bertaina V, Lanino E, Prete A, Barberi W, Tumino M, Favre C, Cesaro S, Del Bufalo F, Ripaldi M, Boghen S, Casazza G, Rabusin M, Balduzzi A, Fagioli F, Pagliara D, Locatelli F. Unrelated donor vs HLA-haploidentical α/β T-cell- and B-cell-depleted HSCT in children with acute leukemia. Blood. 2018 Dec 13;132(24):2594-2607. doi: 10.1182/blood-2018-07-861575. Epub 2018 Oct 22. PMID: 30348653.</w:t>
      </w:r>
    </w:p>
    <w:p w14:paraId="16533F07" w14:textId="77777777" w:rsidR="00513660" w:rsidRPr="00CE1D2F" w:rsidRDefault="00DD0725" w:rsidP="00750DB5">
      <w:pPr>
        <w:pStyle w:val="ListParagraph"/>
        <w:numPr>
          <w:ilvl w:val="0"/>
          <w:numId w:val="4"/>
        </w:numPr>
      </w:pPr>
      <w:r w:rsidRPr="00DD0725">
        <w:t>Handgretinger, Rupert &amp; Lang, Peter &amp; Feuchtinger, Tobias &amp; Schumm, Michael &amp; Teltschik, Heiko-Manuel &amp; Schulz, Ansgar &amp; Huppert, Volker &amp; Moretta, Lorenzo &amp; Moretta, Alesandro &amp; Bernardo, Maria Ester &amp; Caniglia, Maurizio &amp; Bertaina, Alice &amp; Zinno, Francesco &amp; Locatelli, Franco. (2011). Transplantation of TcRαβ/CD19 Depleted Stem Cells From Haploidentical Donors: Robust Engraftment and Rapid Immune Reconstitution In Children with High Risk Leukemia. Blood. 118. 1005-1005. 10.1182/blood.V118.21.1005.1005.</w:t>
      </w:r>
      <w:r w:rsidR="00513660" w:rsidRPr="00513660">
        <w:rPr>
          <w:rFonts w:ascii="Consolas" w:hAnsi="Consolas"/>
          <w:color w:val="1B1B1B"/>
          <w:shd w:val="clear" w:color="auto" w:fill="FFFFFF"/>
        </w:rPr>
        <w:t xml:space="preserve"> </w:t>
      </w:r>
    </w:p>
    <w:p w14:paraId="7D3F8B3C" w14:textId="7A1F1AC7" w:rsidR="00BA55D0" w:rsidRDefault="00513660" w:rsidP="00750DB5">
      <w:pPr>
        <w:pStyle w:val="ListParagraph"/>
        <w:numPr>
          <w:ilvl w:val="0"/>
          <w:numId w:val="4"/>
        </w:numPr>
      </w:pPr>
      <w:r w:rsidRPr="00513660">
        <w:t>Underwood J, Rahim M, West C, Britton R, Skipworth E, Graves V, Sexton S, Harris H, Schwering D, Sinn A, Pollok KE, Robertson KA, Goebel WS, Hege KM. How old is too old? </w:t>
      </w:r>
      <w:r w:rsidRPr="00513660">
        <w:rPr>
          <w:i/>
          <w:iCs/>
        </w:rPr>
        <w:t>In vivo</w:t>
      </w:r>
      <w:r w:rsidRPr="00513660">
        <w:t> engraftment of human peripheral blood stem cells cryopreserved for up to 18 years - implications for clinical transplantation and stability programs. World J Stem Cells. 2020 May 26;12(5):359-367. doi: 10.4252/wjsc.v12.i5.359. PMID: 32547684; PMCID: PMC7280863.</w:t>
      </w:r>
    </w:p>
    <w:p w14:paraId="5D794649" w14:textId="60E2A6CA" w:rsidR="00582A96" w:rsidRDefault="00A65187" w:rsidP="00750DB5">
      <w:pPr>
        <w:pStyle w:val="ListParagraph"/>
        <w:numPr>
          <w:ilvl w:val="0"/>
          <w:numId w:val="4"/>
        </w:numPr>
      </w:pPr>
      <w:hyperlink r:id="rId10" w:history="1">
        <w:r w:rsidR="00582A96" w:rsidRPr="00582A96">
          <w:rPr>
            <w:rStyle w:val="Hyperlink"/>
          </w:rPr>
          <w:t>https://www.ecfr.gov/current/title-21/chapter-I/subchapter-L/part-1271/subpart-C</w:t>
        </w:r>
      </w:hyperlink>
    </w:p>
    <w:p w14:paraId="3D111A4C" w14:textId="77777777" w:rsidR="005A75A7" w:rsidRDefault="005A75A7" w:rsidP="005A75A7"/>
    <w:p w14:paraId="40760FF3" w14:textId="533A395E" w:rsidR="005A75A7" w:rsidRDefault="005A75A7" w:rsidP="005A75A7">
      <w:pPr>
        <w:rPr>
          <w:b/>
          <w:bCs/>
        </w:rPr>
      </w:pPr>
      <w:r>
        <w:rPr>
          <w:b/>
          <w:bCs/>
        </w:rPr>
        <w:t xml:space="preserve">Appendix A. </w:t>
      </w:r>
    </w:p>
    <w:tbl>
      <w:tblPr>
        <w:tblStyle w:val="TableGrid"/>
        <w:tblW w:w="0" w:type="auto"/>
        <w:tblLook w:val="04A0" w:firstRow="1" w:lastRow="0" w:firstColumn="1" w:lastColumn="0" w:noHBand="0" w:noVBand="1"/>
      </w:tblPr>
      <w:tblGrid>
        <w:gridCol w:w="2753"/>
        <w:gridCol w:w="6597"/>
      </w:tblGrid>
      <w:tr w:rsidR="00267BC7" w:rsidRPr="005A75A7" w14:paraId="5878EF64" w14:textId="77777777" w:rsidTr="00EC01E9">
        <w:tc>
          <w:tcPr>
            <w:tcW w:w="9350" w:type="dxa"/>
            <w:gridSpan w:val="2"/>
            <w:hideMark/>
          </w:tcPr>
          <w:p w14:paraId="07884571" w14:textId="77777777" w:rsidR="00267BC7" w:rsidRPr="005A75A7" w:rsidRDefault="00267BC7" w:rsidP="00EC01E9">
            <w:pPr>
              <w:jc w:val="center"/>
              <w:rPr>
                <w:b/>
                <w:bCs/>
              </w:rPr>
            </w:pPr>
            <w:r w:rsidRPr="005A75A7">
              <w:rPr>
                <w:b/>
                <w:bCs/>
              </w:rPr>
              <w:t>Versiti Indiana Blood Center   CLIA# 15D0664398</w:t>
            </w:r>
          </w:p>
          <w:p w14:paraId="11DCA37F" w14:textId="77777777" w:rsidR="00267BC7" w:rsidRPr="005A75A7" w:rsidRDefault="00267BC7" w:rsidP="00EC01E9">
            <w:pPr>
              <w:spacing w:after="160" w:line="278" w:lineRule="auto"/>
              <w:rPr>
                <w:b/>
                <w:bCs/>
              </w:rPr>
            </w:pPr>
          </w:p>
        </w:tc>
      </w:tr>
      <w:tr w:rsidR="00267BC7" w:rsidRPr="005A75A7" w14:paraId="53AA27F2"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3284A845" w14:textId="77777777" w:rsidR="00267BC7" w:rsidRPr="005A75A7" w:rsidRDefault="00267BC7" w:rsidP="00EC01E9">
            <w:pPr>
              <w:spacing w:after="160" w:line="278" w:lineRule="auto"/>
              <w:rPr>
                <w:b/>
                <w:bCs/>
              </w:rPr>
            </w:pPr>
            <w:r w:rsidRPr="005A75A7">
              <w:rPr>
                <w:b/>
                <w:bCs/>
              </w:rPr>
              <w:t>HBsAg</w:t>
            </w:r>
          </w:p>
        </w:tc>
        <w:tc>
          <w:tcPr>
            <w:tcW w:w="6597" w:type="dxa"/>
            <w:tcBorders>
              <w:top w:val="single" w:sz="4" w:space="0" w:color="auto"/>
              <w:left w:val="single" w:sz="4" w:space="0" w:color="auto"/>
              <w:bottom w:val="single" w:sz="4" w:space="0" w:color="auto"/>
              <w:right w:val="single" w:sz="4" w:space="0" w:color="auto"/>
            </w:tcBorders>
            <w:hideMark/>
          </w:tcPr>
          <w:p w14:paraId="263829D9" w14:textId="77777777" w:rsidR="00267BC7" w:rsidRPr="005A75A7" w:rsidRDefault="00267BC7" w:rsidP="00EC01E9">
            <w:pPr>
              <w:spacing w:after="160" w:line="278" w:lineRule="auto"/>
              <w:rPr>
                <w:b/>
                <w:bCs/>
              </w:rPr>
            </w:pPr>
            <w:r w:rsidRPr="005A75A7">
              <w:rPr>
                <w:b/>
                <w:bCs/>
              </w:rPr>
              <w:t>Abbott Alinity HBsAG Reagent Kit</w:t>
            </w:r>
          </w:p>
        </w:tc>
      </w:tr>
      <w:tr w:rsidR="00267BC7" w:rsidRPr="005A75A7" w14:paraId="0FD702F0"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41CB5F02" w14:textId="77777777" w:rsidR="00267BC7" w:rsidRPr="005A75A7" w:rsidRDefault="00267BC7" w:rsidP="00EC01E9">
            <w:pPr>
              <w:spacing w:after="160" w:line="278" w:lineRule="auto"/>
              <w:rPr>
                <w:b/>
                <w:bCs/>
              </w:rPr>
            </w:pPr>
            <w:r w:rsidRPr="005A75A7">
              <w:rPr>
                <w:b/>
                <w:bCs/>
              </w:rPr>
              <w:t>Anti-HBc</w:t>
            </w:r>
          </w:p>
        </w:tc>
        <w:tc>
          <w:tcPr>
            <w:tcW w:w="6597" w:type="dxa"/>
            <w:tcBorders>
              <w:top w:val="single" w:sz="4" w:space="0" w:color="auto"/>
              <w:left w:val="single" w:sz="4" w:space="0" w:color="auto"/>
              <w:bottom w:val="single" w:sz="4" w:space="0" w:color="auto"/>
              <w:right w:val="single" w:sz="4" w:space="0" w:color="auto"/>
            </w:tcBorders>
            <w:hideMark/>
          </w:tcPr>
          <w:p w14:paraId="32089F60" w14:textId="77777777" w:rsidR="00267BC7" w:rsidRPr="005A75A7" w:rsidRDefault="00267BC7" w:rsidP="00EC01E9">
            <w:pPr>
              <w:spacing w:after="160" w:line="278" w:lineRule="auto"/>
              <w:rPr>
                <w:b/>
                <w:bCs/>
              </w:rPr>
            </w:pPr>
            <w:r w:rsidRPr="005A75A7">
              <w:rPr>
                <w:b/>
                <w:bCs/>
              </w:rPr>
              <w:t>Abbott Alinity Anti-HBc Reagent Kit</w:t>
            </w:r>
          </w:p>
        </w:tc>
      </w:tr>
      <w:tr w:rsidR="00267BC7" w:rsidRPr="005A75A7" w14:paraId="02CDAAE6"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46987B97" w14:textId="77777777" w:rsidR="00267BC7" w:rsidRPr="005A75A7" w:rsidRDefault="00267BC7" w:rsidP="00EC01E9">
            <w:pPr>
              <w:spacing w:after="160" w:line="278" w:lineRule="auto"/>
              <w:rPr>
                <w:b/>
                <w:bCs/>
              </w:rPr>
            </w:pPr>
            <w:r w:rsidRPr="005A75A7">
              <w:rPr>
                <w:b/>
                <w:bCs/>
              </w:rPr>
              <w:t>Anti-HCV</w:t>
            </w:r>
          </w:p>
        </w:tc>
        <w:tc>
          <w:tcPr>
            <w:tcW w:w="6597" w:type="dxa"/>
            <w:tcBorders>
              <w:top w:val="single" w:sz="4" w:space="0" w:color="auto"/>
              <w:left w:val="single" w:sz="4" w:space="0" w:color="auto"/>
              <w:bottom w:val="single" w:sz="4" w:space="0" w:color="auto"/>
              <w:right w:val="single" w:sz="4" w:space="0" w:color="auto"/>
            </w:tcBorders>
            <w:hideMark/>
          </w:tcPr>
          <w:p w14:paraId="62CA37DB" w14:textId="77777777" w:rsidR="00267BC7" w:rsidRPr="005A75A7" w:rsidRDefault="00267BC7" w:rsidP="00EC01E9">
            <w:pPr>
              <w:spacing w:after="160" w:line="278" w:lineRule="auto"/>
              <w:rPr>
                <w:b/>
                <w:bCs/>
              </w:rPr>
            </w:pPr>
            <w:r w:rsidRPr="005A75A7">
              <w:rPr>
                <w:b/>
                <w:bCs/>
              </w:rPr>
              <w:t>Abbott Alinity Anti-HCV II Reagent Kit</w:t>
            </w:r>
          </w:p>
        </w:tc>
      </w:tr>
      <w:tr w:rsidR="00267BC7" w:rsidRPr="005A75A7" w14:paraId="42260EC3"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2721E0F8" w14:textId="77777777" w:rsidR="00267BC7" w:rsidRPr="005A75A7" w:rsidRDefault="00267BC7" w:rsidP="00EC01E9">
            <w:pPr>
              <w:spacing w:after="160" w:line="278" w:lineRule="auto"/>
              <w:rPr>
                <w:b/>
                <w:bCs/>
              </w:rPr>
            </w:pPr>
            <w:r w:rsidRPr="005A75A7">
              <w:rPr>
                <w:b/>
                <w:bCs/>
              </w:rPr>
              <w:t>Anti-HTLV I/II</w:t>
            </w:r>
          </w:p>
        </w:tc>
        <w:tc>
          <w:tcPr>
            <w:tcW w:w="6597" w:type="dxa"/>
            <w:tcBorders>
              <w:top w:val="single" w:sz="4" w:space="0" w:color="auto"/>
              <w:left w:val="single" w:sz="4" w:space="0" w:color="auto"/>
              <w:bottom w:val="single" w:sz="4" w:space="0" w:color="auto"/>
              <w:right w:val="single" w:sz="4" w:space="0" w:color="auto"/>
            </w:tcBorders>
            <w:hideMark/>
          </w:tcPr>
          <w:p w14:paraId="59C05267" w14:textId="77777777" w:rsidR="00267BC7" w:rsidRPr="005A75A7" w:rsidRDefault="00267BC7" w:rsidP="00EC01E9">
            <w:pPr>
              <w:spacing w:after="160" w:line="278" w:lineRule="auto"/>
              <w:rPr>
                <w:b/>
                <w:bCs/>
              </w:rPr>
            </w:pPr>
            <w:r w:rsidRPr="005A75A7">
              <w:rPr>
                <w:b/>
                <w:bCs/>
              </w:rPr>
              <w:t>Abbott Alinity HTLV I/II Reagent Kit</w:t>
            </w:r>
          </w:p>
        </w:tc>
      </w:tr>
      <w:tr w:rsidR="00267BC7" w:rsidRPr="005A75A7" w14:paraId="117A5FBA"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49112468" w14:textId="77777777" w:rsidR="00267BC7" w:rsidRPr="005A75A7" w:rsidRDefault="00267BC7" w:rsidP="00EC01E9">
            <w:pPr>
              <w:spacing w:after="160" w:line="278" w:lineRule="auto"/>
              <w:rPr>
                <w:b/>
                <w:bCs/>
              </w:rPr>
            </w:pPr>
            <w:r w:rsidRPr="005A75A7">
              <w:rPr>
                <w:b/>
                <w:bCs/>
              </w:rPr>
              <w:t>HIV-1 NAT</w:t>
            </w:r>
          </w:p>
        </w:tc>
        <w:tc>
          <w:tcPr>
            <w:tcW w:w="6597" w:type="dxa"/>
            <w:tcBorders>
              <w:top w:val="single" w:sz="4" w:space="0" w:color="auto"/>
              <w:left w:val="single" w:sz="4" w:space="0" w:color="auto"/>
              <w:bottom w:val="single" w:sz="4" w:space="0" w:color="auto"/>
              <w:right w:val="single" w:sz="4" w:space="0" w:color="auto"/>
            </w:tcBorders>
            <w:hideMark/>
          </w:tcPr>
          <w:p w14:paraId="31AE9441" w14:textId="77777777" w:rsidR="00267BC7" w:rsidRPr="005A75A7" w:rsidRDefault="00267BC7" w:rsidP="00EC01E9">
            <w:pPr>
              <w:spacing w:after="160" w:line="278" w:lineRule="auto"/>
              <w:rPr>
                <w:b/>
                <w:bCs/>
              </w:rPr>
            </w:pPr>
            <w:r w:rsidRPr="005A75A7">
              <w:rPr>
                <w:b/>
                <w:bCs/>
              </w:rPr>
              <w:t>Cobas MPX Multiplex HIV, HCV, &amp; HBV nucleic acid test</w:t>
            </w:r>
          </w:p>
        </w:tc>
      </w:tr>
      <w:tr w:rsidR="00267BC7" w:rsidRPr="005A75A7" w14:paraId="519D806C"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1EB71B71" w14:textId="77777777" w:rsidR="00267BC7" w:rsidRPr="005A75A7" w:rsidRDefault="00267BC7" w:rsidP="00EC01E9">
            <w:pPr>
              <w:spacing w:after="160" w:line="278" w:lineRule="auto"/>
              <w:rPr>
                <w:b/>
                <w:bCs/>
              </w:rPr>
            </w:pPr>
            <w:r w:rsidRPr="005A75A7">
              <w:rPr>
                <w:b/>
                <w:bCs/>
              </w:rPr>
              <w:t>HCV NAT</w:t>
            </w:r>
          </w:p>
        </w:tc>
        <w:tc>
          <w:tcPr>
            <w:tcW w:w="6597" w:type="dxa"/>
            <w:tcBorders>
              <w:top w:val="single" w:sz="4" w:space="0" w:color="auto"/>
              <w:left w:val="single" w:sz="4" w:space="0" w:color="auto"/>
              <w:bottom w:val="single" w:sz="4" w:space="0" w:color="auto"/>
              <w:right w:val="single" w:sz="4" w:space="0" w:color="auto"/>
            </w:tcBorders>
            <w:hideMark/>
          </w:tcPr>
          <w:p w14:paraId="71A492B8" w14:textId="77777777" w:rsidR="00267BC7" w:rsidRPr="005A75A7" w:rsidRDefault="00267BC7" w:rsidP="00EC01E9">
            <w:pPr>
              <w:spacing w:after="160" w:line="278" w:lineRule="auto"/>
              <w:rPr>
                <w:b/>
                <w:bCs/>
              </w:rPr>
            </w:pPr>
            <w:r w:rsidRPr="005A75A7">
              <w:rPr>
                <w:b/>
                <w:bCs/>
              </w:rPr>
              <w:t>Cobas MPX Multiplex HIV, HCV, &amp; HBV nucleic acid test</w:t>
            </w:r>
          </w:p>
        </w:tc>
      </w:tr>
      <w:tr w:rsidR="00267BC7" w:rsidRPr="005A75A7" w14:paraId="143D6945"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22549883" w14:textId="77777777" w:rsidR="00267BC7" w:rsidRPr="005A75A7" w:rsidRDefault="00267BC7" w:rsidP="00EC01E9">
            <w:pPr>
              <w:spacing w:after="160" w:line="278" w:lineRule="auto"/>
              <w:rPr>
                <w:b/>
                <w:bCs/>
              </w:rPr>
            </w:pPr>
            <w:r w:rsidRPr="005A75A7">
              <w:rPr>
                <w:b/>
                <w:bCs/>
              </w:rPr>
              <w:t>Anti-HIV 1,2</w:t>
            </w:r>
          </w:p>
        </w:tc>
        <w:tc>
          <w:tcPr>
            <w:tcW w:w="6597" w:type="dxa"/>
            <w:tcBorders>
              <w:top w:val="single" w:sz="4" w:space="0" w:color="auto"/>
              <w:left w:val="single" w:sz="4" w:space="0" w:color="auto"/>
              <w:bottom w:val="single" w:sz="4" w:space="0" w:color="auto"/>
              <w:right w:val="single" w:sz="4" w:space="0" w:color="auto"/>
            </w:tcBorders>
            <w:hideMark/>
          </w:tcPr>
          <w:p w14:paraId="226B94EF" w14:textId="77777777" w:rsidR="00267BC7" w:rsidRPr="005A75A7" w:rsidRDefault="00267BC7" w:rsidP="00EC01E9">
            <w:pPr>
              <w:spacing w:after="160" w:line="278" w:lineRule="auto"/>
              <w:rPr>
                <w:b/>
                <w:bCs/>
              </w:rPr>
            </w:pPr>
            <w:r w:rsidRPr="005A75A7">
              <w:rPr>
                <w:b/>
                <w:bCs/>
              </w:rPr>
              <w:t>Abbott Alinity HIV Ag/Ab Combo Reagent Kit</w:t>
            </w:r>
          </w:p>
        </w:tc>
      </w:tr>
      <w:tr w:rsidR="00267BC7" w:rsidRPr="005A75A7" w14:paraId="7A7CA651"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12FC4ABF" w14:textId="77777777" w:rsidR="00267BC7" w:rsidRPr="005A75A7" w:rsidRDefault="00267BC7" w:rsidP="00EC01E9">
            <w:pPr>
              <w:spacing w:after="160" w:line="278" w:lineRule="auto"/>
              <w:rPr>
                <w:b/>
                <w:bCs/>
              </w:rPr>
            </w:pPr>
            <w:r w:rsidRPr="005A75A7">
              <w:rPr>
                <w:b/>
                <w:bCs/>
              </w:rPr>
              <w:t>STS</w:t>
            </w:r>
          </w:p>
        </w:tc>
        <w:tc>
          <w:tcPr>
            <w:tcW w:w="6597" w:type="dxa"/>
            <w:tcBorders>
              <w:top w:val="single" w:sz="4" w:space="0" w:color="auto"/>
              <w:left w:val="single" w:sz="4" w:space="0" w:color="auto"/>
              <w:bottom w:val="single" w:sz="4" w:space="0" w:color="auto"/>
              <w:right w:val="single" w:sz="4" w:space="0" w:color="auto"/>
            </w:tcBorders>
            <w:hideMark/>
          </w:tcPr>
          <w:p w14:paraId="73CC2A38" w14:textId="77777777" w:rsidR="00267BC7" w:rsidRPr="005A75A7" w:rsidRDefault="00267BC7" w:rsidP="00EC01E9">
            <w:pPr>
              <w:spacing w:after="160" w:line="278" w:lineRule="auto"/>
              <w:rPr>
                <w:b/>
                <w:bCs/>
              </w:rPr>
            </w:pPr>
            <w:r w:rsidRPr="005A75A7">
              <w:rPr>
                <w:b/>
                <w:bCs/>
              </w:rPr>
              <w:t>Beckman Coulter PK7400 TP HA Reagent</w:t>
            </w:r>
          </w:p>
        </w:tc>
      </w:tr>
      <w:tr w:rsidR="00267BC7" w:rsidRPr="005A75A7" w14:paraId="683BCB98"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1B057AEC" w14:textId="77777777" w:rsidR="00267BC7" w:rsidRPr="005A75A7" w:rsidRDefault="00267BC7" w:rsidP="00EC01E9">
            <w:pPr>
              <w:spacing w:after="160" w:line="278" w:lineRule="auto"/>
              <w:rPr>
                <w:b/>
                <w:bCs/>
              </w:rPr>
            </w:pPr>
            <w:r w:rsidRPr="005A75A7">
              <w:rPr>
                <w:b/>
                <w:bCs/>
              </w:rPr>
              <w:t>WNV NAT</w:t>
            </w:r>
          </w:p>
        </w:tc>
        <w:tc>
          <w:tcPr>
            <w:tcW w:w="6597" w:type="dxa"/>
            <w:tcBorders>
              <w:top w:val="single" w:sz="4" w:space="0" w:color="auto"/>
              <w:left w:val="single" w:sz="4" w:space="0" w:color="auto"/>
              <w:bottom w:val="single" w:sz="4" w:space="0" w:color="auto"/>
              <w:right w:val="single" w:sz="4" w:space="0" w:color="auto"/>
            </w:tcBorders>
            <w:hideMark/>
          </w:tcPr>
          <w:p w14:paraId="3C496F33" w14:textId="77777777" w:rsidR="00267BC7" w:rsidRPr="005A75A7" w:rsidRDefault="00267BC7" w:rsidP="00EC01E9">
            <w:pPr>
              <w:spacing w:after="160" w:line="278" w:lineRule="auto"/>
              <w:rPr>
                <w:b/>
                <w:bCs/>
              </w:rPr>
            </w:pPr>
            <w:r w:rsidRPr="005A75A7">
              <w:rPr>
                <w:b/>
                <w:bCs/>
              </w:rPr>
              <w:t>Cobas WNV test</w:t>
            </w:r>
          </w:p>
        </w:tc>
      </w:tr>
      <w:tr w:rsidR="00267BC7" w:rsidRPr="005A75A7" w14:paraId="156FA2D3"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58FE7EC7" w14:textId="77777777" w:rsidR="00267BC7" w:rsidRPr="005A75A7" w:rsidRDefault="00267BC7" w:rsidP="00EC01E9">
            <w:pPr>
              <w:spacing w:after="160" w:line="278" w:lineRule="auto"/>
              <w:rPr>
                <w:b/>
                <w:bCs/>
              </w:rPr>
            </w:pPr>
            <w:r w:rsidRPr="005A75A7">
              <w:rPr>
                <w:b/>
                <w:bCs/>
              </w:rPr>
              <w:t>Chagas</w:t>
            </w:r>
          </w:p>
        </w:tc>
        <w:tc>
          <w:tcPr>
            <w:tcW w:w="6597" w:type="dxa"/>
            <w:tcBorders>
              <w:top w:val="single" w:sz="4" w:space="0" w:color="auto"/>
              <w:left w:val="single" w:sz="4" w:space="0" w:color="auto"/>
              <w:bottom w:val="single" w:sz="4" w:space="0" w:color="auto"/>
              <w:right w:val="single" w:sz="4" w:space="0" w:color="auto"/>
            </w:tcBorders>
            <w:hideMark/>
          </w:tcPr>
          <w:p w14:paraId="36527C19" w14:textId="77777777" w:rsidR="00267BC7" w:rsidRPr="005A75A7" w:rsidRDefault="00267BC7" w:rsidP="00EC01E9">
            <w:pPr>
              <w:spacing w:after="160" w:line="278" w:lineRule="auto"/>
              <w:rPr>
                <w:b/>
                <w:bCs/>
              </w:rPr>
            </w:pPr>
            <w:r w:rsidRPr="005A75A7">
              <w:rPr>
                <w:b/>
                <w:bCs/>
              </w:rPr>
              <w:t>Abbott Alinity Chagas Reagent Kit</w:t>
            </w:r>
          </w:p>
        </w:tc>
      </w:tr>
      <w:tr w:rsidR="00267BC7" w:rsidRPr="005A75A7" w14:paraId="1C5F0E9C"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76C64706" w14:textId="77777777" w:rsidR="00267BC7" w:rsidRPr="005A75A7" w:rsidRDefault="00267BC7" w:rsidP="00EC01E9">
            <w:pPr>
              <w:spacing w:after="160" w:line="278" w:lineRule="auto"/>
              <w:rPr>
                <w:b/>
                <w:bCs/>
              </w:rPr>
            </w:pPr>
            <w:r w:rsidRPr="005A75A7">
              <w:rPr>
                <w:b/>
                <w:bCs/>
              </w:rPr>
              <w:t>HBV NAT</w:t>
            </w:r>
          </w:p>
        </w:tc>
        <w:tc>
          <w:tcPr>
            <w:tcW w:w="6597" w:type="dxa"/>
            <w:tcBorders>
              <w:top w:val="single" w:sz="4" w:space="0" w:color="auto"/>
              <w:left w:val="single" w:sz="4" w:space="0" w:color="auto"/>
              <w:bottom w:val="single" w:sz="4" w:space="0" w:color="auto"/>
              <w:right w:val="single" w:sz="4" w:space="0" w:color="auto"/>
            </w:tcBorders>
            <w:hideMark/>
          </w:tcPr>
          <w:p w14:paraId="2F9FB13C" w14:textId="77777777" w:rsidR="00267BC7" w:rsidRPr="005A75A7" w:rsidRDefault="00267BC7" w:rsidP="00EC01E9">
            <w:pPr>
              <w:spacing w:after="160" w:line="278" w:lineRule="auto"/>
              <w:rPr>
                <w:b/>
                <w:bCs/>
              </w:rPr>
            </w:pPr>
            <w:r w:rsidRPr="005A75A7">
              <w:rPr>
                <w:b/>
                <w:bCs/>
              </w:rPr>
              <w:t>Cobas MPX Multiplex HIV, HCV, &amp; HBV nucleic acid test</w:t>
            </w:r>
          </w:p>
        </w:tc>
      </w:tr>
      <w:tr w:rsidR="00267BC7" w:rsidRPr="005A75A7" w14:paraId="3A540C00" w14:textId="77777777" w:rsidTr="00EC01E9">
        <w:tc>
          <w:tcPr>
            <w:tcW w:w="9350" w:type="dxa"/>
            <w:gridSpan w:val="2"/>
            <w:hideMark/>
          </w:tcPr>
          <w:p w14:paraId="05C038EA" w14:textId="4A4638D7" w:rsidR="00267BC7" w:rsidRPr="005A75A7" w:rsidRDefault="002F19C3" w:rsidP="00EC01E9">
            <w:pPr>
              <w:spacing w:after="160" w:line="278" w:lineRule="auto"/>
              <w:jc w:val="center"/>
              <w:rPr>
                <w:b/>
                <w:bCs/>
              </w:rPr>
            </w:pPr>
            <w:r w:rsidRPr="002F19C3">
              <w:rPr>
                <w:b/>
                <w:bCs/>
              </w:rPr>
              <w:t>DPLM at IU Health Pathology</w:t>
            </w:r>
            <w:r>
              <w:rPr>
                <w:b/>
                <w:bCs/>
              </w:rPr>
              <w:t xml:space="preserve"> </w:t>
            </w:r>
            <w:r w:rsidR="00267BC7">
              <w:rPr>
                <w:b/>
                <w:bCs/>
              </w:rPr>
              <w:t>CLIA #</w:t>
            </w:r>
            <w:r w:rsidR="00267BC7" w:rsidRPr="00FA7A8A">
              <w:rPr>
                <w:b/>
                <w:bCs/>
              </w:rPr>
              <w:t>15D0902829</w:t>
            </w:r>
          </w:p>
        </w:tc>
      </w:tr>
      <w:tr w:rsidR="00267BC7" w:rsidRPr="005A75A7" w14:paraId="24B1BD6A" w14:textId="77777777" w:rsidTr="00EC01E9">
        <w:tc>
          <w:tcPr>
            <w:tcW w:w="2753" w:type="dxa"/>
            <w:hideMark/>
          </w:tcPr>
          <w:p w14:paraId="455D2F2C" w14:textId="77777777" w:rsidR="00267BC7" w:rsidRPr="005A75A7" w:rsidRDefault="00267BC7" w:rsidP="00EC01E9">
            <w:pPr>
              <w:spacing w:after="160" w:line="278" w:lineRule="auto"/>
              <w:rPr>
                <w:b/>
                <w:bCs/>
              </w:rPr>
            </w:pPr>
            <w:r>
              <w:rPr>
                <w:b/>
                <w:bCs/>
              </w:rPr>
              <w:t>Anti-CMV</w:t>
            </w:r>
          </w:p>
        </w:tc>
        <w:tc>
          <w:tcPr>
            <w:tcW w:w="6597" w:type="dxa"/>
            <w:hideMark/>
          </w:tcPr>
          <w:p w14:paraId="22E7764A" w14:textId="77777777" w:rsidR="00267BC7" w:rsidRPr="005A75A7" w:rsidRDefault="00267BC7" w:rsidP="00EC01E9">
            <w:pPr>
              <w:spacing w:after="160" w:line="278" w:lineRule="auto"/>
              <w:rPr>
                <w:b/>
                <w:bCs/>
              </w:rPr>
            </w:pPr>
            <w:r>
              <w:rPr>
                <w:b/>
                <w:bCs/>
              </w:rPr>
              <w:t>Biomerieux Vidas</w:t>
            </w:r>
          </w:p>
        </w:tc>
      </w:tr>
    </w:tbl>
    <w:p w14:paraId="6227875C" w14:textId="5FF1249E" w:rsidR="0062742B" w:rsidRDefault="0062742B" w:rsidP="005A75A7">
      <w:pPr>
        <w:rPr>
          <w:b/>
          <w:bCs/>
        </w:rPr>
      </w:pPr>
    </w:p>
    <w:p w14:paraId="2B757D4B" w14:textId="77777777" w:rsidR="0062742B" w:rsidRDefault="0062742B" w:rsidP="005A75A7">
      <w:pPr>
        <w:rPr>
          <w:b/>
          <w:bCs/>
        </w:rPr>
      </w:pPr>
    </w:p>
    <w:p w14:paraId="35A42D63" w14:textId="77777777" w:rsidR="0062742B" w:rsidRDefault="0062742B" w:rsidP="005A75A7">
      <w:pPr>
        <w:rPr>
          <w:b/>
          <w:bCs/>
        </w:rPr>
      </w:pPr>
    </w:p>
    <w:p w14:paraId="3C3014F3" w14:textId="77777777" w:rsidR="0062742B" w:rsidRDefault="0062742B" w:rsidP="005A75A7">
      <w:pPr>
        <w:rPr>
          <w:b/>
          <w:bCs/>
        </w:rPr>
      </w:pPr>
    </w:p>
    <w:p w14:paraId="2314D624" w14:textId="77777777" w:rsidR="0062742B" w:rsidRDefault="0062742B" w:rsidP="005A75A7">
      <w:pPr>
        <w:rPr>
          <w:b/>
          <w:bCs/>
        </w:rPr>
      </w:pPr>
    </w:p>
    <w:p w14:paraId="01703B34" w14:textId="77777777" w:rsidR="00CE1D2F" w:rsidRDefault="00CE1D2F" w:rsidP="005A75A7">
      <w:pPr>
        <w:rPr>
          <w:b/>
          <w:bCs/>
        </w:rPr>
      </w:pPr>
    </w:p>
    <w:p w14:paraId="1A346A3D" w14:textId="77777777" w:rsidR="002F19C3" w:rsidRDefault="002F19C3" w:rsidP="005A75A7">
      <w:pPr>
        <w:rPr>
          <w:b/>
          <w:bCs/>
        </w:rPr>
      </w:pPr>
    </w:p>
    <w:p w14:paraId="7BE89819" w14:textId="77777777" w:rsidR="00CE1D2F" w:rsidRDefault="00CE1D2F" w:rsidP="005A75A7">
      <w:pPr>
        <w:rPr>
          <w:b/>
          <w:bCs/>
        </w:rPr>
      </w:pPr>
    </w:p>
    <w:p w14:paraId="5433B64D" w14:textId="77777777" w:rsidR="00CE1D2F" w:rsidRDefault="00CE1D2F" w:rsidP="005A75A7">
      <w:pPr>
        <w:rPr>
          <w:b/>
          <w:bCs/>
        </w:rPr>
      </w:pPr>
    </w:p>
    <w:p w14:paraId="6F7F7767" w14:textId="77777777" w:rsidR="0062742B" w:rsidRDefault="0062742B" w:rsidP="005A75A7">
      <w:pPr>
        <w:rPr>
          <w:b/>
          <w:bCs/>
        </w:rPr>
      </w:pPr>
    </w:p>
    <w:p w14:paraId="77A16326" w14:textId="77777777" w:rsidR="0062742B" w:rsidRDefault="0062742B" w:rsidP="005A75A7">
      <w:pPr>
        <w:rPr>
          <w:b/>
          <w:bCs/>
        </w:rPr>
      </w:pPr>
    </w:p>
    <w:p w14:paraId="4B8491E2" w14:textId="252D93E6" w:rsidR="0062742B" w:rsidRDefault="0062742B" w:rsidP="005A75A7">
      <w:pPr>
        <w:rPr>
          <w:b/>
          <w:bCs/>
        </w:rPr>
      </w:pPr>
      <w:r>
        <w:rPr>
          <w:b/>
          <w:bCs/>
        </w:rPr>
        <w:t xml:space="preserve">Appendix B. </w:t>
      </w:r>
    </w:p>
    <w:tbl>
      <w:tblPr>
        <w:tblW w:w="10080" w:type="dxa"/>
        <w:tblLook w:val="04A0" w:firstRow="1" w:lastRow="0" w:firstColumn="1" w:lastColumn="0" w:noHBand="0" w:noVBand="1"/>
      </w:tblPr>
      <w:tblGrid>
        <w:gridCol w:w="535"/>
        <w:gridCol w:w="917"/>
        <w:gridCol w:w="738"/>
        <w:gridCol w:w="753"/>
        <w:gridCol w:w="860"/>
        <w:gridCol w:w="808"/>
        <w:gridCol w:w="847"/>
        <w:gridCol w:w="730"/>
        <w:gridCol w:w="627"/>
        <w:gridCol w:w="870"/>
        <w:gridCol w:w="615"/>
        <w:gridCol w:w="745"/>
        <w:gridCol w:w="765"/>
        <w:gridCol w:w="121"/>
        <w:gridCol w:w="149"/>
      </w:tblGrid>
      <w:tr w:rsidR="00CE1D2F" w:rsidRPr="00CE1D2F" w14:paraId="483FC529" w14:textId="77777777" w:rsidTr="00CE1D2F">
        <w:trPr>
          <w:trHeight w:val="273"/>
        </w:trPr>
        <w:tc>
          <w:tcPr>
            <w:tcW w:w="9810" w:type="dxa"/>
            <w:gridSpan w:val="13"/>
            <w:tcBorders>
              <w:top w:val="nil"/>
              <w:left w:val="nil"/>
              <w:bottom w:val="nil"/>
              <w:right w:val="nil"/>
            </w:tcBorders>
            <w:shd w:val="clear" w:color="auto" w:fill="auto"/>
            <w:noWrap/>
            <w:vAlign w:val="bottom"/>
            <w:hideMark/>
          </w:tcPr>
          <w:p w14:paraId="276C27CB"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2022 Stability Testing Summary</w:t>
            </w:r>
          </w:p>
        </w:tc>
        <w:tc>
          <w:tcPr>
            <w:tcW w:w="270" w:type="dxa"/>
            <w:gridSpan w:val="2"/>
            <w:tcBorders>
              <w:top w:val="nil"/>
              <w:left w:val="nil"/>
              <w:bottom w:val="nil"/>
              <w:right w:val="nil"/>
            </w:tcBorders>
            <w:shd w:val="clear" w:color="auto" w:fill="auto"/>
            <w:noWrap/>
            <w:vAlign w:val="bottom"/>
            <w:hideMark/>
          </w:tcPr>
          <w:p w14:paraId="7B3F58D4"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p>
        </w:tc>
      </w:tr>
      <w:tr w:rsidR="00CE1D2F" w:rsidRPr="00CE1D2F" w14:paraId="22E7A45A" w14:textId="77777777" w:rsidTr="00CE1D2F">
        <w:trPr>
          <w:gridAfter w:val="1"/>
          <w:wAfter w:w="149" w:type="dxa"/>
          <w:trHeight w:val="262"/>
        </w:trPr>
        <w:tc>
          <w:tcPr>
            <w:tcW w:w="53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17B9162"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Auto or Allo</w:t>
            </w:r>
          </w:p>
        </w:tc>
        <w:tc>
          <w:tcPr>
            <w:tcW w:w="9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C852E21"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Thaw Date</w:t>
            </w:r>
          </w:p>
        </w:tc>
        <w:tc>
          <w:tcPr>
            <w:tcW w:w="73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C474D13"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Storage Time (yrs)</w:t>
            </w:r>
          </w:p>
        </w:tc>
        <w:tc>
          <w:tcPr>
            <w:tcW w:w="75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664CEBD"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Viability</w:t>
            </w:r>
          </w:p>
        </w:tc>
        <w:tc>
          <w:tcPr>
            <w:tcW w:w="8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5BCD73"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Viable CD34+ Recovery (%)</w:t>
            </w:r>
          </w:p>
        </w:tc>
        <w:tc>
          <w:tcPr>
            <w:tcW w:w="8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E595BC"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Mean # Colonies CFU</w:t>
            </w:r>
          </w:p>
        </w:tc>
        <w:tc>
          <w:tcPr>
            <w:tcW w:w="84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AE28C8"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TNC Recovery (%)</w:t>
            </w:r>
          </w:p>
        </w:tc>
        <w:tc>
          <w:tcPr>
            <w:tcW w:w="7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5F788B"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Sterility</w:t>
            </w:r>
          </w:p>
        </w:tc>
        <w:tc>
          <w:tcPr>
            <w:tcW w:w="6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A037F3"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Data Entry ID</w:t>
            </w:r>
          </w:p>
        </w:tc>
        <w:tc>
          <w:tcPr>
            <w:tcW w:w="2230" w:type="dxa"/>
            <w:gridSpan w:val="3"/>
            <w:tcBorders>
              <w:top w:val="single" w:sz="8" w:space="0" w:color="auto"/>
              <w:left w:val="nil"/>
              <w:bottom w:val="single" w:sz="4" w:space="0" w:color="auto"/>
              <w:right w:val="single" w:sz="4" w:space="0" w:color="auto"/>
            </w:tcBorders>
            <w:shd w:val="clear" w:color="auto" w:fill="auto"/>
            <w:vAlign w:val="center"/>
            <w:hideMark/>
          </w:tcPr>
          <w:p w14:paraId="508F3BBE"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Condition of:                     (Visual Inspection)</w:t>
            </w:r>
          </w:p>
        </w:tc>
        <w:tc>
          <w:tcPr>
            <w:tcW w:w="88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1F3D964"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Freezer Location During Storage Period</w:t>
            </w:r>
          </w:p>
        </w:tc>
      </w:tr>
      <w:tr w:rsidR="00CE1D2F" w:rsidRPr="00CE1D2F" w14:paraId="0701D640" w14:textId="77777777" w:rsidTr="00CE1D2F">
        <w:trPr>
          <w:gridAfter w:val="1"/>
          <w:wAfter w:w="149" w:type="dxa"/>
          <w:trHeight w:val="970"/>
        </w:trPr>
        <w:tc>
          <w:tcPr>
            <w:tcW w:w="535" w:type="dxa"/>
            <w:vMerge/>
            <w:tcBorders>
              <w:top w:val="single" w:sz="8" w:space="0" w:color="auto"/>
              <w:left w:val="single" w:sz="8" w:space="0" w:color="auto"/>
              <w:bottom w:val="single" w:sz="4" w:space="0" w:color="auto"/>
              <w:right w:val="single" w:sz="4" w:space="0" w:color="auto"/>
            </w:tcBorders>
            <w:vAlign w:val="center"/>
            <w:hideMark/>
          </w:tcPr>
          <w:p w14:paraId="2B98CE10"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917" w:type="dxa"/>
            <w:vMerge/>
            <w:tcBorders>
              <w:top w:val="single" w:sz="8" w:space="0" w:color="auto"/>
              <w:left w:val="single" w:sz="4" w:space="0" w:color="auto"/>
              <w:bottom w:val="single" w:sz="4" w:space="0" w:color="auto"/>
              <w:right w:val="single" w:sz="4" w:space="0" w:color="auto"/>
            </w:tcBorders>
            <w:vAlign w:val="center"/>
            <w:hideMark/>
          </w:tcPr>
          <w:p w14:paraId="20260C96"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738" w:type="dxa"/>
            <w:vMerge/>
            <w:tcBorders>
              <w:top w:val="single" w:sz="8" w:space="0" w:color="auto"/>
              <w:left w:val="single" w:sz="4" w:space="0" w:color="auto"/>
              <w:bottom w:val="single" w:sz="4" w:space="0" w:color="auto"/>
              <w:right w:val="single" w:sz="4" w:space="0" w:color="auto"/>
            </w:tcBorders>
            <w:vAlign w:val="center"/>
            <w:hideMark/>
          </w:tcPr>
          <w:p w14:paraId="6EBDA8FC"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753" w:type="dxa"/>
            <w:vMerge/>
            <w:tcBorders>
              <w:top w:val="single" w:sz="8" w:space="0" w:color="auto"/>
              <w:left w:val="single" w:sz="4" w:space="0" w:color="auto"/>
              <w:bottom w:val="single" w:sz="4" w:space="0" w:color="auto"/>
              <w:right w:val="single" w:sz="4" w:space="0" w:color="auto"/>
            </w:tcBorders>
            <w:vAlign w:val="center"/>
            <w:hideMark/>
          </w:tcPr>
          <w:p w14:paraId="7D08CB39"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14:paraId="55693753"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08" w:type="dxa"/>
            <w:vMerge/>
            <w:tcBorders>
              <w:top w:val="single" w:sz="8" w:space="0" w:color="auto"/>
              <w:left w:val="single" w:sz="4" w:space="0" w:color="auto"/>
              <w:bottom w:val="single" w:sz="4" w:space="0" w:color="auto"/>
              <w:right w:val="single" w:sz="4" w:space="0" w:color="auto"/>
            </w:tcBorders>
            <w:vAlign w:val="center"/>
            <w:hideMark/>
          </w:tcPr>
          <w:p w14:paraId="407C6177"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47" w:type="dxa"/>
            <w:vMerge/>
            <w:tcBorders>
              <w:top w:val="single" w:sz="8" w:space="0" w:color="auto"/>
              <w:left w:val="single" w:sz="4" w:space="0" w:color="auto"/>
              <w:bottom w:val="single" w:sz="8" w:space="0" w:color="000000"/>
              <w:right w:val="single" w:sz="4" w:space="0" w:color="auto"/>
            </w:tcBorders>
            <w:vAlign w:val="center"/>
            <w:hideMark/>
          </w:tcPr>
          <w:p w14:paraId="7EB3E4CC"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730" w:type="dxa"/>
            <w:vMerge/>
            <w:tcBorders>
              <w:top w:val="single" w:sz="8" w:space="0" w:color="auto"/>
              <w:left w:val="single" w:sz="4" w:space="0" w:color="auto"/>
              <w:bottom w:val="single" w:sz="4" w:space="0" w:color="auto"/>
              <w:right w:val="single" w:sz="4" w:space="0" w:color="auto"/>
            </w:tcBorders>
            <w:vAlign w:val="center"/>
            <w:hideMark/>
          </w:tcPr>
          <w:p w14:paraId="565D6CC1"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627" w:type="dxa"/>
            <w:vMerge/>
            <w:tcBorders>
              <w:top w:val="single" w:sz="8" w:space="0" w:color="auto"/>
              <w:left w:val="single" w:sz="4" w:space="0" w:color="auto"/>
              <w:bottom w:val="single" w:sz="4" w:space="0" w:color="auto"/>
              <w:right w:val="single" w:sz="4" w:space="0" w:color="auto"/>
            </w:tcBorders>
            <w:vAlign w:val="center"/>
            <w:hideMark/>
          </w:tcPr>
          <w:p w14:paraId="592211B0"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70" w:type="dxa"/>
            <w:tcBorders>
              <w:top w:val="nil"/>
              <w:left w:val="nil"/>
              <w:bottom w:val="nil"/>
              <w:right w:val="single" w:sz="4" w:space="0" w:color="auto"/>
            </w:tcBorders>
            <w:shd w:val="clear" w:color="auto" w:fill="auto"/>
            <w:vAlign w:val="center"/>
            <w:hideMark/>
          </w:tcPr>
          <w:p w14:paraId="0B0D6428"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Container</w:t>
            </w:r>
          </w:p>
        </w:tc>
        <w:tc>
          <w:tcPr>
            <w:tcW w:w="615" w:type="dxa"/>
            <w:tcBorders>
              <w:top w:val="nil"/>
              <w:left w:val="nil"/>
              <w:bottom w:val="nil"/>
              <w:right w:val="single" w:sz="4" w:space="0" w:color="auto"/>
            </w:tcBorders>
            <w:shd w:val="clear" w:color="auto" w:fill="auto"/>
            <w:vAlign w:val="center"/>
            <w:hideMark/>
          </w:tcPr>
          <w:p w14:paraId="1BC8167E"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Label</w:t>
            </w:r>
          </w:p>
        </w:tc>
        <w:tc>
          <w:tcPr>
            <w:tcW w:w="745" w:type="dxa"/>
            <w:tcBorders>
              <w:top w:val="nil"/>
              <w:left w:val="nil"/>
              <w:bottom w:val="nil"/>
              <w:right w:val="single" w:sz="4" w:space="0" w:color="auto"/>
            </w:tcBorders>
            <w:shd w:val="clear" w:color="auto" w:fill="auto"/>
            <w:vAlign w:val="center"/>
            <w:hideMark/>
          </w:tcPr>
          <w:p w14:paraId="6613AFF2"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Product</w:t>
            </w:r>
          </w:p>
        </w:tc>
        <w:tc>
          <w:tcPr>
            <w:tcW w:w="886" w:type="dxa"/>
            <w:gridSpan w:val="2"/>
            <w:vMerge/>
            <w:tcBorders>
              <w:top w:val="nil"/>
              <w:left w:val="nil"/>
              <w:bottom w:val="nil"/>
              <w:right w:val="single" w:sz="4" w:space="0" w:color="auto"/>
            </w:tcBorders>
            <w:vAlign w:val="center"/>
            <w:hideMark/>
          </w:tcPr>
          <w:p w14:paraId="1C51BE64"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r>
      <w:tr w:rsidR="00CE1D2F" w:rsidRPr="00CE1D2F" w14:paraId="64A6001B" w14:textId="77777777" w:rsidTr="00CE1D2F">
        <w:trPr>
          <w:trHeight w:val="258"/>
        </w:trPr>
        <w:tc>
          <w:tcPr>
            <w:tcW w:w="5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85198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single" w:sz="8" w:space="0" w:color="auto"/>
              <w:left w:val="nil"/>
              <w:bottom w:val="single" w:sz="4" w:space="0" w:color="auto"/>
              <w:right w:val="single" w:sz="4" w:space="0" w:color="auto"/>
            </w:tcBorders>
            <w:shd w:val="clear" w:color="auto" w:fill="auto"/>
            <w:noWrap/>
            <w:vAlign w:val="bottom"/>
            <w:hideMark/>
          </w:tcPr>
          <w:p w14:paraId="49307C4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single" w:sz="8" w:space="0" w:color="auto"/>
              <w:left w:val="nil"/>
              <w:bottom w:val="single" w:sz="4" w:space="0" w:color="auto"/>
              <w:right w:val="single" w:sz="4" w:space="0" w:color="auto"/>
            </w:tcBorders>
            <w:shd w:val="clear" w:color="auto" w:fill="auto"/>
            <w:noWrap/>
            <w:vAlign w:val="bottom"/>
            <w:hideMark/>
          </w:tcPr>
          <w:p w14:paraId="641C609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753" w:type="dxa"/>
            <w:tcBorders>
              <w:top w:val="single" w:sz="8" w:space="0" w:color="auto"/>
              <w:left w:val="nil"/>
              <w:bottom w:val="single" w:sz="4" w:space="0" w:color="auto"/>
              <w:right w:val="single" w:sz="4" w:space="0" w:color="auto"/>
            </w:tcBorders>
            <w:shd w:val="clear" w:color="auto" w:fill="auto"/>
            <w:noWrap/>
            <w:vAlign w:val="bottom"/>
            <w:hideMark/>
          </w:tcPr>
          <w:p w14:paraId="2FB1A465"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75</w:t>
            </w:r>
          </w:p>
        </w:tc>
        <w:tc>
          <w:tcPr>
            <w:tcW w:w="860" w:type="dxa"/>
            <w:tcBorders>
              <w:top w:val="single" w:sz="8" w:space="0" w:color="auto"/>
              <w:left w:val="nil"/>
              <w:bottom w:val="single" w:sz="4" w:space="0" w:color="auto"/>
              <w:right w:val="single" w:sz="4" w:space="0" w:color="auto"/>
            </w:tcBorders>
            <w:shd w:val="clear" w:color="auto" w:fill="auto"/>
            <w:noWrap/>
            <w:vAlign w:val="bottom"/>
            <w:hideMark/>
          </w:tcPr>
          <w:p w14:paraId="4CFC8AF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14:paraId="0F6CCCA7"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56</w:t>
            </w:r>
          </w:p>
        </w:tc>
        <w:tc>
          <w:tcPr>
            <w:tcW w:w="847" w:type="dxa"/>
            <w:tcBorders>
              <w:top w:val="nil"/>
              <w:left w:val="nil"/>
              <w:bottom w:val="single" w:sz="4" w:space="0" w:color="auto"/>
              <w:right w:val="single" w:sz="4" w:space="0" w:color="auto"/>
            </w:tcBorders>
            <w:shd w:val="clear" w:color="auto" w:fill="auto"/>
            <w:noWrap/>
            <w:vAlign w:val="bottom"/>
            <w:hideMark/>
          </w:tcPr>
          <w:p w14:paraId="5BF3D3B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93</w:t>
            </w:r>
          </w:p>
        </w:tc>
        <w:tc>
          <w:tcPr>
            <w:tcW w:w="730" w:type="dxa"/>
            <w:tcBorders>
              <w:top w:val="single" w:sz="8" w:space="0" w:color="auto"/>
              <w:left w:val="nil"/>
              <w:bottom w:val="single" w:sz="4" w:space="0" w:color="auto"/>
              <w:right w:val="single" w:sz="4" w:space="0" w:color="auto"/>
            </w:tcBorders>
            <w:shd w:val="clear" w:color="auto" w:fill="auto"/>
            <w:noWrap/>
            <w:vAlign w:val="bottom"/>
            <w:hideMark/>
          </w:tcPr>
          <w:p w14:paraId="340F1F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single" w:sz="8" w:space="0" w:color="auto"/>
              <w:left w:val="nil"/>
              <w:bottom w:val="single" w:sz="4" w:space="0" w:color="auto"/>
              <w:right w:val="single" w:sz="4" w:space="0" w:color="auto"/>
            </w:tcBorders>
            <w:shd w:val="clear" w:color="auto" w:fill="auto"/>
            <w:noWrap/>
            <w:vAlign w:val="bottom"/>
            <w:hideMark/>
          </w:tcPr>
          <w:p w14:paraId="432EC46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single" w:sz="8" w:space="0" w:color="auto"/>
              <w:left w:val="nil"/>
              <w:bottom w:val="single" w:sz="4" w:space="0" w:color="auto"/>
              <w:right w:val="single" w:sz="4" w:space="0" w:color="auto"/>
            </w:tcBorders>
            <w:shd w:val="clear" w:color="auto" w:fill="auto"/>
            <w:noWrap/>
            <w:vAlign w:val="bottom"/>
            <w:hideMark/>
          </w:tcPr>
          <w:p w14:paraId="74324BD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single" w:sz="8" w:space="0" w:color="auto"/>
              <w:left w:val="nil"/>
              <w:bottom w:val="single" w:sz="4" w:space="0" w:color="auto"/>
              <w:right w:val="single" w:sz="4" w:space="0" w:color="auto"/>
            </w:tcBorders>
            <w:shd w:val="clear" w:color="auto" w:fill="auto"/>
            <w:noWrap/>
            <w:vAlign w:val="bottom"/>
            <w:hideMark/>
          </w:tcPr>
          <w:p w14:paraId="48941A1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single" w:sz="8" w:space="0" w:color="auto"/>
              <w:left w:val="nil"/>
              <w:bottom w:val="single" w:sz="4" w:space="0" w:color="auto"/>
              <w:right w:val="single" w:sz="4" w:space="0" w:color="auto"/>
            </w:tcBorders>
            <w:shd w:val="clear" w:color="auto" w:fill="auto"/>
            <w:noWrap/>
            <w:vAlign w:val="bottom"/>
            <w:hideMark/>
          </w:tcPr>
          <w:p w14:paraId="74BA045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single" w:sz="8" w:space="0" w:color="auto"/>
              <w:left w:val="nil"/>
              <w:bottom w:val="single" w:sz="4" w:space="0" w:color="auto"/>
              <w:right w:val="single" w:sz="8" w:space="0" w:color="auto"/>
            </w:tcBorders>
            <w:shd w:val="clear" w:color="auto" w:fill="auto"/>
            <w:noWrap/>
            <w:vAlign w:val="bottom"/>
            <w:hideMark/>
          </w:tcPr>
          <w:p w14:paraId="1F44DCC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w:t>
            </w:r>
          </w:p>
        </w:tc>
        <w:tc>
          <w:tcPr>
            <w:tcW w:w="270" w:type="dxa"/>
            <w:gridSpan w:val="2"/>
            <w:tcBorders>
              <w:top w:val="single" w:sz="8" w:space="0" w:color="auto"/>
              <w:left w:val="nil"/>
              <w:bottom w:val="nil"/>
              <w:right w:val="single" w:sz="8" w:space="0" w:color="auto"/>
            </w:tcBorders>
            <w:shd w:val="clear" w:color="auto" w:fill="auto"/>
            <w:noWrap/>
            <w:vAlign w:val="bottom"/>
            <w:hideMark/>
          </w:tcPr>
          <w:p w14:paraId="2FD6F5F2"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18AB7F1"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4F5EF8A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977022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35997A7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5BFAFB58"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88</w:t>
            </w:r>
          </w:p>
        </w:tc>
        <w:tc>
          <w:tcPr>
            <w:tcW w:w="860" w:type="dxa"/>
            <w:tcBorders>
              <w:top w:val="nil"/>
              <w:left w:val="nil"/>
              <w:bottom w:val="single" w:sz="4" w:space="0" w:color="auto"/>
              <w:right w:val="single" w:sz="4" w:space="0" w:color="auto"/>
            </w:tcBorders>
            <w:shd w:val="clear" w:color="auto" w:fill="auto"/>
            <w:noWrap/>
            <w:vAlign w:val="bottom"/>
            <w:hideMark/>
          </w:tcPr>
          <w:p w14:paraId="468944F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98</w:t>
            </w:r>
          </w:p>
        </w:tc>
        <w:tc>
          <w:tcPr>
            <w:tcW w:w="808" w:type="dxa"/>
            <w:tcBorders>
              <w:top w:val="nil"/>
              <w:left w:val="nil"/>
              <w:bottom w:val="single" w:sz="4" w:space="0" w:color="auto"/>
              <w:right w:val="single" w:sz="4" w:space="0" w:color="auto"/>
            </w:tcBorders>
            <w:shd w:val="clear" w:color="auto" w:fill="auto"/>
            <w:noWrap/>
            <w:vAlign w:val="bottom"/>
            <w:hideMark/>
          </w:tcPr>
          <w:p w14:paraId="1B26D9EC"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206</w:t>
            </w:r>
          </w:p>
        </w:tc>
        <w:tc>
          <w:tcPr>
            <w:tcW w:w="847" w:type="dxa"/>
            <w:tcBorders>
              <w:top w:val="nil"/>
              <w:left w:val="nil"/>
              <w:bottom w:val="single" w:sz="4" w:space="0" w:color="auto"/>
              <w:right w:val="single" w:sz="4" w:space="0" w:color="auto"/>
            </w:tcBorders>
            <w:shd w:val="clear" w:color="auto" w:fill="auto"/>
            <w:noWrap/>
            <w:vAlign w:val="bottom"/>
            <w:hideMark/>
          </w:tcPr>
          <w:p w14:paraId="3C82FCB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86</w:t>
            </w:r>
          </w:p>
        </w:tc>
        <w:tc>
          <w:tcPr>
            <w:tcW w:w="730" w:type="dxa"/>
            <w:tcBorders>
              <w:top w:val="nil"/>
              <w:left w:val="nil"/>
              <w:bottom w:val="single" w:sz="4" w:space="0" w:color="auto"/>
              <w:right w:val="single" w:sz="4" w:space="0" w:color="auto"/>
            </w:tcBorders>
            <w:shd w:val="clear" w:color="auto" w:fill="auto"/>
            <w:noWrap/>
            <w:vAlign w:val="bottom"/>
            <w:hideMark/>
          </w:tcPr>
          <w:p w14:paraId="0824D07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075F427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6C85E77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80E5D7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0A25250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4E0971B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12</w:t>
            </w:r>
          </w:p>
        </w:tc>
        <w:tc>
          <w:tcPr>
            <w:tcW w:w="270" w:type="dxa"/>
            <w:gridSpan w:val="2"/>
            <w:tcBorders>
              <w:top w:val="nil"/>
              <w:left w:val="nil"/>
              <w:bottom w:val="nil"/>
              <w:right w:val="single" w:sz="8" w:space="0" w:color="auto"/>
            </w:tcBorders>
            <w:shd w:val="clear" w:color="auto" w:fill="auto"/>
            <w:noWrap/>
            <w:vAlign w:val="bottom"/>
            <w:hideMark/>
          </w:tcPr>
          <w:p w14:paraId="5B5CC8A8"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5256FAC"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11BF430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717B89B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2B5FC67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144E977C"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83</w:t>
            </w:r>
          </w:p>
        </w:tc>
        <w:tc>
          <w:tcPr>
            <w:tcW w:w="860" w:type="dxa"/>
            <w:tcBorders>
              <w:top w:val="nil"/>
              <w:left w:val="nil"/>
              <w:bottom w:val="single" w:sz="4" w:space="0" w:color="auto"/>
              <w:right w:val="single" w:sz="4" w:space="0" w:color="auto"/>
            </w:tcBorders>
            <w:shd w:val="clear" w:color="auto" w:fill="auto"/>
            <w:noWrap/>
            <w:vAlign w:val="bottom"/>
            <w:hideMark/>
          </w:tcPr>
          <w:p w14:paraId="26161D0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3963889B"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18</w:t>
            </w:r>
          </w:p>
        </w:tc>
        <w:tc>
          <w:tcPr>
            <w:tcW w:w="847" w:type="dxa"/>
            <w:tcBorders>
              <w:top w:val="nil"/>
              <w:left w:val="nil"/>
              <w:bottom w:val="single" w:sz="4" w:space="0" w:color="auto"/>
              <w:right w:val="single" w:sz="4" w:space="0" w:color="auto"/>
            </w:tcBorders>
            <w:shd w:val="clear" w:color="auto" w:fill="auto"/>
            <w:noWrap/>
            <w:vAlign w:val="bottom"/>
            <w:hideMark/>
          </w:tcPr>
          <w:p w14:paraId="3A7C629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87</w:t>
            </w:r>
          </w:p>
        </w:tc>
        <w:tc>
          <w:tcPr>
            <w:tcW w:w="730" w:type="dxa"/>
            <w:tcBorders>
              <w:top w:val="nil"/>
              <w:left w:val="nil"/>
              <w:bottom w:val="single" w:sz="4" w:space="0" w:color="auto"/>
              <w:right w:val="single" w:sz="4" w:space="0" w:color="auto"/>
            </w:tcBorders>
            <w:shd w:val="clear" w:color="auto" w:fill="auto"/>
            <w:noWrap/>
            <w:vAlign w:val="bottom"/>
            <w:hideMark/>
          </w:tcPr>
          <w:p w14:paraId="50DF5B9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23C907F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7244833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496A12E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0563AD3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5BF9D30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11</w:t>
            </w:r>
          </w:p>
        </w:tc>
        <w:tc>
          <w:tcPr>
            <w:tcW w:w="270" w:type="dxa"/>
            <w:gridSpan w:val="2"/>
            <w:tcBorders>
              <w:top w:val="nil"/>
              <w:left w:val="nil"/>
              <w:bottom w:val="nil"/>
              <w:right w:val="single" w:sz="8" w:space="0" w:color="auto"/>
            </w:tcBorders>
            <w:shd w:val="clear" w:color="auto" w:fill="auto"/>
            <w:noWrap/>
            <w:vAlign w:val="bottom"/>
            <w:hideMark/>
          </w:tcPr>
          <w:p w14:paraId="1A21938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3C648F8E"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5839D3D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3D813F2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226025F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13</w:t>
            </w:r>
          </w:p>
        </w:tc>
        <w:tc>
          <w:tcPr>
            <w:tcW w:w="753" w:type="dxa"/>
            <w:tcBorders>
              <w:top w:val="nil"/>
              <w:left w:val="nil"/>
              <w:bottom w:val="single" w:sz="4" w:space="0" w:color="auto"/>
              <w:right w:val="single" w:sz="4" w:space="0" w:color="auto"/>
            </w:tcBorders>
            <w:shd w:val="clear" w:color="auto" w:fill="auto"/>
            <w:noWrap/>
            <w:vAlign w:val="bottom"/>
            <w:hideMark/>
          </w:tcPr>
          <w:p w14:paraId="5D9D3F0F"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83</w:t>
            </w:r>
          </w:p>
        </w:tc>
        <w:tc>
          <w:tcPr>
            <w:tcW w:w="860" w:type="dxa"/>
            <w:tcBorders>
              <w:top w:val="nil"/>
              <w:left w:val="nil"/>
              <w:bottom w:val="single" w:sz="4" w:space="0" w:color="auto"/>
              <w:right w:val="single" w:sz="4" w:space="0" w:color="auto"/>
            </w:tcBorders>
            <w:shd w:val="clear" w:color="auto" w:fill="auto"/>
            <w:noWrap/>
            <w:vAlign w:val="bottom"/>
            <w:hideMark/>
          </w:tcPr>
          <w:p w14:paraId="7489037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94</w:t>
            </w:r>
          </w:p>
        </w:tc>
        <w:tc>
          <w:tcPr>
            <w:tcW w:w="808" w:type="dxa"/>
            <w:tcBorders>
              <w:top w:val="nil"/>
              <w:left w:val="nil"/>
              <w:bottom w:val="single" w:sz="4" w:space="0" w:color="auto"/>
              <w:right w:val="single" w:sz="4" w:space="0" w:color="auto"/>
            </w:tcBorders>
            <w:shd w:val="clear" w:color="auto" w:fill="auto"/>
            <w:noWrap/>
            <w:vAlign w:val="bottom"/>
            <w:hideMark/>
          </w:tcPr>
          <w:p w14:paraId="47576824"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99</w:t>
            </w:r>
          </w:p>
        </w:tc>
        <w:tc>
          <w:tcPr>
            <w:tcW w:w="847" w:type="dxa"/>
            <w:tcBorders>
              <w:top w:val="nil"/>
              <w:left w:val="nil"/>
              <w:bottom w:val="single" w:sz="4" w:space="0" w:color="auto"/>
              <w:right w:val="single" w:sz="4" w:space="0" w:color="auto"/>
            </w:tcBorders>
            <w:shd w:val="clear" w:color="auto" w:fill="auto"/>
            <w:noWrap/>
            <w:vAlign w:val="bottom"/>
            <w:hideMark/>
          </w:tcPr>
          <w:p w14:paraId="7F42FAA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94</w:t>
            </w:r>
          </w:p>
        </w:tc>
        <w:tc>
          <w:tcPr>
            <w:tcW w:w="730" w:type="dxa"/>
            <w:tcBorders>
              <w:top w:val="nil"/>
              <w:left w:val="nil"/>
              <w:bottom w:val="single" w:sz="4" w:space="0" w:color="auto"/>
              <w:right w:val="single" w:sz="4" w:space="0" w:color="auto"/>
            </w:tcBorders>
            <w:shd w:val="clear" w:color="auto" w:fill="auto"/>
            <w:noWrap/>
            <w:vAlign w:val="bottom"/>
            <w:hideMark/>
          </w:tcPr>
          <w:p w14:paraId="4795CC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58C9A47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4AB754A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76385CD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B4DB44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1F0B3A9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21</w:t>
            </w:r>
          </w:p>
        </w:tc>
        <w:tc>
          <w:tcPr>
            <w:tcW w:w="270" w:type="dxa"/>
            <w:gridSpan w:val="2"/>
            <w:tcBorders>
              <w:top w:val="nil"/>
              <w:left w:val="nil"/>
              <w:bottom w:val="nil"/>
              <w:right w:val="single" w:sz="8" w:space="0" w:color="auto"/>
            </w:tcBorders>
            <w:shd w:val="clear" w:color="auto" w:fill="auto"/>
            <w:noWrap/>
            <w:vAlign w:val="bottom"/>
            <w:hideMark/>
          </w:tcPr>
          <w:p w14:paraId="0CD4022F"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6AE4DAE7"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78E4033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single" w:sz="4" w:space="0" w:color="auto"/>
              <w:right w:val="single" w:sz="4" w:space="0" w:color="auto"/>
            </w:tcBorders>
            <w:shd w:val="clear" w:color="auto" w:fill="auto"/>
            <w:noWrap/>
            <w:vAlign w:val="bottom"/>
            <w:hideMark/>
          </w:tcPr>
          <w:p w14:paraId="5E5B490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6F0CEC9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w:t>
            </w:r>
          </w:p>
        </w:tc>
        <w:tc>
          <w:tcPr>
            <w:tcW w:w="753" w:type="dxa"/>
            <w:tcBorders>
              <w:top w:val="nil"/>
              <w:left w:val="nil"/>
              <w:bottom w:val="single" w:sz="4" w:space="0" w:color="auto"/>
              <w:right w:val="single" w:sz="4" w:space="0" w:color="auto"/>
            </w:tcBorders>
            <w:shd w:val="clear" w:color="auto" w:fill="auto"/>
            <w:noWrap/>
            <w:vAlign w:val="bottom"/>
            <w:hideMark/>
          </w:tcPr>
          <w:p w14:paraId="5DDDBB17"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77</w:t>
            </w:r>
          </w:p>
        </w:tc>
        <w:tc>
          <w:tcPr>
            <w:tcW w:w="860" w:type="dxa"/>
            <w:tcBorders>
              <w:top w:val="nil"/>
              <w:left w:val="nil"/>
              <w:bottom w:val="single" w:sz="4" w:space="0" w:color="auto"/>
              <w:right w:val="single" w:sz="4" w:space="0" w:color="auto"/>
            </w:tcBorders>
            <w:shd w:val="clear" w:color="auto" w:fill="auto"/>
            <w:noWrap/>
            <w:vAlign w:val="bottom"/>
            <w:hideMark/>
          </w:tcPr>
          <w:p w14:paraId="1E5F57F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ABE8D2D"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19</w:t>
            </w:r>
          </w:p>
        </w:tc>
        <w:tc>
          <w:tcPr>
            <w:tcW w:w="847" w:type="dxa"/>
            <w:tcBorders>
              <w:top w:val="nil"/>
              <w:left w:val="nil"/>
              <w:bottom w:val="single" w:sz="4" w:space="0" w:color="auto"/>
              <w:right w:val="single" w:sz="4" w:space="0" w:color="auto"/>
            </w:tcBorders>
            <w:shd w:val="clear" w:color="auto" w:fill="auto"/>
            <w:noWrap/>
            <w:vAlign w:val="bottom"/>
            <w:hideMark/>
          </w:tcPr>
          <w:p w14:paraId="0B3AC7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92</w:t>
            </w:r>
          </w:p>
        </w:tc>
        <w:tc>
          <w:tcPr>
            <w:tcW w:w="730" w:type="dxa"/>
            <w:tcBorders>
              <w:top w:val="nil"/>
              <w:left w:val="nil"/>
              <w:bottom w:val="single" w:sz="4" w:space="0" w:color="auto"/>
              <w:right w:val="single" w:sz="4" w:space="0" w:color="auto"/>
            </w:tcBorders>
            <w:shd w:val="clear" w:color="auto" w:fill="auto"/>
            <w:noWrap/>
            <w:vAlign w:val="bottom"/>
            <w:hideMark/>
          </w:tcPr>
          <w:p w14:paraId="68F6C17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5D67CE3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725ED65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3B52AB7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D87D90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0F9EC11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270" w:type="dxa"/>
            <w:gridSpan w:val="2"/>
            <w:tcBorders>
              <w:top w:val="nil"/>
              <w:left w:val="nil"/>
              <w:bottom w:val="nil"/>
              <w:right w:val="single" w:sz="8" w:space="0" w:color="auto"/>
            </w:tcBorders>
            <w:shd w:val="clear" w:color="auto" w:fill="auto"/>
            <w:noWrap/>
            <w:vAlign w:val="bottom"/>
            <w:hideMark/>
          </w:tcPr>
          <w:p w14:paraId="58630C89"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7DD83F6B"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8AEC8C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145953A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8" w:type="dxa"/>
            <w:tcBorders>
              <w:top w:val="nil"/>
              <w:left w:val="nil"/>
              <w:bottom w:val="single" w:sz="4" w:space="0" w:color="auto"/>
              <w:right w:val="single" w:sz="4" w:space="0" w:color="auto"/>
            </w:tcBorders>
            <w:shd w:val="clear" w:color="auto" w:fill="auto"/>
            <w:noWrap/>
            <w:vAlign w:val="bottom"/>
            <w:hideMark/>
          </w:tcPr>
          <w:p w14:paraId="41EC2EC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53" w:type="dxa"/>
            <w:tcBorders>
              <w:top w:val="nil"/>
              <w:left w:val="nil"/>
              <w:bottom w:val="single" w:sz="4" w:space="0" w:color="auto"/>
              <w:right w:val="single" w:sz="4" w:space="0" w:color="auto"/>
            </w:tcBorders>
            <w:shd w:val="clear" w:color="auto" w:fill="auto"/>
            <w:noWrap/>
            <w:vAlign w:val="bottom"/>
            <w:hideMark/>
          </w:tcPr>
          <w:p w14:paraId="1CCC3A3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60" w:type="dxa"/>
            <w:tcBorders>
              <w:top w:val="nil"/>
              <w:left w:val="nil"/>
              <w:bottom w:val="single" w:sz="4" w:space="0" w:color="auto"/>
              <w:right w:val="single" w:sz="4" w:space="0" w:color="auto"/>
            </w:tcBorders>
            <w:shd w:val="clear" w:color="auto" w:fill="auto"/>
            <w:noWrap/>
            <w:vAlign w:val="bottom"/>
            <w:hideMark/>
          </w:tcPr>
          <w:p w14:paraId="61E28F0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08" w:type="dxa"/>
            <w:tcBorders>
              <w:top w:val="nil"/>
              <w:left w:val="nil"/>
              <w:bottom w:val="single" w:sz="4" w:space="0" w:color="auto"/>
              <w:right w:val="single" w:sz="4" w:space="0" w:color="auto"/>
            </w:tcBorders>
            <w:shd w:val="clear" w:color="auto" w:fill="auto"/>
            <w:noWrap/>
            <w:vAlign w:val="bottom"/>
            <w:hideMark/>
          </w:tcPr>
          <w:p w14:paraId="4B96A03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6C8E3F0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0" w:type="dxa"/>
            <w:tcBorders>
              <w:top w:val="nil"/>
              <w:left w:val="nil"/>
              <w:bottom w:val="single" w:sz="4" w:space="0" w:color="auto"/>
              <w:right w:val="single" w:sz="4" w:space="0" w:color="auto"/>
            </w:tcBorders>
            <w:shd w:val="clear" w:color="auto" w:fill="auto"/>
            <w:noWrap/>
            <w:vAlign w:val="bottom"/>
            <w:hideMark/>
          </w:tcPr>
          <w:p w14:paraId="28155EA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27" w:type="dxa"/>
            <w:tcBorders>
              <w:top w:val="nil"/>
              <w:left w:val="nil"/>
              <w:bottom w:val="single" w:sz="4" w:space="0" w:color="auto"/>
              <w:right w:val="single" w:sz="4" w:space="0" w:color="auto"/>
            </w:tcBorders>
            <w:shd w:val="clear" w:color="auto" w:fill="auto"/>
            <w:noWrap/>
            <w:vAlign w:val="bottom"/>
            <w:hideMark/>
          </w:tcPr>
          <w:p w14:paraId="56DC84B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70" w:type="dxa"/>
            <w:tcBorders>
              <w:top w:val="nil"/>
              <w:left w:val="nil"/>
              <w:bottom w:val="single" w:sz="4" w:space="0" w:color="auto"/>
              <w:right w:val="single" w:sz="4" w:space="0" w:color="auto"/>
            </w:tcBorders>
            <w:shd w:val="clear" w:color="auto" w:fill="auto"/>
            <w:noWrap/>
            <w:vAlign w:val="bottom"/>
            <w:hideMark/>
          </w:tcPr>
          <w:p w14:paraId="64DCDAE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15" w:type="dxa"/>
            <w:tcBorders>
              <w:top w:val="nil"/>
              <w:left w:val="nil"/>
              <w:bottom w:val="single" w:sz="4" w:space="0" w:color="auto"/>
              <w:right w:val="single" w:sz="4" w:space="0" w:color="auto"/>
            </w:tcBorders>
            <w:shd w:val="clear" w:color="auto" w:fill="auto"/>
            <w:noWrap/>
            <w:vAlign w:val="bottom"/>
            <w:hideMark/>
          </w:tcPr>
          <w:p w14:paraId="07C6385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45" w:type="dxa"/>
            <w:tcBorders>
              <w:top w:val="nil"/>
              <w:left w:val="nil"/>
              <w:bottom w:val="single" w:sz="4" w:space="0" w:color="auto"/>
              <w:right w:val="single" w:sz="4" w:space="0" w:color="auto"/>
            </w:tcBorders>
            <w:shd w:val="clear" w:color="auto" w:fill="auto"/>
            <w:noWrap/>
            <w:vAlign w:val="bottom"/>
            <w:hideMark/>
          </w:tcPr>
          <w:p w14:paraId="5A6B4CF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65" w:type="dxa"/>
            <w:tcBorders>
              <w:top w:val="nil"/>
              <w:left w:val="nil"/>
              <w:bottom w:val="single" w:sz="4" w:space="0" w:color="auto"/>
              <w:right w:val="single" w:sz="8" w:space="0" w:color="auto"/>
            </w:tcBorders>
            <w:shd w:val="clear" w:color="auto" w:fill="auto"/>
            <w:noWrap/>
            <w:vAlign w:val="bottom"/>
            <w:hideMark/>
          </w:tcPr>
          <w:p w14:paraId="6173D1B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270" w:type="dxa"/>
            <w:gridSpan w:val="2"/>
            <w:tcBorders>
              <w:top w:val="nil"/>
              <w:left w:val="nil"/>
              <w:bottom w:val="nil"/>
              <w:right w:val="single" w:sz="8" w:space="0" w:color="auto"/>
            </w:tcBorders>
            <w:shd w:val="clear" w:color="auto" w:fill="auto"/>
            <w:noWrap/>
            <w:vAlign w:val="bottom"/>
            <w:hideMark/>
          </w:tcPr>
          <w:p w14:paraId="3341C96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4BDF964B"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C05E5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single" w:sz="4" w:space="0" w:color="auto"/>
              <w:right w:val="single" w:sz="4" w:space="0" w:color="auto"/>
            </w:tcBorders>
            <w:shd w:val="clear" w:color="auto" w:fill="auto"/>
            <w:noWrap/>
            <w:vAlign w:val="bottom"/>
            <w:hideMark/>
          </w:tcPr>
          <w:p w14:paraId="3938D25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01.07.2020</w:t>
            </w:r>
          </w:p>
        </w:tc>
        <w:tc>
          <w:tcPr>
            <w:tcW w:w="738" w:type="dxa"/>
            <w:tcBorders>
              <w:top w:val="nil"/>
              <w:left w:val="nil"/>
              <w:bottom w:val="single" w:sz="4" w:space="0" w:color="auto"/>
              <w:right w:val="single" w:sz="4" w:space="0" w:color="auto"/>
            </w:tcBorders>
            <w:shd w:val="clear" w:color="auto" w:fill="auto"/>
            <w:noWrap/>
            <w:vAlign w:val="bottom"/>
            <w:hideMark/>
          </w:tcPr>
          <w:p w14:paraId="53EA4AD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753" w:type="dxa"/>
            <w:tcBorders>
              <w:top w:val="nil"/>
              <w:left w:val="nil"/>
              <w:bottom w:val="single" w:sz="4" w:space="0" w:color="auto"/>
              <w:right w:val="single" w:sz="4" w:space="0" w:color="auto"/>
            </w:tcBorders>
            <w:shd w:val="clear" w:color="auto" w:fill="auto"/>
            <w:noWrap/>
            <w:vAlign w:val="bottom"/>
            <w:hideMark/>
          </w:tcPr>
          <w:p w14:paraId="5E450D63"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77</w:t>
            </w:r>
          </w:p>
        </w:tc>
        <w:tc>
          <w:tcPr>
            <w:tcW w:w="860" w:type="dxa"/>
            <w:tcBorders>
              <w:top w:val="nil"/>
              <w:left w:val="nil"/>
              <w:bottom w:val="single" w:sz="4" w:space="0" w:color="auto"/>
              <w:right w:val="single" w:sz="4" w:space="0" w:color="auto"/>
            </w:tcBorders>
            <w:shd w:val="clear" w:color="auto" w:fill="auto"/>
            <w:noWrap/>
            <w:vAlign w:val="bottom"/>
            <w:hideMark/>
          </w:tcPr>
          <w:p w14:paraId="1A1F8A8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711FE50"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29</w:t>
            </w:r>
          </w:p>
        </w:tc>
        <w:tc>
          <w:tcPr>
            <w:tcW w:w="847" w:type="dxa"/>
            <w:tcBorders>
              <w:top w:val="nil"/>
              <w:left w:val="nil"/>
              <w:bottom w:val="single" w:sz="4" w:space="0" w:color="auto"/>
              <w:right w:val="single" w:sz="4" w:space="0" w:color="auto"/>
            </w:tcBorders>
            <w:shd w:val="clear" w:color="auto" w:fill="auto"/>
            <w:noWrap/>
            <w:vAlign w:val="bottom"/>
            <w:hideMark/>
          </w:tcPr>
          <w:p w14:paraId="18560F6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73</w:t>
            </w:r>
          </w:p>
        </w:tc>
        <w:tc>
          <w:tcPr>
            <w:tcW w:w="730" w:type="dxa"/>
            <w:tcBorders>
              <w:top w:val="nil"/>
              <w:left w:val="nil"/>
              <w:bottom w:val="single" w:sz="4" w:space="0" w:color="auto"/>
              <w:right w:val="single" w:sz="4" w:space="0" w:color="auto"/>
            </w:tcBorders>
            <w:shd w:val="clear" w:color="auto" w:fill="auto"/>
            <w:noWrap/>
            <w:vAlign w:val="bottom"/>
            <w:hideMark/>
          </w:tcPr>
          <w:p w14:paraId="389A32D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0E9E54E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6B2CDF9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338B69D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06694FC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11264EE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Q</w:t>
            </w:r>
          </w:p>
        </w:tc>
        <w:tc>
          <w:tcPr>
            <w:tcW w:w="270" w:type="dxa"/>
            <w:gridSpan w:val="2"/>
            <w:tcBorders>
              <w:top w:val="nil"/>
              <w:left w:val="nil"/>
              <w:bottom w:val="nil"/>
              <w:right w:val="single" w:sz="8" w:space="0" w:color="auto"/>
            </w:tcBorders>
            <w:shd w:val="clear" w:color="auto" w:fill="auto"/>
            <w:noWrap/>
            <w:vAlign w:val="bottom"/>
            <w:hideMark/>
          </w:tcPr>
          <w:p w14:paraId="05ACA91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3BF3AD1C"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5B95AB4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17D8186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01.08.2020</w:t>
            </w:r>
          </w:p>
        </w:tc>
        <w:tc>
          <w:tcPr>
            <w:tcW w:w="738" w:type="dxa"/>
            <w:tcBorders>
              <w:top w:val="nil"/>
              <w:left w:val="nil"/>
              <w:bottom w:val="single" w:sz="4" w:space="0" w:color="auto"/>
              <w:right w:val="single" w:sz="4" w:space="0" w:color="auto"/>
            </w:tcBorders>
            <w:shd w:val="clear" w:color="auto" w:fill="auto"/>
            <w:noWrap/>
            <w:vAlign w:val="bottom"/>
            <w:hideMark/>
          </w:tcPr>
          <w:p w14:paraId="582C48C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w:t>
            </w:r>
          </w:p>
        </w:tc>
        <w:tc>
          <w:tcPr>
            <w:tcW w:w="753" w:type="dxa"/>
            <w:tcBorders>
              <w:top w:val="nil"/>
              <w:left w:val="nil"/>
              <w:bottom w:val="single" w:sz="4" w:space="0" w:color="auto"/>
              <w:right w:val="single" w:sz="4" w:space="0" w:color="auto"/>
            </w:tcBorders>
            <w:shd w:val="clear" w:color="auto" w:fill="auto"/>
            <w:noWrap/>
            <w:vAlign w:val="bottom"/>
            <w:hideMark/>
          </w:tcPr>
          <w:p w14:paraId="35F1110D"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75</w:t>
            </w:r>
          </w:p>
        </w:tc>
        <w:tc>
          <w:tcPr>
            <w:tcW w:w="860" w:type="dxa"/>
            <w:tcBorders>
              <w:top w:val="nil"/>
              <w:left w:val="nil"/>
              <w:bottom w:val="single" w:sz="4" w:space="0" w:color="auto"/>
              <w:right w:val="single" w:sz="4" w:space="0" w:color="auto"/>
            </w:tcBorders>
            <w:shd w:val="clear" w:color="auto" w:fill="auto"/>
            <w:noWrap/>
            <w:vAlign w:val="bottom"/>
            <w:hideMark/>
          </w:tcPr>
          <w:p w14:paraId="7C27E4E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21847EAE"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12</w:t>
            </w:r>
          </w:p>
        </w:tc>
        <w:tc>
          <w:tcPr>
            <w:tcW w:w="847" w:type="dxa"/>
            <w:tcBorders>
              <w:top w:val="nil"/>
              <w:left w:val="nil"/>
              <w:bottom w:val="single" w:sz="4" w:space="0" w:color="auto"/>
              <w:right w:val="single" w:sz="4" w:space="0" w:color="auto"/>
            </w:tcBorders>
            <w:shd w:val="clear" w:color="auto" w:fill="auto"/>
            <w:noWrap/>
            <w:vAlign w:val="bottom"/>
            <w:hideMark/>
          </w:tcPr>
          <w:p w14:paraId="72FCA54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77</w:t>
            </w:r>
          </w:p>
        </w:tc>
        <w:tc>
          <w:tcPr>
            <w:tcW w:w="730" w:type="dxa"/>
            <w:tcBorders>
              <w:top w:val="nil"/>
              <w:left w:val="nil"/>
              <w:bottom w:val="single" w:sz="4" w:space="0" w:color="auto"/>
              <w:right w:val="single" w:sz="4" w:space="0" w:color="auto"/>
            </w:tcBorders>
            <w:shd w:val="clear" w:color="auto" w:fill="auto"/>
            <w:noWrap/>
            <w:vAlign w:val="bottom"/>
            <w:hideMark/>
          </w:tcPr>
          <w:p w14:paraId="615CE33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43849F5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51E1FD4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5BEBF3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1B9CDA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3013A6D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270" w:type="dxa"/>
            <w:gridSpan w:val="2"/>
            <w:tcBorders>
              <w:top w:val="nil"/>
              <w:left w:val="nil"/>
              <w:bottom w:val="nil"/>
              <w:right w:val="single" w:sz="8" w:space="0" w:color="auto"/>
            </w:tcBorders>
            <w:shd w:val="clear" w:color="auto" w:fill="auto"/>
            <w:noWrap/>
            <w:vAlign w:val="bottom"/>
            <w:hideMark/>
          </w:tcPr>
          <w:p w14:paraId="7CF41C6E"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B43BC1A"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0E44DC7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2CAC48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01.07.2020</w:t>
            </w:r>
          </w:p>
        </w:tc>
        <w:tc>
          <w:tcPr>
            <w:tcW w:w="738" w:type="dxa"/>
            <w:tcBorders>
              <w:top w:val="nil"/>
              <w:left w:val="nil"/>
              <w:bottom w:val="single" w:sz="4" w:space="0" w:color="auto"/>
              <w:right w:val="single" w:sz="4" w:space="0" w:color="auto"/>
            </w:tcBorders>
            <w:shd w:val="clear" w:color="auto" w:fill="auto"/>
            <w:noWrap/>
            <w:vAlign w:val="bottom"/>
            <w:hideMark/>
          </w:tcPr>
          <w:p w14:paraId="37E16BB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11</w:t>
            </w:r>
          </w:p>
        </w:tc>
        <w:tc>
          <w:tcPr>
            <w:tcW w:w="753" w:type="dxa"/>
            <w:tcBorders>
              <w:top w:val="nil"/>
              <w:left w:val="nil"/>
              <w:bottom w:val="single" w:sz="4" w:space="0" w:color="auto"/>
              <w:right w:val="single" w:sz="4" w:space="0" w:color="auto"/>
            </w:tcBorders>
            <w:shd w:val="clear" w:color="auto" w:fill="auto"/>
            <w:noWrap/>
            <w:vAlign w:val="bottom"/>
            <w:hideMark/>
          </w:tcPr>
          <w:p w14:paraId="5DED558B"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76</w:t>
            </w:r>
          </w:p>
        </w:tc>
        <w:tc>
          <w:tcPr>
            <w:tcW w:w="860" w:type="dxa"/>
            <w:tcBorders>
              <w:top w:val="nil"/>
              <w:left w:val="nil"/>
              <w:bottom w:val="single" w:sz="4" w:space="0" w:color="auto"/>
              <w:right w:val="single" w:sz="4" w:space="0" w:color="auto"/>
            </w:tcBorders>
            <w:shd w:val="clear" w:color="auto" w:fill="auto"/>
            <w:noWrap/>
            <w:vAlign w:val="bottom"/>
            <w:hideMark/>
          </w:tcPr>
          <w:p w14:paraId="74F7AA1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5C44D9BE"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107</w:t>
            </w:r>
          </w:p>
        </w:tc>
        <w:tc>
          <w:tcPr>
            <w:tcW w:w="847" w:type="dxa"/>
            <w:tcBorders>
              <w:top w:val="nil"/>
              <w:left w:val="nil"/>
              <w:bottom w:val="single" w:sz="4" w:space="0" w:color="auto"/>
              <w:right w:val="single" w:sz="4" w:space="0" w:color="auto"/>
            </w:tcBorders>
            <w:shd w:val="clear" w:color="auto" w:fill="auto"/>
            <w:noWrap/>
            <w:vAlign w:val="bottom"/>
            <w:hideMark/>
          </w:tcPr>
          <w:p w14:paraId="5862407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66</w:t>
            </w:r>
          </w:p>
        </w:tc>
        <w:tc>
          <w:tcPr>
            <w:tcW w:w="730" w:type="dxa"/>
            <w:tcBorders>
              <w:top w:val="nil"/>
              <w:left w:val="nil"/>
              <w:bottom w:val="single" w:sz="4" w:space="0" w:color="auto"/>
              <w:right w:val="single" w:sz="4" w:space="0" w:color="auto"/>
            </w:tcBorders>
            <w:shd w:val="clear" w:color="auto" w:fill="auto"/>
            <w:noWrap/>
            <w:vAlign w:val="bottom"/>
            <w:hideMark/>
          </w:tcPr>
          <w:p w14:paraId="4C4EF08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0B6EAE8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302A6D6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6B4B62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3DBCE1E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1233AF7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single" w:sz="8" w:space="0" w:color="auto"/>
            </w:tcBorders>
            <w:shd w:val="clear" w:color="auto" w:fill="auto"/>
            <w:noWrap/>
            <w:vAlign w:val="bottom"/>
            <w:hideMark/>
          </w:tcPr>
          <w:p w14:paraId="63E03450"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07975E9B"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093FF8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28BE757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01.08.2020</w:t>
            </w:r>
          </w:p>
        </w:tc>
        <w:tc>
          <w:tcPr>
            <w:tcW w:w="738" w:type="dxa"/>
            <w:tcBorders>
              <w:top w:val="nil"/>
              <w:left w:val="nil"/>
              <w:bottom w:val="single" w:sz="4" w:space="0" w:color="auto"/>
              <w:right w:val="single" w:sz="4" w:space="0" w:color="auto"/>
            </w:tcBorders>
            <w:shd w:val="clear" w:color="auto" w:fill="auto"/>
            <w:noWrap/>
            <w:vAlign w:val="bottom"/>
            <w:hideMark/>
          </w:tcPr>
          <w:p w14:paraId="2DAE5D5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15404C32"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64</w:t>
            </w:r>
          </w:p>
        </w:tc>
        <w:tc>
          <w:tcPr>
            <w:tcW w:w="860" w:type="dxa"/>
            <w:tcBorders>
              <w:top w:val="nil"/>
              <w:left w:val="nil"/>
              <w:bottom w:val="single" w:sz="4" w:space="0" w:color="auto"/>
              <w:right w:val="single" w:sz="4" w:space="0" w:color="auto"/>
            </w:tcBorders>
            <w:shd w:val="clear" w:color="auto" w:fill="auto"/>
            <w:noWrap/>
            <w:vAlign w:val="bottom"/>
            <w:hideMark/>
          </w:tcPr>
          <w:p w14:paraId="5EB7CF5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C9AFB46"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43</w:t>
            </w:r>
          </w:p>
        </w:tc>
        <w:tc>
          <w:tcPr>
            <w:tcW w:w="847" w:type="dxa"/>
            <w:tcBorders>
              <w:top w:val="nil"/>
              <w:left w:val="nil"/>
              <w:bottom w:val="single" w:sz="4" w:space="0" w:color="auto"/>
              <w:right w:val="single" w:sz="4" w:space="0" w:color="auto"/>
            </w:tcBorders>
            <w:shd w:val="clear" w:color="auto" w:fill="auto"/>
            <w:noWrap/>
            <w:vAlign w:val="bottom"/>
            <w:hideMark/>
          </w:tcPr>
          <w:p w14:paraId="70A69A1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52</w:t>
            </w:r>
          </w:p>
        </w:tc>
        <w:tc>
          <w:tcPr>
            <w:tcW w:w="730" w:type="dxa"/>
            <w:tcBorders>
              <w:top w:val="nil"/>
              <w:left w:val="nil"/>
              <w:bottom w:val="single" w:sz="4" w:space="0" w:color="auto"/>
              <w:right w:val="single" w:sz="4" w:space="0" w:color="auto"/>
            </w:tcBorders>
            <w:shd w:val="clear" w:color="auto" w:fill="auto"/>
            <w:noWrap/>
            <w:vAlign w:val="bottom"/>
            <w:hideMark/>
          </w:tcPr>
          <w:p w14:paraId="4273947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671387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7334A88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46330AB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2F2E815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2625D52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single" w:sz="8" w:space="0" w:color="auto"/>
            </w:tcBorders>
            <w:shd w:val="clear" w:color="auto" w:fill="auto"/>
            <w:noWrap/>
            <w:vAlign w:val="bottom"/>
            <w:hideMark/>
          </w:tcPr>
          <w:p w14:paraId="146F297D"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689D0EAF" w14:textId="77777777" w:rsidTr="00CE1D2F">
        <w:trPr>
          <w:trHeight w:val="262"/>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55150AA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2346277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01.07.2020</w:t>
            </w:r>
          </w:p>
        </w:tc>
        <w:tc>
          <w:tcPr>
            <w:tcW w:w="738" w:type="dxa"/>
            <w:tcBorders>
              <w:top w:val="nil"/>
              <w:left w:val="nil"/>
              <w:bottom w:val="single" w:sz="4" w:space="0" w:color="auto"/>
              <w:right w:val="single" w:sz="4" w:space="0" w:color="auto"/>
            </w:tcBorders>
            <w:shd w:val="clear" w:color="auto" w:fill="auto"/>
            <w:noWrap/>
            <w:vAlign w:val="bottom"/>
            <w:hideMark/>
          </w:tcPr>
          <w:p w14:paraId="5565040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w:t>
            </w:r>
          </w:p>
        </w:tc>
        <w:tc>
          <w:tcPr>
            <w:tcW w:w="753" w:type="dxa"/>
            <w:tcBorders>
              <w:top w:val="nil"/>
              <w:left w:val="nil"/>
              <w:bottom w:val="single" w:sz="4" w:space="0" w:color="auto"/>
              <w:right w:val="single" w:sz="4" w:space="0" w:color="auto"/>
            </w:tcBorders>
            <w:shd w:val="clear" w:color="auto" w:fill="auto"/>
            <w:noWrap/>
            <w:vAlign w:val="bottom"/>
            <w:hideMark/>
          </w:tcPr>
          <w:p w14:paraId="1F586DCA"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70</w:t>
            </w:r>
          </w:p>
        </w:tc>
        <w:tc>
          <w:tcPr>
            <w:tcW w:w="860" w:type="dxa"/>
            <w:tcBorders>
              <w:top w:val="nil"/>
              <w:left w:val="nil"/>
              <w:bottom w:val="single" w:sz="4" w:space="0" w:color="auto"/>
              <w:right w:val="single" w:sz="4" w:space="0" w:color="auto"/>
            </w:tcBorders>
            <w:shd w:val="clear" w:color="auto" w:fill="auto"/>
            <w:noWrap/>
            <w:vAlign w:val="bottom"/>
            <w:hideMark/>
          </w:tcPr>
          <w:p w14:paraId="1E78B1C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77</w:t>
            </w:r>
          </w:p>
        </w:tc>
        <w:tc>
          <w:tcPr>
            <w:tcW w:w="808" w:type="dxa"/>
            <w:tcBorders>
              <w:top w:val="nil"/>
              <w:left w:val="nil"/>
              <w:bottom w:val="single" w:sz="4" w:space="0" w:color="auto"/>
              <w:right w:val="single" w:sz="4" w:space="0" w:color="auto"/>
            </w:tcBorders>
            <w:shd w:val="clear" w:color="auto" w:fill="auto"/>
            <w:noWrap/>
            <w:vAlign w:val="bottom"/>
            <w:hideMark/>
          </w:tcPr>
          <w:p w14:paraId="1748FF81"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14</w:t>
            </w:r>
          </w:p>
        </w:tc>
        <w:tc>
          <w:tcPr>
            <w:tcW w:w="847" w:type="dxa"/>
            <w:tcBorders>
              <w:top w:val="nil"/>
              <w:left w:val="nil"/>
              <w:bottom w:val="single" w:sz="4" w:space="0" w:color="auto"/>
              <w:right w:val="single" w:sz="4" w:space="0" w:color="auto"/>
            </w:tcBorders>
            <w:shd w:val="clear" w:color="auto" w:fill="auto"/>
            <w:noWrap/>
            <w:vAlign w:val="bottom"/>
            <w:hideMark/>
          </w:tcPr>
          <w:p w14:paraId="667EB40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56</w:t>
            </w:r>
          </w:p>
        </w:tc>
        <w:tc>
          <w:tcPr>
            <w:tcW w:w="730" w:type="dxa"/>
            <w:tcBorders>
              <w:top w:val="nil"/>
              <w:left w:val="nil"/>
              <w:bottom w:val="single" w:sz="4" w:space="0" w:color="auto"/>
              <w:right w:val="single" w:sz="4" w:space="0" w:color="auto"/>
            </w:tcBorders>
            <w:shd w:val="clear" w:color="auto" w:fill="auto"/>
            <w:noWrap/>
            <w:vAlign w:val="bottom"/>
            <w:hideMark/>
          </w:tcPr>
          <w:p w14:paraId="25CD6B4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54994A8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17CBE3D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03EFC88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20ECC9B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370285A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single" w:sz="8" w:space="0" w:color="auto"/>
            </w:tcBorders>
            <w:shd w:val="clear" w:color="auto" w:fill="auto"/>
            <w:noWrap/>
            <w:vAlign w:val="bottom"/>
            <w:hideMark/>
          </w:tcPr>
          <w:p w14:paraId="76CE6F9F"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4839624"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C494D6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532A5B1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8" w:type="dxa"/>
            <w:tcBorders>
              <w:top w:val="nil"/>
              <w:left w:val="nil"/>
              <w:bottom w:val="single" w:sz="4" w:space="0" w:color="auto"/>
              <w:right w:val="single" w:sz="4" w:space="0" w:color="auto"/>
            </w:tcBorders>
            <w:shd w:val="clear" w:color="auto" w:fill="auto"/>
            <w:noWrap/>
            <w:vAlign w:val="bottom"/>
            <w:hideMark/>
          </w:tcPr>
          <w:p w14:paraId="1AF5DEC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53" w:type="dxa"/>
            <w:tcBorders>
              <w:top w:val="nil"/>
              <w:left w:val="nil"/>
              <w:bottom w:val="single" w:sz="4" w:space="0" w:color="auto"/>
              <w:right w:val="single" w:sz="4" w:space="0" w:color="auto"/>
            </w:tcBorders>
            <w:shd w:val="clear" w:color="auto" w:fill="auto"/>
            <w:noWrap/>
            <w:vAlign w:val="bottom"/>
            <w:hideMark/>
          </w:tcPr>
          <w:p w14:paraId="656FFBB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60" w:type="dxa"/>
            <w:tcBorders>
              <w:top w:val="nil"/>
              <w:left w:val="nil"/>
              <w:bottom w:val="single" w:sz="4" w:space="0" w:color="auto"/>
              <w:right w:val="single" w:sz="4" w:space="0" w:color="auto"/>
            </w:tcBorders>
            <w:shd w:val="clear" w:color="auto" w:fill="auto"/>
            <w:noWrap/>
            <w:vAlign w:val="bottom"/>
            <w:hideMark/>
          </w:tcPr>
          <w:p w14:paraId="1419692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08" w:type="dxa"/>
            <w:tcBorders>
              <w:top w:val="nil"/>
              <w:left w:val="nil"/>
              <w:bottom w:val="single" w:sz="4" w:space="0" w:color="auto"/>
              <w:right w:val="single" w:sz="4" w:space="0" w:color="auto"/>
            </w:tcBorders>
            <w:shd w:val="clear" w:color="auto" w:fill="auto"/>
            <w:noWrap/>
            <w:vAlign w:val="bottom"/>
            <w:hideMark/>
          </w:tcPr>
          <w:p w14:paraId="2DE337A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00DA2C7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0" w:type="dxa"/>
            <w:tcBorders>
              <w:top w:val="nil"/>
              <w:left w:val="nil"/>
              <w:bottom w:val="single" w:sz="4" w:space="0" w:color="auto"/>
              <w:right w:val="single" w:sz="4" w:space="0" w:color="auto"/>
            </w:tcBorders>
            <w:shd w:val="clear" w:color="auto" w:fill="auto"/>
            <w:noWrap/>
            <w:vAlign w:val="bottom"/>
            <w:hideMark/>
          </w:tcPr>
          <w:p w14:paraId="4CE90A0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27" w:type="dxa"/>
            <w:tcBorders>
              <w:top w:val="nil"/>
              <w:left w:val="nil"/>
              <w:bottom w:val="single" w:sz="4" w:space="0" w:color="auto"/>
              <w:right w:val="single" w:sz="4" w:space="0" w:color="auto"/>
            </w:tcBorders>
            <w:shd w:val="clear" w:color="auto" w:fill="auto"/>
            <w:noWrap/>
            <w:vAlign w:val="bottom"/>
            <w:hideMark/>
          </w:tcPr>
          <w:p w14:paraId="23319F5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70" w:type="dxa"/>
            <w:tcBorders>
              <w:top w:val="nil"/>
              <w:left w:val="nil"/>
              <w:bottom w:val="single" w:sz="4" w:space="0" w:color="auto"/>
              <w:right w:val="single" w:sz="4" w:space="0" w:color="auto"/>
            </w:tcBorders>
            <w:shd w:val="clear" w:color="auto" w:fill="auto"/>
            <w:noWrap/>
            <w:vAlign w:val="bottom"/>
            <w:hideMark/>
          </w:tcPr>
          <w:p w14:paraId="41BB46F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15" w:type="dxa"/>
            <w:tcBorders>
              <w:top w:val="nil"/>
              <w:left w:val="nil"/>
              <w:bottom w:val="single" w:sz="4" w:space="0" w:color="auto"/>
              <w:right w:val="single" w:sz="4" w:space="0" w:color="auto"/>
            </w:tcBorders>
            <w:shd w:val="clear" w:color="auto" w:fill="auto"/>
            <w:noWrap/>
            <w:vAlign w:val="bottom"/>
            <w:hideMark/>
          </w:tcPr>
          <w:p w14:paraId="489D601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45" w:type="dxa"/>
            <w:tcBorders>
              <w:top w:val="nil"/>
              <w:left w:val="nil"/>
              <w:bottom w:val="single" w:sz="4" w:space="0" w:color="auto"/>
              <w:right w:val="single" w:sz="4" w:space="0" w:color="auto"/>
            </w:tcBorders>
            <w:shd w:val="clear" w:color="auto" w:fill="auto"/>
            <w:noWrap/>
            <w:vAlign w:val="bottom"/>
            <w:hideMark/>
          </w:tcPr>
          <w:p w14:paraId="587B682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65" w:type="dxa"/>
            <w:tcBorders>
              <w:top w:val="nil"/>
              <w:left w:val="nil"/>
              <w:bottom w:val="single" w:sz="4" w:space="0" w:color="auto"/>
              <w:right w:val="single" w:sz="8" w:space="0" w:color="auto"/>
            </w:tcBorders>
            <w:shd w:val="clear" w:color="auto" w:fill="auto"/>
            <w:noWrap/>
            <w:vAlign w:val="bottom"/>
            <w:hideMark/>
          </w:tcPr>
          <w:p w14:paraId="11589E2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270" w:type="dxa"/>
            <w:gridSpan w:val="2"/>
            <w:tcBorders>
              <w:top w:val="nil"/>
              <w:left w:val="nil"/>
              <w:bottom w:val="nil"/>
              <w:right w:val="single" w:sz="8" w:space="0" w:color="auto"/>
            </w:tcBorders>
            <w:shd w:val="clear" w:color="auto" w:fill="auto"/>
            <w:noWrap/>
            <w:vAlign w:val="bottom"/>
            <w:hideMark/>
          </w:tcPr>
          <w:p w14:paraId="0FB81829"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9B450FE"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723B43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single" w:sz="4" w:space="0" w:color="auto"/>
              <w:right w:val="single" w:sz="4" w:space="0" w:color="auto"/>
            </w:tcBorders>
            <w:shd w:val="clear" w:color="auto" w:fill="auto"/>
            <w:noWrap/>
            <w:vAlign w:val="bottom"/>
            <w:hideMark/>
          </w:tcPr>
          <w:p w14:paraId="5FC5E40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4/9/2021</w:t>
            </w:r>
          </w:p>
        </w:tc>
        <w:tc>
          <w:tcPr>
            <w:tcW w:w="738" w:type="dxa"/>
            <w:tcBorders>
              <w:top w:val="nil"/>
              <w:left w:val="nil"/>
              <w:bottom w:val="single" w:sz="4" w:space="0" w:color="auto"/>
              <w:right w:val="single" w:sz="4" w:space="0" w:color="auto"/>
            </w:tcBorders>
            <w:shd w:val="clear" w:color="auto" w:fill="auto"/>
            <w:noWrap/>
            <w:vAlign w:val="bottom"/>
            <w:hideMark/>
          </w:tcPr>
          <w:p w14:paraId="45CA651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00942CA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68</w:t>
            </w:r>
          </w:p>
        </w:tc>
        <w:tc>
          <w:tcPr>
            <w:tcW w:w="860" w:type="dxa"/>
            <w:tcBorders>
              <w:top w:val="nil"/>
              <w:left w:val="nil"/>
              <w:bottom w:val="single" w:sz="4" w:space="0" w:color="auto"/>
              <w:right w:val="single" w:sz="4" w:space="0" w:color="auto"/>
            </w:tcBorders>
            <w:shd w:val="clear" w:color="auto" w:fill="auto"/>
            <w:noWrap/>
            <w:vAlign w:val="bottom"/>
            <w:hideMark/>
          </w:tcPr>
          <w:p w14:paraId="4F8280C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5C921D6A"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w:t>
            </w:r>
          </w:p>
        </w:tc>
        <w:tc>
          <w:tcPr>
            <w:tcW w:w="847" w:type="dxa"/>
            <w:tcBorders>
              <w:top w:val="nil"/>
              <w:left w:val="nil"/>
              <w:bottom w:val="single" w:sz="4" w:space="0" w:color="auto"/>
              <w:right w:val="single" w:sz="4" w:space="0" w:color="auto"/>
            </w:tcBorders>
            <w:shd w:val="clear" w:color="auto" w:fill="auto"/>
            <w:noWrap/>
            <w:vAlign w:val="bottom"/>
            <w:hideMark/>
          </w:tcPr>
          <w:p w14:paraId="6C7F64B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104</w:t>
            </w:r>
          </w:p>
        </w:tc>
        <w:tc>
          <w:tcPr>
            <w:tcW w:w="730" w:type="dxa"/>
            <w:tcBorders>
              <w:top w:val="nil"/>
              <w:left w:val="nil"/>
              <w:bottom w:val="single" w:sz="4" w:space="0" w:color="auto"/>
              <w:right w:val="single" w:sz="4" w:space="0" w:color="auto"/>
            </w:tcBorders>
            <w:shd w:val="clear" w:color="auto" w:fill="auto"/>
            <w:noWrap/>
            <w:vAlign w:val="bottom"/>
            <w:hideMark/>
          </w:tcPr>
          <w:p w14:paraId="6E48A2D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739B050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1D1C433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04C84C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728FA02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0B00301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270" w:type="dxa"/>
            <w:gridSpan w:val="2"/>
            <w:tcBorders>
              <w:top w:val="nil"/>
              <w:left w:val="nil"/>
              <w:bottom w:val="nil"/>
              <w:right w:val="single" w:sz="8" w:space="0" w:color="auto"/>
            </w:tcBorders>
            <w:shd w:val="clear" w:color="auto" w:fill="auto"/>
            <w:noWrap/>
            <w:vAlign w:val="bottom"/>
            <w:hideMark/>
          </w:tcPr>
          <w:p w14:paraId="2142C60B"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30B520F7"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3593CE3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25A87F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4/9/2021</w:t>
            </w:r>
          </w:p>
        </w:tc>
        <w:tc>
          <w:tcPr>
            <w:tcW w:w="738" w:type="dxa"/>
            <w:tcBorders>
              <w:top w:val="nil"/>
              <w:left w:val="nil"/>
              <w:bottom w:val="single" w:sz="4" w:space="0" w:color="auto"/>
              <w:right w:val="single" w:sz="4" w:space="0" w:color="auto"/>
            </w:tcBorders>
            <w:shd w:val="clear" w:color="auto" w:fill="auto"/>
            <w:noWrap/>
            <w:vAlign w:val="bottom"/>
            <w:hideMark/>
          </w:tcPr>
          <w:p w14:paraId="661FF2B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753" w:type="dxa"/>
            <w:tcBorders>
              <w:top w:val="nil"/>
              <w:left w:val="nil"/>
              <w:bottom w:val="single" w:sz="4" w:space="0" w:color="auto"/>
              <w:right w:val="single" w:sz="4" w:space="0" w:color="auto"/>
            </w:tcBorders>
            <w:shd w:val="clear" w:color="auto" w:fill="auto"/>
            <w:noWrap/>
            <w:vAlign w:val="bottom"/>
            <w:hideMark/>
          </w:tcPr>
          <w:p w14:paraId="72AF2F58"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86</w:t>
            </w:r>
          </w:p>
        </w:tc>
        <w:tc>
          <w:tcPr>
            <w:tcW w:w="860" w:type="dxa"/>
            <w:tcBorders>
              <w:top w:val="nil"/>
              <w:left w:val="nil"/>
              <w:bottom w:val="single" w:sz="4" w:space="0" w:color="auto"/>
              <w:right w:val="single" w:sz="4" w:space="0" w:color="auto"/>
            </w:tcBorders>
            <w:shd w:val="clear" w:color="auto" w:fill="auto"/>
            <w:noWrap/>
            <w:vAlign w:val="bottom"/>
            <w:hideMark/>
          </w:tcPr>
          <w:p w14:paraId="45B8442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91B1EFA"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14</w:t>
            </w:r>
          </w:p>
        </w:tc>
        <w:tc>
          <w:tcPr>
            <w:tcW w:w="847" w:type="dxa"/>
            <w:tcBorders>
              <w:top w:val="nil"/>
              <w:left w:val="nil"/>
              <w:bottom w:val="single" w:sz="4" w:space="0" w:color="auto"/>
              <w:right w:val="single" w:sz="4" w:space="0" w:color="auto"/>
            </w:tcBorders>
            <w:shd w:val="clear" w:color="auto" w:fill="auto"/>
            <w:noWrap/>
            <w:vAlign w:val="bottom"/>
            <w:hideMark/>
          </w:tcPr>
          <w:p w14:paraId="3080270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98</w:t>
            </w:r>
          </w:p>
        </w:tc>
        <w:tc>
          <w:tcPr>
            <w:tcW w:w="730" w:type="dxa"/>
            <w:tcBorders>
              <w:top w:val="nil"/>
              <w:left w:val="nil"/>
              <w:bottom w:val="single" w:sz="4" w:space="0" w:color="auto"/>
              <w:right w:val="single" w:sz="4" w:space="0" w:color="auto"/>
            </w:tcBorders>
            <w:shd w:val="clear" w:color="auto" w:fill="auto"/>
            <w:noWrap/>
            <w:vAlign w:val="bottom"/>
            <w:hideMark/>
          </w:tcPr>
          <w:p w14:paraId="3F64FE1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2074C96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3B5FDA8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74F198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0940C0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2A9DCE7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270" w:type="dxa"/>
            <w:gridSpan w:val="2"/>
            <w:tcBorders>
              <w:top w:val="nil"/>
              <w:left w:val="nil"/>
              <w:bottom w:val="nil"/>
              <w:right w:val="single" w:sz="8" w:space="0" w:color="auto"/>
            </w:tcBorders>
            <w:shd w:val="clear" w:color="auto" w:fill="auto"/>
            <w:noWrap/>
            <w:vAlign w:val="bottom"/>
            <w:hideMark/>
          </w:tcPr>
          <w:p w14:paraId="0306A358"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CD2E64D"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2FBE6DD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37888DE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4/9/2021</w:t>
            </w:r>
          </w:p>
        </w:tc>
        <w:tc>
          <w:tcPr>
            <w:tcW w:w="738" w:type="dxa"/>
            <w:tcBorders>
              <w:top w:val="nil"/>
              <w:left w:val="nil"/>
              <w:bottom w:val="single" w:sz="4" w:space="0" w:color="auto"/>
              <w:right w:val="single" w:sz="4" w:space="0" w:color="auto"/>
            </w:tcBorders>
            <w:shd w:val="clear" w:color="auto" w:fill="auto"/>
            <w:noWrap/>
            <w:vAlign w:val="bottom"/>
            <w:hideMark/>
          </w:tcPr>
          <w:p w14:paraId="0CB789C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753" w:type="dxa"/>
            <w:tcBorders>
              <w:top w:val="nil"/>
              <w:left w:val="nil"/>
              <w:bottom w:val="single" w:sz="4" w:space="0" w:color="auto"/>
              <w:right w:val="single" w:sz="4" w:space="0" w:color="auto"/>
            </w:tcBorders>
            <w:shd w:val="clear" w:color="auto" w:fill="auto"/>
            <w:noWrap/>
            <w:vAlign w:val="bottom"/>
            <w:hideMark/>
          </w:tcPr>
          <w:p w14:paraId="782CF14D"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83</w:t>
            </w:r>
          </w:p>
        </w:tc>
        <w:tc>
          <w:tcPr>
            <w:tcW w:w="860" w:type="dxa"/>
            <w:tcBorders>
              <w:top w:val="nil"/>
              <w:left w:val="nil"/>
              <w:bottom w:val="single" w:sz="4" w:space="0" w:color="auto"/>
              <w:right w:val="single" w:sz="4" w:space="0" w:color="auto"/>
            </w:tcBorders>
            <w:shd w:val="clear" w:color="auto" w:fill="auto"/>
            <w:noWrap/>
            <w:vAlign w:val="bottom"/>
            <w:hideMark/>
          </w:tcPr>
          <w:p w14:paraId="6F3213A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6F28D118"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306</w:t>
            </w:r>
          </w:p>
        </w:tc>
        <w:tc>
          <w:tcPr>
            <w:tcW w:w="847" w:type="dxa"/>
            <w:tcBorders>
              <w:top w:val="nil"/>
              <w:left w:val="nil"/>
              <w:bottom w:val="single" w:sz="4" w:space="0" w:color="auto"/>
              <w:right w:val="single" w:sz="4" w:space="0" w:color="auto"/>
            </w:tcBorders>
            <w:shd w:val="clear" w:color="auto" w:fill="auto"/>
            <w:noWrap/>
            <w:vAlign w:val="bottom"/>
            <w:hideMark/>
          </w:tcPr>
          <w:p w14:paraId="0BEA876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88</w:t>
            </w:r>
          </w:p>
        </w:tc>
        <w:tc>
          <w:tcPr>
            <w:tcW w:w="730" w:type="dxa"/>
            <w:tcBorders>
              <w:top w:val="nil"/>
              <w:left w:val="nil"/>
              <w:bottom w:val="single" w:sz="4" w:space="0" w:color="auto"/>
              <w:right w:val="single" w:sz="4" w:space="0" w:color="auto"/>
            </w:tcBorders>
            <w:shd w:val="clear" w:color="auto" w:fill="auto"/>
            <w:noWrap/>
            <w:vAlign w:val="bottom"/>
            <w:hideMark/>
          </w:tcPr>
          <w:p w14:paraId="3F59FDE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7A6E14D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6C22E72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120ABC0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40DC31E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5A746C0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 and 9</w:t>
            </w:r>
          </w:p>
        </w:tc>
        <w:tc>
          <w:tcPr>
            <w:tcW w:w="270" w:type="dxa"/>
            <w:gridSpan w:val="2"/>
            <w:tcBorders>
              <w:top w:val="nil"/>
              <w:left w:val="nil"/>
              <w:bottom w:val="nil"/>
              <w:right w:val="single" w:sz="8" w:space="0" w:color="auto"/>
            </w:tcBorders>
            <w:shd w:val="clear" w:color="auto" w:fill="auto"/>
            <w:noWrap/>
            <w:vAlign w:val="bottom"/>
            <w:hideMark/>
          </w:tcPr>
          <w:p w14:paraId="3F61FA7A"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1D959A9"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31D9D27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C6D004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10/26/2021</w:t>
            </w:r>
          </w:p>
        </w:tc>
        <w:tc>
          <w:tcPr>
            <w:tcW w:w="738" w:type="dxa"/>
            <w:tcBorders>
              <w:top w:val="nil"/>
              <w:left w:val="nil"/>
              <w:bottom w:val="single" w:sz="4" w:space="0" w:color="auto"/>
              <w:right w:val="single" w:sz="4" w:space="0" w:color="auto"/>
            </w:tcBorders>
            <w:shd w:val="clear" w:color="auto" w:fill="auto"/>
            <w:noWrap/>
            <w:vAlign w:val="bottom"/>
            <w:hideMark/>
          </w:tcPr>
          <w:p w14:paraId="4CB112E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753" w:type="dxa"/>
            <w:tcBorders>
              <w:top w:val="nil"/>
              <w:left w:val="nil"/>
              <w:bottom w:val="single" w:sz="4" w:space="0" w:color="auto"/>
              <w:right w:val="single" w:sz="4" w:space="0" w:color="auto"/>
            </w:tcBorders>
            <w:shd w:val="clear" w:color="auto" w:fill="auto"/>
            <w:noWrap/>
            <w:vAlign w:val="bottom"/>
            <w:hideMark/>
          </w:tcPr>
          <w:p w14:paraId="402E7FE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80</w:t>
            </w:r>
          </w:p>
        </w:tc>
        <w:tc>
          <w:tcPr>
            <w:tcW w:w="860" w:type="dxa"/>
            <w:tcBorders>
              <w:top w:val="nil"/>
              <w:left w:val="nil"/>
              <w:bottom w:val="single" w:sz="4" w:space="0" w:color="auto"/>
              <w:right w:val="single" w:sz="4" w:space="0" w:color="auto"/>
            </w:tcBorders>
            <w:shd w:val="clear" w:color="auto" w:fill="auto"/>
            <w:noWrap/>
            <w:vAlign w:val="bottom"/>
            <w:hideMark/>
          </w:tcPr>
          <w:p w14:paraId="52EDC14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061C53A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59</w:t>
            </w:r>
          </w:p>
        </w:tc>
        <w:tc>
          <w:tcPr>
            <w:tcW w:w="847" w:type="dxa"/>
            <w:tcBorders>
              <w:top w:val="nil"/>
              <w:left w:val="nil"/>
              <w:bottom w:val="single" w:sz="4" w:space="0" w:color="auto"/>
              <w:right w:val="single" w:sz="4" w:space="0" w:color="auto"/>
            </w:tcBorders>
            <w:shd w:val="clear" w:color="auto" w:fill="auto"/>
            <w:noWrap/>
            <w:vAlign w:val="bottom"/>
            <w:hideMark/>
          </w:tcPr>
          <w:p w14:paraId="07C2E50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75</w:t>
            </w:r>
          </w:p>
        </w:tc>
        <w:tc>
          <w:tcPr>
            <w:tcW w:w="730" w:type="dxa"/>
            <w:tcBorders>
              <w:top w:val="nil"/>
              <w:left w:val="nil"/>
              <w:bottom w:val="single" w:sz="4" w:space="0" w:color="auto"/>
              <w:right w:val="single" w:sz="4" w:space="0" w:color="auto"/>
            </w:tcBorders>
            <w:shd w:val="clear" w:color="auto" w:fill="auto"/>
            <w:noWrap/>
            <w:vAlign w:val="bottom"/>
            <w:hideMark/>
          </w:tcPr>
          <w:p w14:paraId="5AD7D99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25C420B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7029088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7138949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22A8EFD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46070C7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270" w:type="dxa"/>
            <w:gridSpan w:val="2"/>
            <w:tcBorders>
              <w:top w:val="nil"/>
              <w:left w:val="nil"/>
              <w:bottom w:val="nil"/>
              <w:right w:val="single" w:sz="8" w:space="0" w:color="auto"/>
            </w:tcBorders>
            <w:shd w:val="clear" w:color="auto" w:fill="auto"/>
            <w:noWrap/>
            <w:vAlign w:val="bottom"/>
            <w:hideMark/>
          </w:tcPr>
          <w:p w14:paraId="1775EB8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6B07206" w14:textId="77777777" w:rsidTr="00CE1D2F">
        <w:trPr>
          <w:trHeight w:val="273"/>
        </w:trPr>
        <w:tc>
          <w:tcPr>
            <w:tcW w:w="535" w:type="dxa"/>
            <w:tcBorders>
              <w:top w:val="nil"/>
              <w:left w:val="single" w:sz="8" w:space="0" w:color="auto"/>
              <w:bottom w:val="single" w:sz="8" w:space="0" w:color="auto"/>
              <w:right w:val="single" w:sz="4" w:space="0" w:color="auto"/>
            </w:tcBorders>
            <w:shd w:val="clear" w:color="auto" w:fill="auto"/>
            <w:noWrap/>
            <w:vAlign w:val="bottom"/>
            <w:hideMark/>
          </w:tcPr>
          <w:p w14:paraId="2A51640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8" w:space="0" w:color="auto"/>
              <w:right w:val="single" w:sz="4" w:space="0" w:color="auto"/>
            </w:tcBorders>
            <w:shd w:val="clear" w:color="auto" w:fill="auto"/>
            <w:noWrap/>
            <w:vAlign w:val="bottom"/>
            <w:hideMark/>
          </w:tcPr>
          <w:p w14:paraId="0F779D9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10/26/2021</w:t>
            </w:r>
          </w:p>
        </w:tc>
        <w:tc>
          <w:tcPr>
            <w:tcW w:w="738" w:type="dxa"/>
            <w:tcBorders>
              <w:top w:val="nil"/>
              <w:left w:val="nil"/>
              <w:bottom w:val="single" w:sz="8" w:space="0" w:color="auto"/>
              <w:right w:val="single" w:sz="4" w:space="0" w:color="auto"/>
            </w:tcBorders>
            <w:shd w:val="clear" w:color="auto" w:fill="auto"/>
            <w:noWrap/>
            <w:vAlign w:val="bottom"/>
            <w:hideMark/>
          </w:tcPr>
          <w:p w14:paraId="7AE5680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18</w:t>
            </w:r>
          </w:p>
        </w:tc>
        <w:tc>
          <w:tcPr>
            <w:tcW w:w="753" w:type="dxa"/>
            <w:tcBorders>
              <w:top w:val="nil"/>
              <w:left w:val="nil"/>
              <w:bottom w:val="single" w:sz="8" w:space="0" w:color="auto"/>
              <w:right w:val="single" w:sz="4" w:space="0" w:color="auto"/>
            </w:tcBorders>
            <w:shd w:val="clear" w:color="auto" w:fill="auto"/>
            <w:noWrap/>
            <w:vAlign w:val="bottom"/>
            <w:hideMark/>
          </w:tcPr>
          <w:p w14:paraId="4DD5650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84</w:t>
            </w:r>
          </w:p>
        </w:tc>
        <w:tc>
          <w:tcPr>
            <w:tcW w:w="860" w:type="dxa"/>
            <w:tcBorders>
              <w:top w:val="nil"/>
              <w:left w:val="nil"/>
              <w:bottom w:val="single" w:sz="8" w:space="0" w:color="auto"/>
              <w:right w:val="single" w:sz="4" w:space="0" w:color="auto"/>
            </w:tcBorders>
            <w:shd w:val="clear" w:color="auto" w:fill="auto"/>
            <w:noWrap/>
            <w:vAlign w:val="bottom"/>
            <w:hideMark/>
          </w:tcPr>
          <w:p w14:paraId="0E92BC0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8" w:space="0" w:color="auto"/>
              <w:right w:val="single" w:sz="4" w:space="0" w:color="auto"/>
            </w:tcBorders>
            <w:shd w:val="clear" w:color="auto" w:fill="auto"/>
            <w:noWrap/>
            <w:vAlign w:val="bottom"/>
            <w:hideMark/>
          </w:tcPr>
          <w:p w14:paraId="2E45232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62</w:t>
            </w:r>
          </w:p>
        </w:tc>
        <w:tc>
          <w:tcPr>
            <w:tcW w:w="847" w:type="dxa"/>
            <w:tcBorders>
              <w:top w:val="nil"/>
              <w:left w:val="nil"/>
              <w:bottom w:val="single" w:sz="8" w:space="0" w:color="auto"/>
              <w:right w:val="single" w:sz="4" w:space="0" w:color="auto"/>
            </w:tcBorders>
            <w:shd w:val="clear" w:color="auto" w:fill="auto"/>
            <w:noWrap/>
            <w:vAlign w:val="bottom"/>
            <w:hideMark/>
          </w:tcPr>
          <w:p w14:paraId="2D616BC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83</w:t>
            </w:r>
          </w:p>
        </w:tc>
        <w:tc>
          <w:tcPr>
            <w:tcW w:w="730" w:type="dxa"/>
            <w:tcBorders>
              <w:top w:val="nil"/>
              <w:left w:val="nil"/>
              <w:bottom w:val="single" w:sz="8" w:space="0" w:color="auto"/>
              <w:right w:val="single" w:sz="4" w:space="0" w:color="auto"/>
            </w:tcBorders>
            <w:shd w:val="clear" w:color="auto" w:fill="auto"/>
            <w:noWrap/>
            <w:vAlign w:val="bottom"/>
            <w:hideMark/>
          </w:tcPr>
          <w:p w14:paraId="0D6F788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8" w:space="0" w:color="auto"/>
              <w:right w:val="single" w:sz="4" w:space="0" w:color="auto"/>
            </w:tcBorders>
            <w:shd w:val="clear" w:color="auto" w:fill="auto"/>
            <w:noWrap/>
            <w:vAlign w:val="bottom"/>
            <w:hideMark/>
          </w:tcPr>
          <w:p w14:paraId="086F630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8" w:space="0" w:color="auto"/>
              <w:right w:val="single" w:sz="4" w:space="0" w:color="auto"/>
            </w:tcBorders>
            <w:shd w:val="clear" w:color="auto" w:fill="auto"/>
            <w:noWrap/>
            <w:vAlign w:val="bottom"/>
            <w:hideMark/>
          </w:tcPr>
          <w:p w14:paraId="3435EB4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8" w:space="0" w:color="auto"/>
              <w:right w:val="single" w:sz="4" w:space="0" w:color="auto"/>
            </w:tcBorders>
            <w:shd w:val="clear" w:color="auto" w:fill="auto"/>
            <w:noWrap/>
            <w:vAlign w:val="bottom"/>
            <w:hideMark/>
          </w:tcPr>
          <w:p w14:paraId="13904C2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8" w:space="0" w:color="auto"/>
              <w:right w:val="single" w:sz="4" w:space="0" w:color="auto"/>
            </w:tcBorders>
            <w:shd w:val="clear" w:color="auto" w:fill="auto"/>
            <w:noWrap/>
            <w:vAlign w:val="bottom"/>
            <w:hideMark/>
          </w:tcPr>
          <w:p w14:paraId="21C5441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8" w:space="0" w:color="auto"/>
              <w:right w:val="single" w:sz="8" w:space="0" w:color="auto"/>
            </w:tcBorders>
            <w:shd w:val="clear" w:color="auto" w:fill="auto"/>
            <w:noWrap/>
            <w:vAlign w:val="bottom"/>
            <w:hideMark/>
          </w:tcPr>
          <w:p w14:paraId="27D1DF6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270" w:type="dxa"/>
            <w:gridSpan w:val="2"/>
            <w:tcBorders>
              <w:top w:val="nil"/>
              <w:left w:val="nil"/>
              <w:bottom w:val="single" w:sz="8" w:space="0" w:color="auto"/>
              <w:right w:val="single" w:sz="8" w:space="0" w:color="auto"/>
            </w:tcBorders>
            <w:shd w:val="clear" w:color="auto" w:fill="auto"/>
            <w:noWrap/>
            <w:vAlign w:val="bottom"/>
            <w:hideMark/>
          </w:tcPr>
          <w:p w14:paraId="3973487B"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4F67854"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0A1313C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917" w:type="dxa"/>
            <w:tcBorders>
              <w:top w:val="nil"/>
              <w:left w:val="nil"/>
              <w:bottom w:val="nil"/>
              <w:right w:val="nil"/>
            </w:tcBorders>
            <w:shd w:val="clear" w:color="auto" w:fill="auto"/>
            <w:noWrap/>
            <w:vAlign w:val="bottom"/>
            <w:hideMark/>
          </w:tcPr>
          <w:p w14:paraId="18EA19E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c>
          <w:tcPr>
            <w:tcW w:w="738" w:type="dxa"/>
            <w:tcBorders>
              <w:top w:val="nil"/>
              <w:left w:val="nil"/>
              <w:bottom w:val="nil"/>
              <w:right w:val="nil"/>
            </w:tcBorders>
            <w:shd w:val="clear" w:color="auto" w:fill="auto"/>
            <w:noWrap/>
            <w:vAlign w:val="bottom"/>
            <w:hideMark/>
          </w:tcPr>
          <w:p w14:paraId="67F06245"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53" w:type="dxa"/>
            <w:tcBorders>
              <w:top w:val="nil"/>
              <w:left w:val="nil"/>
              <w:bottom w:val="nil"/>
              <w:right w:val="nil"/>
            </w:tcBorders>
            <w:shd w:val="clear" w:color="auto" w:fill="auto"/>
            <w:noWrap/>
            <w:vAlign w:val="bottom"/>
            <w:hideMark/>
          </w:tcPr>
          <w:p w14:paraId="0BF6E97B"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60" w:type="dxa"/>
            <w:tcBorders>
              <w:top w:val="nil"/>
              <w:left w:val="nil"/>
              <w:bottom w:val="nil"/>
              <w:right w:val="nil"/>
            </w:tcBorders>
            <w:shd w:val="clear" w:color="auto" w:fill="auto"/>
            <w:noWrap/>
            <w:vAlign w:val="bottom"/>
            <w:hideMark/>
          </w:tcPr>
          <w:p w14:paraId="1A67C331"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08" w:type="dxa"/>
            <w:tcBorders>
              <w:top w:val="nil"/>
              <w:left w:val="nil"/>
              <w:bottom w:val="nil"/>
              <w:right w:val="nil"/>
            </w:tcBorders>
            <w:shd w:val="clear" w:color="auto" w:fill="auto"/>
            <w:noWrap/>
            <w:vAlign w:val="bottom"/>
            <w:hideMark/>
          </w:tcPr>
          <w:p w14:paraId="19B7E86C"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47" w:type="dxa"/>
            <w:tcBorders>
              <w:top w:val="nil"/>
              <w:left w:val="nil"/>
              <w:bottom w:val="nil"/>
              <w:right w:val="nil"/>
            </w:tcBorders>
            <w:shd w:val="clear" w:color="auto" w:fill="auto"/>
            <w:noWrap/>
            <w:vAlign w:val="bottom"/>
            <w:hideMark/>
          </w:tcPr>
          <w:p w14:paraId="3F5C44DC"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30" w:type="dxa"/>
            <w:tcBorders>
              <w:top w:val="nil"/>
              <w:left w:val="nil"/>
              <w:bottom w:val="nil"/>
              <w:right w:val="nil"/>
            </w:tcBorders>
            <w:shd w:val="clear" w:color="auto" w:fill="auto"/>
            <w:noWrap/>
            <w:vAlign w:val="bottom"/>
            <w:hideMark/>
          </w:tcPr>
          <w:p w14:paraId="51CA8CA7"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627" w:type="dxa"/>
            <w:tcBorders>
              <w:top w:val="nil"/>
              <w:left w:val="nil"/>
              <w:bottom w:val="nil"/>
              <w:right w:val="nil"/>
            </w:tcBorders>
            <w:shd w:val="clear" w:color="auto" w:fill="auto"/>
            <w:noWrap/>
            <w:vAlign w:val="bottom"/>
            <w:hideMark/>
          </w:tcPr>
          <w:p w14:paraId="6282CF9D"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70" w:type="dxa"/>
            <w:tcBorders>
              <w:top w:val="nil"/>
              <w:left w:val="nil"/>
              <w:bottom w:val="nil"/>
              <w:right w:val="nil"/>
            </w:tcBorders>
            <w:shd w:val="clear" w:color="auto" w:fill="auto"/>
            <w:noWrap/>
            <w:vAlign w:val="bottom"/>
            <w:hideMark/>
          </w:tcPr>
          <w:p w14:paraId="4F6397EB"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615" w:type="dxa"/>
            <w:tcBorders>
              <w:top w:val="nil"/>
              <w:left w:val="nil"/>
              <w:bottom w:val="nil"/>
              <w:right w:val="nil"/>
            </w:tcBorders>
            <w:shd w:val="clear" w:color="auto" w:fill="auto"/>
            <w:noWrap/>
            <w:vAlign w:val="bottom"/>
            <w:hideMark/>
          </w:tcPr>
          <w:p w14:paraId="3AC80310"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45" w:type="dxa"/>
            <w:tcBorders>
              <w:top w:val="nil"/>
              <w:left w:val="nil"/>
              <w:bottom w:val="nil"/>
              <w:right w:val="nil"/>
            </w:tcBorders>
            <w:shd w:val="clear" w:color="auto" w:fill="auto"/>
            <w:noWrap/>
            <w:vAlign w:val="bottom"/>
            <w:hideMark/>
          </w:tcPr>
          <w:p w14:paraId="262A5DD9"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65" w:type="dxa"/>
            <w:tcBorders>
              <w:top w:val="nil"/>
              <w:left w:val="nil"/>
              <w:bottom w:val="nil"/>
              <w:right w:val="single" w:sz="8" w:space="0" w:color="auto"/>
            </w:tcBorders>
            <w:shd w:val="clear" w:color="auto" w:fill="auto"/>
            <w:noWrap/>
            <w:vAlign w:val="bottom"/>
            <w:hideMark/>
          </w:tcPr>
          <w:p w14:paraId="425F09E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270" w:type="dxa"/>
            <w:gridSpan w:val="2"/>
            <w:tcBorders>
              <w:top w:val="nil"/>
              <w:left w:val="nil"/>
              <w:bottom w:val="nil"/>
              <w:right w:val="nil"/>
            </w:tcBorders>
            <w:shd w:val="clear" w:color="auto" w:fill="auto"/>
            <w:noWrap/>
            <w:vAlign w:val="bottom"/>
            <w:hideMark/>
          </w:tcPr>
          <w:p w14:paraId="530C967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399E58F3"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1E73017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nil"/>
              <w:right w:val="nil"/>
            </w:tcBorders>
            <w:shd w:val="clear" w:color="auto" w:fill="auto"/>
            <w:noWrap/>
            <w:vAlign w:val="bottom"/>
            <w:hideMark/>
          </w:tcPr>
          <w:p w14:paraId="3D0BE8A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3/10/2022</w:t>
            </w:r>
          </w:p>
        </w:tc>
        <w:tc>
          <w:tcPr>
            <w:tcW w:w="738" w:type="dxa"/>
            <w:tcBorders>
              <w:top w:val="nil"/>
              <w:left w:val="nil"/>
              <w:bottom w:val="nil"/>
              <w:right w:val="nil"/>
            </w:tcBorders>
            <w:shd w:val="clear" w:color="auto" w:fill="auto"/>
            <w:noWrap/>
            <w:vAlign w:val="bottom"/>
            <w:hideMark/>
          </w:tcPr>
          <w:p w14:paraId="0CE83D6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12</w:t>
            </w:r>
          </w:p>
        </w:tc>
        <w:tc>
          <w:tcPr>
            <w:tcW w:w="753" w:type="dxa"/>
            <w:tcBorders>
              <w:top w:val="nil"/>
              <w:left w:val="nil"/>
              <w:bottom w:val="nil"/>
              <w:right w:val="nil"/>
            </w:tcBorders>
            <w:shd w:val="clear" w:color="auto" w:fill="auto"/>
            <w:noWrap/>
            <w:vAlign w:val="bottom"/>
            <w:hideMark/>
          </w:tcPr>
          <w:p w14:paraId="4487AAB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92</w:t>
            </w:r>
          </w:p>
        </w:tc>
        <w:tc>
          <w:tcPr>
            <w:tcW w:w="860" w:type="dxa"/>
            <w:tcBorders>
              <w:top w:val="nil"/>
              <w:left w:val="nil"/>
              <w:bottom w:val="nil"/>
              <w:right w:val="nil"/>
            </w:tcBorders>
            <w:shd w:val="clear" w:color="auto" w:fill="auto"/>
            <w:noWrap/>
            <w:vAlign w:val="bottom"/>
            <w:hideMark/>
          </w:tcPr>
          <w:p w14:paraId="23AD580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4C1779D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152</w:t>
            </w:r>
          </w:p>
        </w:tc>
        <w:tc>
          <w:tcPr>
            <w:tcW w:w="847" w:type="dxa"/>
            <w:tcBorders>
              <w:top w:val="nil"/>
              <w:left w:val="nil"/>
              <w:bottom w:val="nil"/>
              <w:right w:val="nil"/>
            </w:tcBorders>
            <w:shd w:val="clear" w:color="auto" w:fill="auto"/>
            <w:noWrap/>
            <w:vAlign w:val="bottom"/>
            <w:hideMark/>
          </w:tcPr>
          <w:p w14:paraId="3BAABAE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81</w:t>
            </w:r>
          </w:p>
        </w:tc>
        <w:tc>
          <w:tcPr>
            <w:tcW w:w="730" w:type="dxa"/>
            <w:tcBorders>
              <w:top w:val="nil"/>
              <w:left w:val="nil"/>
              <w:bottom w:val="nil"/>
              <w:right w:val="nil"/>
            </w:tcBorders>
            <w:shd w:val="clear" w:color="auto" w:fill="auto"/>
            <w:noWrap/>
            <w:vAlign w:val="bottom"/>
            <w:hideMark/>
          </w:tcPr>
          <w:p w14:paraId="1FD1CCF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4EB038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596AF55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77541C9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70D9E05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717F48E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nil"/>
            </w:tcBorders>
            <w:shd w:val="clear" w:color="auto" w:fill="auto"/>
            <w:noWrap/>
            <w:vAlign w:val="bottom"/>
            <w:hideMark/>
          </w:tcPr>
          <w:p w14:paraId="3B1BEEA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5949D1FE"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0AC7408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nil"/>
              <w:right w:val="nil"/>
            </w:tcBorders>
            <w:shd w:val="clear" w:color="auto" w:fill="auto"/>
            <w:noWrap/>
            <w:vAlign w:val="bottom"/>
            <w:hideMark/>
          </w:tcPr>
          <w:p w14:paraId="1903B4F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3/10/2022</w:t>
            </w:r>
          </w:p>
        </w:tc>
        <w:tc>
          <w:tcPr>
            <w:tcW w:w="738" w:type="dxa"/>
            <w:tcBorders>
              <w:top w:val="nil"/>
              <w:left w:val="nil"/>
              <w:bottom w:val="nil"/>
              <w:right w:val="nil"/>
            </w:tcBorders>
            <w:shd w:val="clear" w:color="auto" w:fill="auto"/>
            <w:noWrap/>
            <w:vAlign w:val="bottom"/>
            <w:hideMark/>
          </w:tcPr>
          <w:p w14:paraId="3E414DF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20</w:t>
            </w:r>
          </w:p>
        </w:tc>
        <w:tc>
          <w:tcPr>
            <w:tcW w:w="753" w:type="dxa"/>
            <w:tcBorders>
              <w:top w:val="nil"/>
              <w:left w:val="nil"/>
              <w:bottom w:val="nil"/>
              <w:right w:val="nil"/>
            </w:tcBorders>
            <w:shd w:val="clear" w:color="auto" w:fill="auto"/>
            <w:noWrap/>
            <w:vAlign w:val="bottom"/>
            <w:hideMark/>
          </w:tcPr>
          <w:p w14:paraId="6A5954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87</w:t>
            </w:r>
          </w:p>
        </w:tc>
        <w:tc>
          <w:tcPr>
            <w:tcW w:w="860" w:type="dxa"/>
            <w:tcBorders>
              <w:top w:val="nil"/>
              <w:left w:val="nil"/>
              <w:bottom w:val="nil"/>
              <w:right w:val="nil"/>
            </w:tcBorders>
            <w:shd w:val="clear" w:color="auto" w:fill="auto"/>
            <w:noWrap/>
            <w:vAlign w:val="bottom"/>
            <w:hideMark/>
          </w:tcPr>
          <w:p w14:paraId="7FFE17F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51EA104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205</w:t>
            </w:r>
          </w:p>
        </w:tc>
        <w:tc>
          <w:tcPr>
            <w:tcW w:w="847" w:type="dxa"/>
            <w:tcBorders>
              <w:top w:val="nil"/>
              <w:left w:val="nil"/>
              <w:bottom w:val="nil"/>
              <w:right w:val="nil"/>
            </w:tcBorders>
            <w:shd w:val="clear" w:color="auto" w:fill="auto"/>
            <w:noWrap/>
            <w:vAlign w:val="bottom"/>
            <w:hideMark/>
          </w:tcPr>
          <w:p w14:paraId="1B7E905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86</w:t>
            </w:r>
          </w:p>
        </w:tc>
        <w:tc>
          <w:tcPr>
            <w:tcW w:w="730" w:type="dxa"/>
            <w:tcBorders>
              <w:top w:val="nil"/>
              <w:left w:val="nil"/>
              <w:bottom w:val="nil"/>
              <w:right w:val="nil"/>
            </w:tcBorders>
            <w:shd w:val="clear" w:color="auto" w:fill="auto"/>
            <w:noWrap/>
            <w:vAlign w:val="bottom"/>
            <w:hideMark/>
          </w:tcPr>
          <w:p w14:paraId="6175183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642E43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5DD6EF9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19B1C7E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544D9E5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40BF36E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17</w:t>
            </w:r>
          </w:p>
        </w:tc>
        <w:tc>
          <w:tcPr>
            <w:tcW w:w="270" w:type="dxa"/>
            <w:gridSpan w:val="2"/>
            <w:tcBorders>
              <w:top w:val="nil"/>
              <w:left w:val="nil"/>
              <w:bottom w:val="nil"/>
              <w:right w:val="nil"/>
            </w:tcBorders>
            <w:shd w:val="clear" w:color="auto" w:fill="auto"/>
            <w:noWrap/>
            <w:vAlign w:val="bottom"/>
            <w:hideMark/>
          </w:tcPr>
          <w:p w14:paraId="02AA45F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24DAE44B"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0009D3E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nil"/>
              <w:right w:val="nil"/>
            </w:tcBorders>
            <w:shd w:val="clear" w:color="auto" w:fill="auto"/>
            <w:noWrap/>
            <w:vAlign w:val="bottom"/>
            <w:hideMark/>
          </w:tcPr>
          <w:p w14:paraId="1412C1C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3/10/2022</w:t>
            </w:r>
          </w:p>
        </w:tc>
        <w:tc>
          <w:tcPr>
            <w:tcW w:w="738" w:type="dxa"/>
            <w:tcBorders>
              <w:top w:val="nil"/>
              <w:left w:val="nil"/>
              <w:bottom w:val="nil"/>
              <w:right w:val="nil"/>
            </w:tcBorders>
            <w:shd w:val="clear" w:color="auto" w:fill="auto"/>
            <w:noWrap/>
            <w:vAlign w:val="bottom"/>
            <w:hideMark/>
          </w:tcPr>
          <w:p w14:paraId="2EA08AA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753" w:type="dxa"/>
            <w:tcBorders>
              <w:top w:val="nil"/>
              <w:left w:val="nil"/>
              <w:bottom w:val="nil"/>
              <w:right w:val="nil"/>
            </w:tcBorders>
            <w:shd w:val="clear" w:color="auto" w:fill="auto"/>
            <w:noWrap/>
            <w:vAlign w:val="bottom"/>
            <w:hideMark/>
          </w:tcPr>
          <w:p w14:paraId="5FF3A88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88</w:t>
            </w:r>
          </w:p>
        </w:tc>
        <w:tc>
          <w:tcPr>
            <w:tcW w:w="860" w:type="dxa"/>
            <w:tcBorders>
              <w:top w:val="nil"/>
              <w:left w:val="nil"/>
              <w:bottom w:val="nil"/>
              <w:right w:val="nil"/>
            </w:tcBorders>
            <w:shd w:val="clear" w:color="auto" w:fill="auto"/>
            <w:noWrap/>
            <w:vAlign w:val="bottom"/>
            <w:hideMark/>
          </w:tcPr>
          <w:p w14:paraId="21957A2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7E7C9AC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18</w:t>
            </w:r>
          </w:p>
        </w:tc>
        <w:tc>
          <w:tcPr>
            <w:tcW w:w="847" w:type="dxa"/>
            <w:tcBorders>
              <w:top w:val="nil"/>
              <w:left w:val="nil"/>
              <w:bottom w:val="nil"/>
              <w:right w:val="nil"/>
            </w:tcBorders>
            <w:shd w:val="clear" w:color="auto" w:fill="auto"/>
            <w:noWrap/>
            <w:vAlign w:val="bottom"/>
            <w:hideMark/>
          </w:tcPr>
          <w:p w14:paraId="0D4A0E3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98</w:t>
            </w:r>
          </w:p>
        </w:tc>
        <w:tc>
          <w:tcPr>
            <w:tcW w:w="730" w:type="dxa"/>
            <w:tcBorders>
              <w:top w:val="nil"/>
              <w:left w:val="nil"/>
              <w:bottom w:val="nil"/>
              <w:right w:val="nil"/>
            </w:tcBorders>
            <w:shd w:val="clear" w:color="auto" w:fill="auto"/>
            <w:noWrap/>
            <w:vAlign w:val="bottom"/>
            <w:hideMark/>
          </w:tcPr>
          <w:p w14:paraId="6D0F689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032CF75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6F19E0A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4ECD5AC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371FDCC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5C66AF3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270" w:type="dxa"/>
            <w:gridSpan w:val="2"/>
            <w:tcBorders>
              <w:top w:val="nil"/>
              <w:left w:val="nil"/>
              <w:bottom w:val="nil"/>
              <w:right w:val="nil"/>
            </w:tcBorders>
            <w:shd w:val="clear" w:color="auto" w:fill="auto"/>
            <w:noWrap/>
            <w:vAlign w:val="bottom"/>
            <w:hideMark/>
          </w:tcPr>
          <w:p w14:paraId="6A5DA04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06752071"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7C74C79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nil"/>
              <w:right w:val="nil"/>
            </w:tcBorders>
            <w:shd w:val="clear" w:color="auto" w:fill="auto"/>
            <w:noWrap/>
            <w:vAlign w:val="bottom"/>
            <w:hideMark/>
          </w:tcPr>
          <w:p w14:paraId="2718F9F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9/13/2022</w:t>
            </w:r>
          </w:p>
        </w:tc>
        <w:tc>
          <w:tcPr>
            <w:tcW w:w="738" w:type="dxa"/>
            <w:tcBorders>
              <w:top w:val="nil"/>
              <w:left w:val="nil"/>
              <w:bottom w:val="nil"/>
              <w:right w:val="nil"/>
            </w:tcBorders>
            <w:shd w:val="clear" w:color="auto" w:fill="auto"/>
            <w:noWrap/>
            <w:vAlign w:val="bottom"/>
            <w:hideMark/>
          </w:tcPr>
          <w:p w14:paraId="043A4EF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13</w:t>
            </w:r>
          </w:p>
        </w:tc>
        <w:tc>
          <w:tcPr>
            <w:tcW w:w="753" w:type="dxa"/>
            <w:tcBorders>
              <w:top w:val="nil"/>
              <w:left w:val="nil"/>
              <w:bottom w:val="nil"/>
              <w:right w:val="nil"/>
            </w:tcBorders>
            <w:shd w:val="clear" w:color="auto" w:fill="auto"/>
            <w:noWrap/>
            <w:vAlign w:val="bottom"/>
            <w:hideMark/>
          </w:tcPr>
          <w:p w14:paraId="4BF482E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71</w:t>
            </w:r>
          </w:p>
        </w:tc>
        <w:tc>
          <w:tcPr>
            <w:tcW w:w="860" w:type="dxa"/>
            <w:tcBorders>
              <w:top w:val="nil"/>
              <w:left w:val="nil"/>
              <w:bottom w:val="nil"/>
              <w:right w:val="nil"/>
            </w:tcBorders>
            <w:shd w:val="clear" w:color="auto" w:fill="auto"/>
            <w:noWrap/>
            <w:vAlign w:val="bottom"/>
            <w:hideMark/>
          </w:tcPr>
          <w:p w14:paraId="7E4F50C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43D9DEB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w:t>
            </w:r>
          </w:p>
        </w:tc>
        <w:tc>
          <w:tcPr>
            <w:tcW w:w="847" w:type="dxa"/>
            <w:tcBorders>
              <w:top w:val="nil"/>
              <w:left w:val="nil"/>
              <w:bottom w:val="nil"/>
              <w:right w:val="nil"/>
            </w:tcBorders>
            <w:shd w:val="clear" w:color="auto" w:fill="auto"/>
            <w:noWrap/>
            <w:vAlign w:val="bottom"/>
            <w:hideMark/>
          </w:tcPr>
          <w:p w14:paraId="1842142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101</w:t>
            </w:r>
          </w:p>
        </w:tc>
        <w:tc>
          <w:tcPr>
            <w:tcW w:w="730" w:type="dxa"/>
            <w:tcBorders>
              <w:top w:val="nil"/>
              <w:left w:val="nil"/>
              <w:bottom w:val="nil"/>
              <w:right w:val="nil"/>
            </w:tcBorders>
            <w:shd w:val="clear" w:color="auto" w:fill="auto"/>
            <w:noWrap/>
            <w:vAlign w:val="bottom"/>
            <w:hideMark/>
          </w:tcPr>
          <w:p w14:paraId="3A0D12A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2291B11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4A43951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1DBACBF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222EFF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7FFF0E6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nil"/>
            </w:tcBorders>
            <w:shd w:val="clear" w:color="auto" w:fill="auto"/>
            <w:noWrap/>
            <w:vAlign w:val="bottom"/>
            <w:hideMark/>
          </w:tcPr>
          <w:p w14:paraId="76D9393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24202243" w14:textId="77777777" w:rsidTr="00CE1D2F">
        <w:trPr>
          <w:trHeight w:val="273"/>
        </w:trPr>
        <w:tc>
          <w:tcPr>
            <w:tcW w:w="535" w:type="dxa"/>
            <w:tcBorders>
              <w:top w:val="nil"/>
              <w:left w:val="single" w:sz="8" w:space="0" w:color="auto"/>
              <w:bottom w:val="single" w:sz="8" w:space="0" w:color="auto"/>
              <w:right w:val="nil"/>
            </w:tcBorders>
            <w:shd w:val="clear" w:color="auto" w:fill="auto"/>
            <w:noWrap/>
            <w:vAlign w:val="bottom"/>
            <w:hideMark/>
          </w:tcPr>
          <w:p w14:paraId="566A55B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8" w:space="0" w:color="auto"/>
              <w:right w:val="nil"/>
            </w:tcBorders>
            <w:shd w:val="clear" w:color="auto" w:fill="auto"/>
            <w:noWrap/>
            <w:vAlign w:val="bottom"/>
            <w:hideMark/>
          </w:tcPr>
          <w:p w14:paraId="4866E59B" w14:textId="77777777" w:rsidR="0062742B" w:rsidRPr="00CE1D2F" w:rsidRDefault="0062742B" w:rsidP="0062742B">
            <w:pPr>
              <w:spacing w:after="0" w:line="240" w:lineRule="auto"/>
              <w:jc w:val="right"/>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9/13/2022</w:t>
            </w:r>
          </w:p>
        </w:tc>
        <w:tc>
          <w:tcPr>
            <w:tcW w:w="738" w:type="dxa"/>
            <w:tcBorders>
              <w:top w:val="nil"/>
              <w:left w:val="nil"/>
              <w:bottom w:val="single" w:sz="8" w:space="0" w:color="auto"/>
              <w:right w:val="nil"/>
            </w:tcBorders>
            <w:shd w:val="clear" w:color="auto" w:fill="auto"/>
            <w:noWrap/>
            <w:vAlign w:val="bottom"/>
            <w:hideMark/>
          </w:tcPr>
          <w:p w14:paraId="2E8357E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w:t>
            </w:r>
          </w:p>
        </w:tc>
        <w:tc>
          <w:tcPr>
            <w:tcW w:w="753" w:type="dxa"/>
            <w:tcBorders>
              <w:top w:val="nil"/>
              <w:left w:val="nil"/>
              <w:bottom w:val="single" w:sz="8" w:space="0" w:color="auto"/>
              <w:right w:val="nil"/>
            </w:tcBorders>
            <w:shd w:val="clear" w:color="auto" w:fill="auto"/>
            <w:noWrap/>
            <w:vAlign w:val="bottom"/>
            <w:hideMark/>
          </w:tcPr>
          <w:p w14:paraId="7FCF342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88</w:t>
            </w:r>
          </w:p>
        </w:tc>
        <w:tc>
          <w:tcPr>
            <w:tcW w:w="860" w:type="dxa"/>
            <w:tcBorders>
              <w:top w:val="nil"/>
              <w:left w:val="nil"/>
              <w:bottom w:val="single" w:sz="8" w:space="0" w:color="auto"/>
              <w:right w:val="nil"/>
            </w:tcBorders>
            <w:shd w:val="clear" w:color="auto" w:fill="auto"/>
            <w:noWrap/>
            <w:vAlign w:val="bottom"/>
            <w:hideMark/>
          </w:tcPr>
          <w:p w14:paraId="4B104E6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8" w:space="0" w:color="auto"/>
              <w:right w:val="nil"/>
            </w:tcBorders>
            <w:shd w:val="clear" w:color="auto" w:fill="auto"/>
            <w:noWrap/>
            <w:vAlign w:val="bottom"/>
            <w:hideMark/>
          </w:tcPr>
          <w:p w14:paraId="4B9B981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85</w:t>
            </w:r>
          </w:p>
        </w:tc>
        <w:tc>
          <w:tcPr>
            <w:tcW w:w="847" w:type="dxa"/>
            <w:tcBorders>
              <w:top w:val="nil"/>
              <w:left w:val="nil"/>
              <w:bottom w:val="single" w:sz="8" w:space="0" w:color="auto"/>
              <w:right w:val="nil"/>
            </w:tcBorders>
            <w:shd w:val="clear" w:color="auto" w:fill="auto"/>
            <w:noWrap/>
            <w:vAlign w:val="bottom"/>
            <w:hideMark/>
          </w:tcPr>
          <w:p w14:paraId="2B273ED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80</w:t>
            </w:r>
          </w:p>
        </w:tc>
        <w:tc>
          <w:tcPr>
            <w:tcW w:w="730" w:type="dxa"/>
            <w:tcBorders>
              <w:top w:val="nil"/>
              <w:left w:val="nil"/>
              <w:bottom w:val="single" w:sz="8" w:space="0" w:color="auto"/>
              <w:right w:val="nil"/>
            </w:tcBorders>
            <w:shd w:val="clear" w:color="auto" w:fill="auto"/>
            <w:noWrap/>
            <w:vAlign w:val="bottom"/>
            <w:hideMark/>
          </w:tcPr>
          <w:p w14:paraId="1BA2A1B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8" w:space="0" w:color="auto"/>
              <w:right w:val="nil"/>
            </w:tcBorders>
            <w:shd w:val="clear" w:color="auto" w:fill="auto"/>
            <w:noWrap/>
            <w:vAlign w:val="bottom"/>
            <w:hideMark/>
          </w:tcPr>
          <w:p w14:paraId="49219FC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8" w:space="0" w:color="auto"/>
              <w:right w:val="nil"/>
            </w:tcBorders>
            <w:shd w:val="clear" w:color="auto" w:fill="auto"/>
            <w:noWrap/>
            <w:vAlign w:val="bottom"/>
            <w:hideMark/>
          </w:tcPr>
          <w:p w14:paraId="29FB49A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8" w:space="0" w:color="auto"/>
              <w:right w:val="nil"/>
            </w:tcBorders>
            <w:shd w:val="clear" w:color="auto" w:fill="auto"/>
            <w:noWrap/>
            <w:vAlign w:val="bottom"/>
            <w:hideMark/>
          </w:tcPr>
          <w:p w14:paraId="2845FDB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8" w:space="0" w:color="auto"/>
              <w:right w:val="nil"/>
            </w:tcBorders>
            <w:shd w:val="clear" w:color="auto" w:fill="auto"/>
            <w:noWrap/>
            <w:vAlign w:val="bottom"/>
            <w:hideMark/>
          </w:tcPr>
          <w:p w14:paraId="2022173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8" w:space="0" w:color="auto"/>
              <w:right w:val="single" w:sz="8" w:space="0" w:color="auto"/>
            </w:tcBorders>
            <w:shd w:val="clear" w:color="auto" w:fill="auto"/>
            <w:noWrap/>
            <w:vAlign w:val="bottom"/>
            <w:hideMark/>
          </w:tcPr>
          <w:p w14:paraId="56E251E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18</w:t>
            </w:r>
          </w:p>
        </w:tc>
        <w:tc>
          <w:tcPr>
            <w:tcW w:w="270" w:type="dxa"/>
            <w:gridSpan w:val="2"/>
            <w:tcBorders>
              <w:top w:val="nil"/>
              <w:left w:val="nil"/>
              <w:bottom w:val="nil"/>
              <w:right w:val="nil"/>
            </w:tcBorders>
            <w:shd w:val="clear" w:color="auto" w:fill="auto"/>
            <w:noWrap/>
            <w:vAlign w:val="bottom"/>
            <w:hideMark/>
          </w:tcPr>
          <w:p w14:paraId="436C12F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bl>
    <w:p w14:paraId="29AF6F41" w14:textId="77777777" w:rsidR="0062742B" w:rsidRDefault="0062742B">
      <w:pPr>
        <w:rPr>
          <w:b/>
          <w:bCs/>
        </w:rPr>
      </w:pPr>
    </w:p>
    <w:p w14:paraId="3B0FEF00" w14:textId="77777777" w:rsidR="00A72264" w:rsidRDefault="00A72264">
      <w:pPr>
        <w:rPr>
          <w:b/>
          <w:bCs/>
        </w:rPr>
      </w:pPr>
    </w:p>
    <w:p w14:paraId="319372D4" w14:textId="687313BB" w:rsidR="00A72264" w:rsidRDefault="00A72264">
      <w:pPr>
        <w:rPr>
          <w:b/>
          <w:bCs/>
        </w:rPr>
      </w:pPr>
      <w:r>
        <w:rPr>
          <w:b/>
          <w:bCs/>
        </w:rPr>
        <w:t xml:space="preserve">Appendix C. </w:t>
      </w:r>
    </w:p>
    <w:tbl>
      <w:tblPr>
        <w:tblStyle w:val="TableGrid"/>
        <w:tblW w:w="0" w:type="auto"/>
        <w:tblInd w:w="360" w:type="dxa"/>
        <w:tblLook w:val="04A0" w:firstRow="1" w:lastRow="0" w:firstColumn="1" w:lastColumn="0" w:noHBand="0" w:noVBand="1"/>
      </w:tblPr>
      <w:tblGrid>
        <w:gridCol w:w="2265"/>
        <w:gridCol w:w="2233"/>
        <w:gridCol w:w="2246"/>
        <w:gridCol w:w="2246"/>
      </w:tblGrid>
      <w:tr w:rsidR="002965B1" w14:paraId="022BD769" w14:textId="77777777" w:rsidTr="00EC01E9">
        <w:tc>
          <w:tcPr>
            <w:tcW w:w="2337" w:type="dxa"/>
          </w:tcPr>
          <w:p w14:paraId="057AF199" w14:textId="77777777" w:rsidR="002965B1" w:rsidRDefault="002965B1" w:rsidP="00EC01E9">
            <w:pPr>
              <w:pStyle w:val="ListParagraph"/>
              <w:spacing w:line="252" w:lineRule="auto"/>
              <w:ind w:left="0"/>
              <w:rPr>
                <w:rFonts w:eastAsia="Times New Roman"/>
              </w:rPr>
            </w:pPr>
            <w:r>
              <w:rPr>
                <w:rFonts w:eastAsia="Times New Roman"/>
              </w:rPr>
              <w:t>Date Performed</w:t>
            </w:r>
          </w:p>
        </w:tc>
        <w:tc>
          <w:tcPr>
            <w:tcW w:w="2337" w:type="dxa"/>
          </w:tcPr>
          <w:p w14:paraId="58931B66" w14:textId="77777777" w:rsidR="002965B1" w:rsidRDefault="002965B1" w:rsidP="00EC01E9">
            <w:pPr>
              <w:pStyle w:val="ListParagraph"/>
              <w:spacing w:line="252" w:lineRule="auto"/>
              <w:ind w:left="0"/>
              <w:rPr>
                <w:rFonts w:eastAsia="Times New Roman"/>
              </w:rPr>
            </w:pPr>
            <w:r>
              <w:rPr>
                <w:rFonts w:eastAsia="Times New Roman"/>
              </w:rPr>
              <w:t>CD34 Purity</w:t>
            </w:r>
          </w:p>
        </w:tc>
        <w:tc>
          <w:tcPr>
            <w:tcW w:w="2338" w:type="dxa"/>
          </w:tcPr>
          <w:p w14:paraId="1E8F0753" w14:textId="77777777" w:rsidR="002965B1" w:rsidRDefault="002965B1" w:rsidP="00EC01E9">
            <w:pPr>
              <w:pStyle w:val="ListParagraph"/>
              <w:spacing w:line="252" w:lineRule="auto"/>
              <w:ind w:left="0"/>
              <w:rPr>
                <w:rFonts w:eastAsia="Times New Roman"/>
              </w:rPr>
            </w:pPr>
            <w:r>
              <w:rPr>
                <w:rFonts w:eastAsia="Times New Roman"/>
              </w:rPr>
              <w:t>Cell Viability</w:t>
            </w:r>
          </w:p>
        </w:tc>
        <w:tc>
          <w:tcPr>
            <w:tcW w:w="2338" w:type="dxa"/>
          </w:tcPr>
          <w:p w14:paraId="7018CAE0" w14:textId="77777777" w:rsidR="002965B1" w:rsidRDefault="002965B1" w:rsidP="00EC01E9">
            <w:pPr>
              <w:pStyle w:val="ListParagraph"/>
              <w:spacing w:line="252" w:lineRule="auto"/>
              <w:ind w:left="0"/>
              <w:rPr>
                <w:rFonts w:eastAsia="Times New Roman"/>
              </w:rPr>
            </w:pPr>
            <w:r>
              <w:rPr>
                <w:rFonts w:eastAsia="Times New Roman"/>
              </w:rPr>
              <w:t>Post Thaw Viability</w:t>
            </w:r>
          </w:p>
        </w:tc>
      </w:tr>
      <w:tr w:rsidR="002965B1" w14:paraId="3864B401" w14:textId="77777777" w:rsidTr="00EC01E9">
        <w:tc>
          <w:tcPr>
            <w:tcW w:w="2337" w:type="dxa"/>
          </w:tcPr>
          <w:p w14:paraId="66F37723" w14:textId="77777777" w:rsidR="002965B1" w:rsidRDefault="002965B1" w:rsidP="00EC01E9">
            <w:pPr>
              <w:pStyle w:val="ListParagraph"/>
              <w:spacing w:line="252" w:lineRule="auto"/>
              <w:ind w:left="0"/>
              <w:rPr>
                <w:rFonts w:eastAsia="Times New Roman"/>
              </w:rPr>
            </w:pPr>
            <w:r>
              <w:rPr>
                <w:rFonts w:eastAsia="Times New Roman"/>
              </w:rPr>
              <w:t>2023-SEP-23</w:t>
            </w:r>
          </w:p>
        </w:tc>
        <w:tc>
          <w:tcPr>
            <w:tcW w:w="2337" w:type="dxa"/>
          </w:tcPr>
          <w:p w14:paraId="252E6910" w14:textId="77777777" w:rsidR="002965B1" w:rsidRDefault="002965B1" w:rsidP="00EC01E9">
            <w:pPr>
              <w:pStyle w:val="ListParagraph"/>
              <w:spacing w:line="252" w:lineRule="auto"/>
              <w:ind w:left="0"/>
              <w:rPr>
                <w:rFonts w:eastAsia="Times New Roman"/>
              </w:rPr>
            </w:pPr>
            <w:r>
              <w:rPr>
                <w:rFonts w:eastAsia="Times New Roman"/>
              </w:rPr>
              <w:t>92.1%</w:t>
            </w:r>
          </w:p>
        </w:tc>
        <w:tc>
          <w:tcPr>
            <w:tcW w:w="2338" w:type="dxa"/>
          </w:tcPr>
          <w:p w14:paraId="00815226"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7C392C48" w14:textId="77777777" w:rsidR="002965B1" w:rsidRDefault="002965B1" w:rsidP="00EC01E9">
            <w:pPr>
              <w:pStyle w:val="ListParagraph"/>
              <w:spacing w:line="252" w:lineRule="auto"/>
              <w:ind w:left="0"/>
              <w:rPr>
                <w:rFonts w:eastAsia="Times New Roman"/>
              </w:rPr>
            </w:pPr>
            <w:r>
              <w:rPr>
                <w:rFonts w:eastAsia="Times New Roman"/>
              </w:rPr>
              <w:t>N/A</w:t>
            </w:r>
          </w:p>
        </w:tc>
      </w:tr>
      <w:tr w:rsidR="002965B1" w14:paraId="75BEAEEC" w14:textId="77777777" w:rsidTr="00EC01E9">
        <w:tc>
          <w:tcPr>
            <w:tcW w:w="2337" w:type="dxa"/>
          </w:tcPr>
          <w:p w14:paraId="0A5A5452" w14:textId="77777777" w:rsidR="002965B1" w:rsidRDefault="002965B1" w:rsidP="00EC01E9">
            <w:pPr>
              <w:pStyle w:val="ListParagraph"/>
              <w:spacing w:line="252" w:lineRule="auto"/>
              <w:ind w:left="0"/>
              <w:rPr>
                <w:rFonts w:eastAsia="Times New Roman"/>
              </w:rPr>
            </w:pPr>
            <w:r>
              <w:rPr>
                <w:rFonts w:eastAsia="Times New Roman"/>
              </w:rPr>
              <w:t>2023-OCT-23</w:t>
            </w:r>
          </w:p>
        </w:tc>
        <w:tc>
          <w:tcPr>
            <w:tcW w:w="2337" w:type="dxa"/>
          </w:tcPr>
          <w:p w14:paraId="46618BFB" w14:textId="77777777" w:rsidR="002965B1" w:rsidRDefault="002965B1" w:rsidP="00EC01E9">
            <w:pPr>
              <w:pStyle w:val="ListParagraph"/>
              <w:spacing w:line="252" w:lineRule="auto"/>
              <w:ind w:left="0"/>
              <w:rPr>
                <w:rFonts w:eastAsia="Times New Roman"/>
              </w:rPr>
            </w:pPr>
            <w:r>
              <w:rPr>
                <w:rFonts w:eastAsia="Times New Roman"/>
              </w:rPr>
              <w:t>93.8%</w:t>
            </w:r>
          </w:p>
        </w:tc>
        <w:tc>
          <w:tcPr>
            <w:tcW w:w="2338" w:type="dxa"/>
          </w:tcPr>
          <w:p w14:paraId="2743ECE2"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73E365A0" w14:textId="77777777" w:rsidR="002965B1" w:rsidRDefault="002965B1" w:rsidP="00EC01E9">
            <w:pPr>
              <w:pStyle w:val="ListParagraph"/>
              <w:spacing w:line="252" w:lineRule="auto"/>
              <w:ind w:left="0"/>
              <w:rPr>
                <w:rFonts w:eastAsia="Times New Roman"/>
              </w:rPr>
            </w:pPr>
            <w:r>
              <w:rPr>
                <w:rFonts w:eastAsia="Times New Roman"/>
              </w:rPr>
              <w:t>N/A</w:t>
            </w:r>
          </w:p>
        </w:tc>
      </w:tr>
      <w:tr w:rsidR="002965B1" w14:paraId="48E3F4DA" w14:textId="77777777" w:rsidTr="00EC01E9">
        <w:tc>
          <w:tcPr>
            <w:tcW w:w="2337" w:type="dxa"/>
          </w:tcPr>
          <w:p w14:paraId="2F49810E" w14:textId="77777777" w:rsidR="002965B1" w:rsidRDefault="002965B1" w:rsidP="00EC01E9">
            <w:pPr>
              <w:pStyle w:val="ListParagraph"/>
              <w:spacing w:line="252" w:lineRule="auto"/>
              <w:ind w:left="0"/>
              <w:rPr>
                <w:rFonts w:eastAsia="Times New Roman"/>
              </w:rPr>
            </w:pPr>
            <w:r>
              <w:rPr>
                <w:rFonts w:eastAsia="Times New Roman"/>
              </w:rPr>
              <w:t>2023-DEC-07</w:t>
            </w:r>
          </w:p>
        </w:tc>
        <w:tc>
          <w:tcPr>
            <w:tcW w:w="2337" w:type="dxa"/>
          </w:tcPr>
          <w:p w14:paraId="31E8D087" w14:textId="77777777" w:rsidR="002965B1" w:rsidRDefault="002965B1" w:rsidP="00EC01E9">
            <w:pPr>
              <w:pStyle w:val="ListParagraph"/>
              <w:spacing w:line="252" w:lineRule="auto"/>
              <w:ind w:left="0"/>
              <w:rPr>
                <w:rFonts w:eastAsia="Times New Roman"/>
              </w:rPr>
            </w:pPr>
            <w:r>
              <w:rPr>
                <w:rFonts w:eastAsia="Times New Roman"/>
              </w:rPr>
              <w:t>97.4%</w:t>
            </w:r>
          </w:p>
        </w:tc>
        <w:tc>
          <w:tcPr>
            <w:tcW w:w="2338" w:type="dxa"/>
          </w:tcPr>
          <w:p w14:paraId="4B9487BC"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1C281615" w14:textId="77777777" w:rsidR="002965B1" w:rsidRDefault="002965B1" w:rsidP="00EC01E9">
            <w:pPr>
              <w:pStyle w:val="ListParagraph"/>
              <w:spacing w:line="252" w:lineRule="auto"/>
              <w:ind w:left="0"/>
              <w:rPr>
                <w:rFonts w:eastAsia="Times New Roman"/>
              </w:rPr>
            </w:pPr>
            <w:r>
              <w:rPr>
                <w:rFonts w:eastAsia="Times New Roman"/>
              </w:rPr>
              <w:t>72%</w:t>
            </w:r>
          </w:p>
        </w:tc>
      </w:tr>
      <w:tr w:rsidR="002965B1" w14:paraId="5CBE82CA" w14:textId="77777777" w:rsidTr="00EC01E9">
        <w:tc>
          <w:tcPr>
            <w:tcW w:w="2337" w:type="dxa"/>
          </w:tcPr>
          <w:p w14:paraId="6C352523" w14:textId="77777777" w:rsidR="002965B1" w:rsidRDefault="002965B1" w:rsidP="00EC01E9">
            <w:pPr>
              <w:pStyle w:val="ListParagraph"/>
              <w:spacing w:line="252" w:lineRule="auto"/>
              <w:ind w:left="0"/>
              <w:rPr>
                <w:rFonts w:eastAsia="Times New Roman"/>
              </w:rPr>
            </w:pPr>
            <w:r>
              <w:rPr>
                <w:rFonts w:eastAsia="Times New Roman"/>
              </w:rPr>
              <w:t>2024-JAN-03</w:t>
            </w:r>
          </w:p>
        </w:tc>
        <w:tc>
          <w:tcPr>
            <w:tcW w:w="2337" w:type="dxa"/>
          </w:tcPr>
          <w:p w14:paraId="4DDE96AA" w14:textId="77777777" w:rsidR="002965B1" w:rsidRDefault="002965B1" w:rsidP="00EC01E9">
            <w:pPr>
              <w:pStyle w:val="ListParagraph"/>
              <w:spacing w:line="252" w:lineRule="auto"/>
              <w:ind w:left="0"/>
              <w:rPr>
                <w:rFonts w:eastAsia="Times New Roman"/>
              </w:rPr>
            </w:pPr>
            <w:r>
              <w:rPr>
                <w:rFonts w:eastAsia="Times New Roman"/>
              </w:rPr>
              <w:t>99.2%</w:t>
            </w:r>
          </w:p>
        </w:tc>
        <w:tc>
          <w:tcPr>
            <w:tcW w:w="2338" w:type="dxa"/>
          </w:tcPr>
          <w:p w14:paraId="6F46E7C6"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0E3685FA" w14:textId="77777777" w:rsidR="002965B1" w:rsidRDefault="002965B1" w:rsidP="00EC01E9">
            <w:pPr>
              <w:pStyle w:val="ListParagraph"/>
              <w:spacing w:line="252" w:lineRule="auto"/>
              <w:ind w:left="0"/>
              <w:rPr>
                <w:rFonts w:eastAsia="Times New Roman"/>
              </w:rPr>
            </w:pPr>
            <w:r>
              <w:rPr>
                <w:rFonts w:eastAsia="Times New Roman"/>
              </w:rPr>
              <w:t>N/A</w:t>
            </w:r>
          </w:p>
        </w:tc>
      </w:tr>
      <w:tr w:rsidR="002965B1" w14:paraId="7DDA0D14" w14:textId="77777777" w:rsidTr="00EC01E9">
        <w:tc>
          <w:tcPr>
            <w:tcW w:w="2337" w:type="dxa"/>
          </w:tcPr>
          <w:p w14:paraId="13AC575A" w14:textId="77777777" w:rsidR="002965B1" w:rsidRDefault="002965B1" w:rsidP="00EC01E9">
            <w:pPr>
              <w:pStyle w:val="ListParagraph"/>
              <w:spacing w:line="252" w:lineRule="auto"/>
              <w:ind w:left="0"/>
              <w:rPr>
                <w:rFonts w:eastAsia="Times New Roman"/>
              </w:rPr>
            </w:pPr>
            <w:r>
              <w:rPr>
                <w:rFonts w:eastAsia="Times New Roman"/>
              </w:rPr>
              <w:t>2024-JUL-25</w:t>
            </w:r>
          </w:p>
        </w:tc>
        <w:tc>
          <w:tcPr>
            <w:tcW w:w="2337" w:type="dxa"/>
          </w:tcPr>
          <w:p w14:paraId="559FD49C" w14:textId="77777777" w:rsidR="002965B1" w:rsidRDefault="002965B1" w:rsidP="00EC01E9">
            <w:pPr>
              <w:pStyle w:val="ListParagraph"/>
              <w:spacing w:line="252" w:lineRule="auto"/>
              <w:ind w:left="0"/>
              <w:rPr>
                <w:rFonts w:eastAsia="Times New Roman"/>
              </w:rPr>
            </w:pPr>
            <w:r>
              <w:rPr>
                <w:rFonts w:eastAsia="Times New Roman"/>
              </w:rPr>
              <w:t>99.5%</w:t>
            </w:r>
          </w:p>
        </w:tc>
        <w:tc>
          <w:tcPr>
            <w:tcW w:w="2338" w:type="dxa"/>
          </w:tcPr>
          <w:p w14:paraId="6FAC585C"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41C6ACA5" w14:textId="77777777" w:rsidR="002965B1" w:rsidRDefault="002965B1" w:rsidP="00EC01E9">
            <w:pPr>
              <w:pStyle w:val="ListParagraph"/>
              <w:spacing w:line="252" w:lineRule="auto"/>
              <w:ind w:left="0"/>
              <w:rPr>
                <w:rFonts w:eastAsia="Times New Roman"/>
              </w:rPr>
            </w:pPr>
            <w:r>
              <w:rPr>
                <w:rFonts w:eastAsia="Times New Roman"/>
              </w:rPr>
              <w:t>N/A</w:t>
            </w:r>
          </w:p>
        </w:tc>
      </w:tr>
    </w:tbl>
    <w:p w14:paraId="43F1ED7D" w14:textId="77777777" w:rsidR="00A72264" w:rsidRPr="00CE1D2F" w:rsidRDefault="00A72264" w:rsidP="00CE1D2F">
      <w:pPr>
        <w:rPr>
          <w:b/>
          <w:bCs/>
        </w:rPr>
      </w:pPr>
    </w:p>
    <w:sectPr w:rsidR="00A72264" w:rsidRPr="00CE1D2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C5E6" w14:textId="77777777" w:rsidR="00C06338" w:rsidRDefault="00C06338" w:rsidP="007D0D56">
      <w:pPr>
        <w:spacing w:after="0" w:line="240" w:lineRule="auto"/>
      </w:pPr>
      <w:r>
        <w:separator/>
      </w:r>
    </w:p>
  </w:endnote>
  <w:endnote w:type="continuationSeparator" w:id="0">
    <w:p w14:paraId="19DA4015" w14:textId="77777777" w:rsidR="00C06338" w:rsidRDefault="00C06338" w:rsidP="007D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1926" w14:textId="07B2EF6B" w:rsidR="007D0D56" w:rsidRDefault="007D0D56">
    <w:pPr>
      <w:pStyle w:val="Footer"/>
    </w:pPr>
    <w:r>
      <w:t>Version 11/18/24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14360" w14:textId="77777777" w:rsidR="00C06338" w:rsidRDefault="00C06338" w:rsidP="007D0D56">
      <w:pPr>
        <w:spacing w:after="0" w:line="240" w:lineRule="auto"/>
      </w:pPr>
      <w:r>
        <w:separator/>
      </w:r>
    </w:p>
  </w:footnote>
  <w:footnote w:type="continuationSeparator" w:id="0">
    <w:p w14:paraId="433A6E26" w14:textId="77777777" w:rsidR="00C06338" w:rsidRDefault="00C06338" w:rsidP="007D0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E69B0"/>
    <w:multiLevelType w:val="multilevel"/>
    <w:tmpl w:val="81AC373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38069FE"/>
    <w:multiLevelType w:val="multilevel"/>
    <w:tmpl w:val="EF8088A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4361BBF"/>
    <w:multiLevelType w:val="multilevel"/>
    <w:tmpl w:val="481E1D8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C687AA8"/>
    <w:multiLevelType w:val="hybridMultilevel"/>
    <w:tmpl w:val="94CCCCF2"/>
    <w:lvl w:ilvl="0" w:tplc="F870A50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516A1F9A"/>
    <w:multiLevelType w:val="hybridMultilevel"/>
    <w:tmpl w:val="FCB2E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3736778">
    <w:abstractNumId w:val="0"/>
  </w:num>
  <w:num w:numId="2" w16cid:durableId="866872162">
    <w:abstractNumId w:val="1"/>
  </w:num>
  <w:num w:numId="3" w16cid:durableId="1363820420">
    <w:abstractNumId w:val="2"/>
  </w:num>
  <w:num w:numId="4" w16cid:durableId="1274829030">
    <w:abstractNumId w:val="3"/>
  </w:num>
  <w:num w:numId="5" w16cid:durableId="1663460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25"/>
    <w:rsid w:val="000200AE"/>
    <w:rsid w:val="001D64F6"/>
    <w:rsid w:val="001F6DBD"/>
    <w:rsid w:val="00267BC7"/>
    <w:rsid w:val="00275188"/>
    <w:rsid w:val="00286085"/>
    <w:rsid w:val="002965B1"/>
    <w:rsid w:val="00297D8E"/>
    <w:rsid w:val="002F19C3"/>
    <w:rsid w:val="0030102E"/>
    <w:rsid w:val="00330F52"/>
    <w:rsid w:val="00377B04"/>
    <w:rsid w:val="003A3FE7"/>
    <w:rsid w:val="003C6B41"/>
    <w:rsid w:val="003E6446"/>
    <w:rsid w:val="0041799F"/>
    <w:rsid w:val="004253DA"/>
    <w:rsid w:val="004B40A3"/>
    <w:rsid w:val="004C4D8E"/>
    <w:rsid w:val="005027B6"/>
    <w:rsid w:val="00513660"/>
    <w:rsid w:val="00517CA0"/>
    <w:rsid w:val="00526FB6"/>
    <w:rsid w:val="00582A96"/>
    <w:rsid w:val="005A5CBC"/>
    <w:rsid w:val="005A75A7"/>
    <w:rsid w:val="005B5ABB"/>
    <w:rsid w:val="005E7418"/>
    <w:rsid w:val="005E790D"/>
    <w:rsid w:val="00603154"/>
    <w:rsid w:val="00613FE0"/>
    <w:rsid w:val="00617425"/>
    <w:rsid w:val="0062742B"/>
    <w:rsid w:val="006357CA"/>
    <w:rsid w:val="0066539E"/>
    <w:rsid w:val="00690B76"/>
    <w:rsid w:val="006C6592"/>
    <w:rsid w:val="00750DB5"/>
    <w:rsid w:val="007D0D56"/>
    <w:rsid w:val="0081459C"/>
    <w:rsid w:val="00836012"/>
    <w:rsid w:val="00845935"/>
    <w:rsid w:val="00846798"/>
    <w:rsid w:val="00863414"/>
    <w:rsid w:val="0087427B"/>
    <w:rsid w:val="008C4DED"/>
    <w:rsid w:val="008F7A11"/>
    <w:rsid w:val="00913A2D"/>
    <w:rsid w:val="00997321"/>
    <w:rsid w:val="009A019D"/>
    <w:rsid w:val="009D6BE1"/>
    <w:rsid w:val="00A72264"/>
    <w:rsid w:val="00B069BB"/>
    <w:rsid w:val="00B23309"/>
    <w:rsid w:val="00B55E0F"/>
    <w:rsid w:val="00B65D5B"/>
    <w:rsid w:val="00B82723"/>
    <w:rsid w:val="00BA55D0"/>
    <w:rsid w:val="00C06338"/>
    <w:rsid w:val="00C51FC9"/>
    <w:rsid w:val="00CB5EA7"/>
    <w:rsid w:val="00CD5E77"/>
    <w:rsid w:val="00CE1D2F"/>
    <w:rsid w:val="00D44EFE"/>
    <w:rsid w:val="00DD0725"/>
    <w:rsid w:val="00DD13C6"/>
    <w:rsid w:val="00DF4018"/>
    <w:rsid w:val="00E019D6"/>
    <w:rsid w:val="00E408A0"/>
    <w:rsid w:val="00E874C8"/>
    <w:rsid w:val="00E91000"/>
    <w:rsid w:val="00EE1905"/>
    <w:rsid w:val="00F03BA6"/>
    <w:rsid w:val="00F27BF6"/>
    <w:rsid w:val="00F3142A"/>
    <w:rsid w:val="00F5758D"/>
    <w:rsid w:val="00FD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379B"/>
  <w15:chartTrackingRefBased/>
  <w15:docId w15:val="{BCB3FD25-DF5A-4D59-8E8D-E6B5EDCD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425"/>
    <w:rPr>
      <w:rFonts w:eastAsiaTheme="majorEastAsia" w:cstheme="majorBidi"/>
      <w:color w:val="272727" w:themeColor="text1" w:themeTint="D8"/>
    </w:rPr>
  </w:style>
  <w:style w:type="paragraph" w:styleId="Title">
    <w:name w:val="Title"/>
    <w:basedOn w:val="Normal"/>
    <w:next w:val="Normal"/>
    <w:link w:val="TitleChar"/>
    <w:uiPriority w:val="10"/>
    <w:qFormat/>
    <w:rsid w:val="0061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425"/>
    <w:pPr>
      <w:spacing w:before="160"/>
      <w:jc w:val="center"/>
    </w:pPr>
    <w:rPr>
      <w:i/>
      <w:iCs/>
      <w:color w:val="404040" w:themeColor="text1" w:themeTint="BF"/>
    </w:rPr>
  </w:style>
  <w:style w:type="character" w:customStyle="1" w:styleId="QuoteChar">
    <w:name w:val="Quote Char"/>
    <w:basedOn w:val="DefaultParagraphFont"/>
    <w:link w:val="Quote"/>
    <w:uiPriority w:val="29"/>
    <w:rsid w:val="00617425"/>
    <w:rPr>
      <w:i/>
      <w:iCs/>
      <w:color w:val="404040" w:themeColor="text1" w:themeTint="BF"/>
    </w:rPr>
  </w:style>
  <w:style w:type="paragraph" w:styleId="ListParagraph">
    <w:name w:val="List Paragraph"/>
    <w:basedOn w:val="Normal"/>
    <w:uiPriority w:val="34"/>
    <w:qFormat/>
    <w:rsid w:val="00617425"/>
    <w:pPr>
      <w:ind w:left="720"/>
      <w:contextualSpacing/>
    </w:pPr>
  </w:style>
  <w:style w:type="character" w:styleId="IntenseEmphasis">
    <w:name w:val="Intense Emphasis"/>
    <w:basedOn w:val="DefaultParagraphFont"/>
    <w:uiPriority w:val="21"/>
    <w:qFormat/>
    <w:rsid w:val="00617425"/>
    <w:rPr>
      <w:i/>
      <w:iCs/>
      <w:color w:val="0F4761" w:themeColor="accent1" w:themeShade="BF"/>
    </w:rPr>
  </w:style>
  <w:style w:type="paragraph" w:styleId="IntenseQuote">
    <w:name w:val="Intense Quote"/>
    <w:basedOn w:val="Normal"/>
    <w:next w:val="Normal"/>
    <w:link w:val="IntenseQuoteChar"/>
    <w:uiPriority w:val="30"/>
    <w:qFormat/>
    <w:rsid w:val="00617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425"/>
    <w:rPr>
      <w:i/>
      <w:iCs/>
      <w:color w:val="0F4761" w:themeColor="accent1" w:themeShade="BF"/>
    </w:rPr>
  </w:style>
  <w:style w:type="character" w:styleId="IntenseReference">
    <w:name w:val="Intense Reference"/>
    <w:basedOn w:val="DefaultParagraphFont"/>
    <w:uiPriority w:val="32"/>
    <w:qFormat/>
    <w:rsid w:val="00617425"/>
    <w:rPr>
      <w:b/>
      <w:bCs/>
      <w:smallCaps/>
      <w:color w:val="0F4761" w:themeColor="accent1" w:themeShade="BF"/>
      <w:spacing w:val="5"/>
    </w:rPr>
  </w:style>
  <w:style w:type="character" w:styleId="Hyperlink">
    <w:name w:val="Hyperlink"/>
    <w:basedOn w:val="DefaultParagraphFont"/>
    <w:uiPriority w:val="99"/>
    <w:unhideWhenUsed/>
    <w:rsid w:val="00617425"/>
    <w:rPr>
      <w:color w:val="0563C1"/>
      <w:u w:val="single"/>
    </w:rPr>
  </w:style>
  <w:style w:type="character" w:styleId="UnresolvedMention">
    <w:name w:val="Unresolved Mention"/>
    <w:basedOn w:val="DefaultParagraphFont"/>
    <w:uiPriority w:val="99"/>
    <w:semiHidden/>
    <w:unhideWhenUsed/>
    <w:rsid w:val="00863414"/>
    <w:rPr>
      <w:color w:val="605E5C"/>
      <w:shd w:val="clear" w:color="auto" w:fill="E1DFDD"/>
    </w:rPr>
  </w:style>
  <w:style w:type="paragraph" w:styleId="Revision">
    <w:name w:val="Revision"/>
    <w:hidden/>
    <w:uiPriority w:val="99"/>
    <w:semiHidden/>
    <w:rsid w:val="00E874C8"/>
    <w:pPr>
      <w:spacing w:after="0" w:line="240" w:lineRule="auto"/>
    </w:pPr>
  </w:style>
  <w:style w:type="character" w:styleId="CommentReference">
    <w:name w:val="annotation reference"/>
    <w:basedOn w:val="DefaultParagraphFont"/>
    <w:uiPriority w:val="99"/>
    <w:semiHidden/>
    <w:unhideWhenUsed/>
    <w:rsid w:val="00E874C8"/>
    <w:rPr>
      <w:sz w:val="16"/>
      <w:szCs w:val="16"/>
    </w:rPr>
  </w:style>
  <w:style w:type="paragraph" w:styleId="CommentText">
    <w:name w:val="annotation text"/>
    <w:basedOn w:val="Normal"/>
    <w:link w:val="CommentTextChar"/>
    <w:uiPriority w:val="99"/>
    <w:unhideWhenUsed/>
    <w:rsid w:val="00E874C8"/>
    <w:pPr>
      <w:spacing w:line="240" w:lineRule="auto"/>
    </w:pPr>
    <w:rPr>
      <w:sz w:val="20"/>
      <w:szCs w:val="20"/>
    </w:rPr>
  </w:style>
  <w:style w:type="character" w:customStyle="1" w:styleId="CommentTextChar">
    <w:name w:val="Comment Text Char"/>
    <w:basedOn w:val="DefaultParagraphFont"/>
    <w:link w:val="CommentText"/>
    <w:uiPriority w:val="99"/>
    <w:rsid w:val="00E874C8"/>
    <w:rPr>
      <w:sz w:val="20"/>
      <w:szCs w:val="20"/>
    </w:rPr>
  </w:style>
  <w:style w:type="paragraph" w:styleId="CommentSubject">
    <w:name w:val="annotation subject"/>
    <w:basedOn w:val="CommentText"/>
    <w:next w:val="CommentText"/>
    <w:link w:val="CommentSubjectChar"/>
    <w:uiPriority w:val="99"/>
    <w:semiHidden/>
    <w:unhideWhenUsed/>
    <w:rsid w:val="00E874C8"/>
    <w:rPr>
      <w:b/>
      <w:bCs/>
    </w:rPr>
  </w:style>
  <w:style w:type="character" w:customStyle="1" w:styleId="CommentSubjectChar">
    <w:name w:val="Comment Subject Char"/>
    <w:basedOn w:val="CommentTextChar"/>
    <w:link w:val="CommentSubject"/>
    <w:uiPriority w:val="99"/>
    <w:semiHidden/>
    <w:rsid w:val="00E874C8"/>
    <w:rPr>
      <w:b/>
      <w:bCs/>
      <w:sz w:val="20"/>
      <w:szCs w:val="20"/>
    </w:rPr>
  </w:style>
  <w:style w:type="table" w:styleId="TableGrid">
    <w:name w:val="Table Grid"/>
    <w:basedOn w:val="TableNormal"/>
    <w:uiPriority w:val="39"/>
    <w:rsid w:val="005A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56"/>
  </w:style>
  <w:style w:type="paragraph" w:styleId="Footer">
    <w:name w:val="footer"/>
    <w:basedOn w:val="Normal"/>
    <w:link w:val="FooterChar"/>
    <w:uiPriority w:val="99"/>
    <w:unhideWhenUsed/>
    <w:rsid w:val="007D0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4388">
      <w:bodyDiv w:val="1"/>
      <w:marLeft w:val="0"/>
      <w:marRight w:val="0"/>
      <w:marTop w:val="0"/>
      <w:marBottom w:val="0"/>
      <w:divBdr>
        <w:top w:val="none" w:sz="0" w:space="0" w:color="auto"/>
        <w:left w:val="none" w:sz="0" w:space="0" w:color="auto"/>
        <w:bottom w:val="none" w:sz="0" w:space="0" w:color="auto"/>
        <w:right w:val="none" w:sz="0" w:space="0" w:color="auto"/>
      </w:divBdr>
    </w:div>
    <w:div w:id="171997502">
      <w:bodyDiv w:val="1"/>
      <w:marLeft w:val="0"/>
      <w:marRight w:val="0"/>
      <w:marTop w:val="0"/>
      <w:marBottom w:val="0"/>
      <w:divBdr>
        <w:top w:val="none" w:sz="0" w:space="0" w:color="auto"/>
        <w:left w:val="none" w:sz="0" w:space="0" w:color="auto"/>
        <w:bottom w:val="none" w:sz="0" w:space="0" w:color="auto"/>
        <w:right w:val="none" w:sz="0" w:space="0" w:color="auto"/>
      </w:divBdr>
    </w:div>
    <w:div w:id="441849859">
      <w:bodyDiv w:val="1"/>
      <w:marLeft w:val="0"/>
      <w:marRight w:val="0"/>
      <w:marTop w:val="0"/>
      <w:marBottom w:val="0"/>
      <w:divBdr>
        <w:top w:val="none" w:sz="0" w:space="0" w:color="auto"/>
        <w:left w:val="none" w:sz="0" w:space="0" w:color="auto"/>
        <w:bottom w:val="none" w:sz="0" w:space="0" w:color="auto"/>
        <w:right w:val="none" w:sz="0" w:space="0" w:color="auto"/>
      </w:divBdr>
    </w:div>
    <w:div w:id="588201948">
      <w:bodyDiv w:val="1"/>
      <w:marLeft w:val="0"/>
      <w:marRight w:val="0"/>
      <w:marTop w:val="0"/>
      <w:marBottom w:val="0"/>
      <w:divBdr>
        <w:top w:val="none" w:sz="0" w:space="0" w:color="auto"/>
        <w:left w:val="none" w:sz="0" w:space="0" w:color="auto"/>
        <w:bottom w:val="none" w:sz="0" w:space="0" w:color="auto"/>
        <w:right w:val="none" w:sz="0" w:space="0" w:color="auto"/>
      </w:divBdr>
    </w:div>
    <w:div w:id="653724504">
      <w:bodyDiv w:val="1"/>
      <w:marLeft w:val="0"/>
      <w:marRight w:val="0"/>
      <w:marTop w:val="0"/>
      <w:marBottom w:val="0"/>
      <w:divBdr>
        <w:top w:val="none" w:sz="0" w:space="0" w:color="auto"/>
        <w:left w:val="none" w:sz="0" w:space="0" w:color="auto"/>
        <w:bottom w:val="none" w:sz="0" w:space="0" w:color="auto"/>
        <w:right w:val="none" w:sz="0" w:space="0" w:color="auto"/>
      </w:divBdr>
    </w:div>
    <w:div w:id="769008742">
      <w:bodyDiv w:val="1"/>
      <w:marLeft w:val="0"/>
      <w:marRight w:val="0"/>
      <w:marTop w:val="0"/>
      <w:marBottom w:val="0"/>
      <w:divBdr>
        <w:top w:val="none" w:sz="0" w:space="0" w:color="auto"/>
        <w:left w:val="none" w:sz="0" w:space="0" w:color="auto"/>
        <w:bottom w:val="none" w:sz="0" w:space="0" w:color="auto"/>
        <w:right w:val="none" w:sz="0" w:space="0" w:color="auto"/>
      </w:divBdr>
    </w:div>
    <w:div w:id="1059787937">
      <w:bodyDiv w:val="1"/>
      <w:marLeft w:val="0"/>
      <w:marRight w:val="0"/>
      <w:marTop w:val="0"/>
      <w:marBottom w:val="0"/>
      <w:divBdr>
        <w:top w:val="none" w:sz="0" w:space="0" w:color="auto"/>
        <w:left w:val="none" w:sz="0" w:space="0" w:color="auto"/>
        <w:bottom w:val="none" w:sz="0" w:space="0" w:color="auto"/>
        <w:right w:val="none" w:sz="0" w:space="0" w:color="auto"/>
      </w:divBdr>
    </w:div>
    <w:div w:id="1114254625">
      <w:bodyDiv w:val="1"/>
      <w:marLeft w:val="0"/>
      <w:marRight w:val="0"/>
      <w:marTop w:val="0"/>
      <w:marBottom w:val="0"/>
      <w:divBdr>
        <w:top w:val="none" w:sz="0" w:space="0" w:color="auto"/>
        <w:left w:val="none" w:sz="0" w:space="0" w:color="auto"/>
        <w:bottom w:val="none" w:sz="0" w:space="0" w:color="auto"/>
        <w:right w:val="none" w:sz="0" w:space="0" w:color="auto"/>
      </w:divBdr>
    </w:div>
    <w:div w:id="1121652755">
      <w:bodyDiv w:val="1"/>
      <w:marLeft w:val="0"/>
      <w:marRight w:val="0"/>
      <w:marTop w:val="0"/>
      <w:marBottom w:val="0"/>
      <w:divBdr>
        <w:top w:val="none" w:sz="0" w:space="0" w:color="auto"/>
        <w:left w:val="none" w:sz="0" w:space="0" w:color="auto"/>
        <w:bottom w:val="none" w:sz="0" w:space="0" w:color="auto"/>
        <w:right w:val="none" w:sz="0" w:space="0" w:color="auto"/>
      </w:divBdr>
    </w:div>
    <w:div w:id="1380132799">
      <w:bodyDiv w:val="1"/>
      <w:marLeft w:val="0"/>
      <w:marRight w:val="0"/>
      <w:marTop w:val="0"/>
      <w:marBottom w:val="0"/>
      <w:divBdr>
        <w:top w:val="none" w:sz="0" w:space="0" w:color="auto"/>
        <w:left w:val="none" w:sz="0" w:space="0" w:color="auto"/>
        <w:bottom w:val="none" w:sz="0" w:space="0" w:color="auto"/>
        <w:right w:val="none" w:sz="0" w:space="0" w:color="auto"/>
      </w:divBdr>
    </w:div>
    <w:div w:id="1695575031">
      <w:bodyDiv w:val="1"/>
      <w:marLeft w:val="0"/>
      <w:marRight w:val="0"/>
      <w:marTop w:val="0"/>
      <w:marBottom w:val="0"/>
      <w:divBdr>
        <w:top w:val="none" w:sz="0" w:space="0" w:color="auto"/>
        <w:left w:val="none" w:sz="0" w:space="0" w:color="auto"/>
        <w:bottom w:val="none" w:sz="0" w:space="0" w:color="auto"/>
        <w:right w:val="none" w:sz="0" w:space="0" w:color="auto"/>
      </w:divBdr>
    </w:div>
    <w:div w:id="1763524643">
      <w:bodyDiv w:val="1"/>
      <w:marLeft w:val="0"/>
      <w:marRight w:val="0"/>
      <w:marTop w:val="0"/>
      <w:marBottom w:val="0"/>
      <w:divBdr>
        <w:top w:val="none" w:sz="0" w:space="0" w:color="auto"/>
        <w:left w:val="none" w:sz="0" w:space="0" w:color="auto"/>
        <w:bottom w:val="none" w:sz="0" w:space="0" w:color="auto"/>
        <w:right w:val="none" w:sz="0" w:space="0" w:color="auto"/>
      </w:divBdr>
    </w:div>
    <w:div w:id="1790540228">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900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rahrig@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fr.gov/current/title-21/chapter-I/subchapter-L/part-1271/subpart-C" TargetMode="External"/><Relationship Id="rId4" Type="http://schemas.openxmlformats.org/officeDocument/2006/relationships/settings" Target="settings.xml"/><Relationship Id="rId9" Type="http://schemas.openxmlformats.org/officeDocument/2006/relationships/hyperlink" Target="https://doi.org/10.1038/sj.leu.2404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C41D-7ACD-4C48-B4BC-2C56010F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IU Health</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Rahrig, April</dc:creator>
  <cp:keywords/>
  <dc:description/>
  <cp:lastModifiedBy>Harris, Hillary G</cp:lastModifiedBy>
  <cp:revision>2</cp:revision>
  <dcterms:created xsi:type="dcterms:W3CDTF">2024-11-20T14:52:00Z</dcterms:created>
  <dcterms:modified xsi:type="dcterms:W3CDTF">2024-11-20T14:52:00Z</dcterms:modified>
</cp:coreProperties>
</file>