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8A0F3" w14:textId="67FBDEE0" w:rsidR="000224C9" w:rsidRPr="003F039D" w:rsidRDefault="00C92D76" w:rsidP="00BA4B5A">
      <w:pPr>
        <w:pStyle w:val="Heading1"/>
        <w:spacing w:before="0" w:after="0" w:line="240" w:lineRule="auto"/>
        <w:jc w:val="both"/>
        <w:rPr>
          <w:rFonts w:ascii="Arial" w:hAnsi="Arial" w:cs="Arial"/>
          <w:szCs w:val="24"/>
        </w:rPr>
      </w:pPr>
      <w:r w:rsidRPr="003F039D">
        <w:rPr>
          <w:rFonts w:ascii="Arial" w:hAnsi="Arial" w:cs="Arial"/>
          <w:szCs w:val="24"/>
        </w:rPr>
        <w:t>Chemistry, Manufacturing and Control</w:t>
      </w:r>
    </w:p>
    <w:p w14:paraId="44A2351B" w14:textId="1DDC1EB5" w:rsidR="00C92D76" w:rsidRPr="00D11C74" w:rsidRDefault="00C92D76" w:rsidP="00BA4B5A">
      <w:pPr>
        <w:spacing w:after="0" w:line="240" w:lineRule="auto"/>
        <w:jc w:val="both"/>
        <w:rPr>
          <w:rFonts w:ascii="Arial" w:hAnsi="Arial" w:cs="Arial"/>
        </w:rPr>
      </w:pPr>
    </w:p>
    <w:p w14:paraId="2092CDB0" w14:textId="43C81967" w:rsidR="00C92D76" w:rsidRPr="00D11C74" w:rsidRDefault="00C92D76"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Sponsor</w:t>
      </w:r>
    </w:p>
    <w:p w14:paraId="42E3A337" w14:textId="042BC7F9" w:rsidR="00C671A4" w:rsidRPr="00D11C74" w:rsidRDefault="006E3D7E" w:rsidP="00BA4B5A">
      <w:pPr>
        <w:spacing w:after="0" w:line="240" w:lineRule="auto"/>
        <w:jc w:val="both"/>
        <w:rPr>
          <w:rFonts w:ascii="Arial" w:hAnsi="Arial" w:cs="Arial"/>
        </w:rPr>
      </w:pPr>
      <w:r>
        <w:rPr>
          <w:rFonts w:ascii="Arial" w:hAnsi="Arial" w:cs="Arial"/>
        </w:rPr>
        <w:t>April Rahrig, DO</w:t>
      </w:r>
    </w:p>
    <w:p w14:paraId="51FBAA69" w14:textId="5C136D14" w:rsidR="00C671A4" w:rsidRPr="00D11C74" w:rsidRDefault="006E3D7E" w:rsidP="00BA4B5A">
      <w:pPr>
        <w:spacing w:after="0" w:line="240" w:lineRule="auto"/>
        <w:jc w:val="both"/>
        <w:rPr>
          <w:rFonts w:ascii="Arial" w:hAnsi="Arial" w:cs="Arial"/>
        </w:rPr>
      </w:pPr>
      <w:r>
        <w:rPr>
          <w:rFonts w:ascii="Arial" w:hAnsi="Arial" w:cs="Arial"/>
        </w:rPr>
        <w:t xml:space="preserve">Riley Hospital for Children - </w:t>
      </w:r>
      <w:r w:rsidR="00C671A4" w:rsidRPr="00D11C74">
        <w:rPr>
          <w:rFonts w:ascii="Arial" w:hAnsi="Arial" w:cs="Arial"/>
        </w:rPr>
        <w:t>Indiana University</w:t>
      </w:r>
    </w:p>
    <w:p w14:paraId="3EC56C5D" w14:textId="1A5C51BB" w:rsidR="00C671A4" w:rsidRPr="00D11C74" w:rsidRDefault="006E3D7E" w:rsidP="00BA4B5A">
      <w:pPr>
        <w:spacing w:after="0" w:line="240" w:lineRule="auto"/>
        <w:jc w:val="both"/>
        <w:rPr>
          <w:rFonts w:ascii="Arial" w:hAnsi="Arial" w:cs="Arial"/>
        </w:rPr>
      </w:pPr>
      <w:r>
        <w:rPr>
          <w:rFonts w:ascii="Arial" w:hAnsi="Arial" w:cs="Arial"/>
        </w:rPr>
        <w:t>705 Riley Hospital Dr, Rm 4340</w:t>
      </w:r>
    </w:p>
    <w:p w14:paraId="36DB0D0B" w14:textId="77777777" w:rsidR="00C671A4" w:rsidRPr="00D11C74" w:rsidRDefault="00C671A4" w:rsidP="00BA4B5A">
      <w:pPr>
        <w:spacing w:after="0" w:line="240" w:lineRule="auto"/>
        <w:jc w:val="both"/>
        <w:rPr>
          <w:rFonts w:ascii="Arial" w:hAnsi="Arial" w:cs="Arial"/>
        </w:rPr>
      </w:pPr>
      <w:r w:rsidRPr="00D11C74">
        <w:rPr>
          <w:rFonts w:ascii="Arial" w:hAnsi="Arial" w:cs="Arial"/>
        </w:rPr>
        <w:t>Indianapolis, IN 46202</w:t>
      </w:r>
    </w:p>
    <w:p w14:paraId="6E8362AD" w14:textId="416D7405" w:rsidR="00C92D76" w:rsidRPr="00D11C74" w:rsidRDefault="00C92D76" w:rsidP="00BA4B5A">
      <w:pPr>
        <w:spacing w:after="0" w:line="240" w:lineRule="auto"/>
        <w:jc w:val="both"/>
        <w:rPr>
          <w:rFonts w:ascii="Arial" w:hAnsi="Arial" w:cs="Arial"/>
        </w:rPr>
      </w:pPr>
    </w:p>
    <w:p w14:paraId="1F08B052" w14:textId="446F3A45" w:rsidR="00C92D76" w:rsidRPr="00D11C74" w:rsidRDefault="00C92D76"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Sponsor point of contact</w:t>
      </w:r>
    </w:p>
    <w:p w14:paraId="656CA885" w14:textId="244BA51B" w:rsidR="00C671A4" w:rsidRPr="00D11C74" w:rsidRDefault="006E3D7E" w:rsidP="00BA4B5A">
      <w:pPr>
        <w:spacing w:after="0" w:line="240" w:lineRule="auto"/>
        <w:jc w:val="both"/>
        <w:rPr>
          <w:rFonts w:ascii="Arial" w:hAnsi="Arial" w:cs="Arial"/>
        </w:rPr>
      </w:pPr>
      <w:r>
        <w:rPr>
          <w:rFonts w:ascii="Arial" w:hAnsi="Arial" w:cs="Arial"/>
        </w:rPr>
        <w:t>Anne Bubnick, CCRP</w:t>
      </w:r>
    </w:p>
    <w:p w14:paraId="0611BF8F" w14:textId="4B89264A" w:rsidR="00C671A4" w:rsidRPr="00D11C74" w:rsidRDefault="006E3D7E" w:rsidP="00BA4B5A">
      <w:pPr>
        <w:spacing w:after="0" w:line="240" w:lineRule="auto"/>
        <w:jc w:val="both"/>
        <w:rPr>
          <w:rFonts w:ascii="Arial" w:hAnsi="Arial" w:cs="Arial"/>
        </w:rPr>
      </w:pPr>
      <w:r>
        <w:rPr>
          <w:rFonts w:ascii="Arial" w:hAnsi="Arial" w:cs="Arial"/>
        </w:rPr>
        <w:t>Pediatric Hematology/Oncology</w:t>
      </w:r>
    </w:p>
    <w:p w14:paraId="71EE95BB" w14:textId="076D134B" w:rsidR="00C671A4" w:rsidRPr="00D11C74" w:rsidRDefault="00C671A4" w:rsidP="00BA4B5A">
      <w:pPr>
        <w:spacing w:after="0" w:line="240" w:lineRule="auto"/>
        <w:jc w:val="both"/>
        <w:rPr>
          <w:rFonts w:ascii="Arial" w:hAnsi="Arial" w:cs="Arial"/>
        </w:rPr>
      </w:pPr>
      <w:r w:rsidRPr="00D11C74">
        <w:rPr>
          <w:rFonts w:ascii="Arial" w:hAnsi="Arial" w:cs="Arial"/>
        </w:rPr>
        <w:t>Indiana University</w:t>
      </w:r>
      <w:r w:rsidR="006E3D7E">
        <w:rPr>
          <w:rFonts w:ascii="Arial" w:hAnsi="Arial" w:cs="Arial"/>
        </w:rPr>
        <w:t xml:space="preserve"> School of Medicine</w:t>
      </w:r>
    </w:p>
    <w:p w14:paraId="7A1B454D" w14:textId="033E8BD2" w:rsidR="00C92D76" w:rsidRPr="00D11C74" w:rsidRDefault="00C92D76" w:rsidP="00BA4B5A">
      <w:pPr>
        <w:spacing w:after="0" w:line="240" w:lineRule="auto"/>
        <w:jc w:val="both"/>
        <w:rPr>
          <w:rFonts w:ascii="Arial" w:hAnsi="Arial" w:cs="Arial"/>
        </w:rPr>
      </w:pPr>
    </w:p>
    <w:p w14:paraId="118699AF" w14:textId="0D4078BC" w:rsidR="00C92D76" w:rsidRPr="00D11C74" w:rsidRDefault="00C92D76"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proposed use</w:t>
      </w:r>
    </w:p>
    <w:p w14:paraId="56B1C1F0" w14:textId="2BBBCFDB" w:rsidR="00C671A4" w:rsidRPr="00D11C74" w:rsidRDefault="00C671A4" w:rsidP="00BA4B5A">
      <w:pPr>
        <w:spacing w:after="0" w:line="240" w:lineRule="auto"/>
        <w:jc w:val="both"/>
        <w:rPr>
          <w:rFonts w:ascii="Arial" w:hAnsi="Arial" w:cs="Arial"/>
        </w:rPr>
      </w:pPr>
      <w:r w:rsidRPr="00D11C74">
        <w:rPr>
          <w:rFonts w:ascii="Arial" w:hAnsi="Arial" w:cs="Arial"/>
        </w:rPr>
        <w:t xml:space="preserve">The drug is an </w:t>
      </w:r>
      <w:r w:rsidR="006E3D7E">
        <w:rPr>
          <w:rFonts w:ascii="Arial" w:hAnsi="Arial" w:cs="Arial"/>
        </w:rPr>
        <w:t xml:space="preserve">allogeneic </w:t>
      </w:r>
      <w:r w:rsidR="006C7ED6">
        <w:rPr>
          <w:rFonts w:ascii="Arial" w:hAnsi="Arial" w:cs="Arial"/>
        </w:rPr>
        <w:t>TCR</w:t>
      </w:r>
      <w:r w:rsidR="006C7ED6" w:rsidRPr="002D7C9D">
        <w:rPr>
          <w:rFonts w:ascii="Symbol" w:hAnsi="Symbol" w:cs="Arial"/>
        </w:rPr>
        <w:t>a</w:t>
      </w:r>
      <w:r w:rsidR="006C7ED6">
        <w:rPr>
          <w:rFonts w:ascii="Arial" w:hAnsi="Arial" w:cs="Arial"/>
        </w:rPr>
        <w:t>/</w:t>
      </w:r>
      <w:r w:rsidR="006C7ED6" w:rsidRPr="002D7C9D">
        <w:rPr>
          <w:rFonts w:ascii="Symbol" w:hAnsi="Symbol" w:cs="Arial"/>
        </w:rPr>
        <w:t>b</w:t>
      </w:r>
      <w:r w:rsidR="006C7ED6">
        <w:rPr>
          <w:rFonts w:ascii="Arial" w:hAnsi="Arial" w:cs="Arial"/>
        </w:rPr>
        <w:t xml:space="preserve"> and CD19 depleted stem cell transplant</w:t>
      </w:r>
      <w:r w:rsidRPr="00D11C74">
        <w:rPr>
          <w:rFonts w:ascii="Arial" w:hAnsi="Arial" w:cs="Arial"/>
        </w:rPr>
        <w:t xml:space="preserve"> </w:t>
      </w:r>
      <w:r w:rsidR="006C19E8">
        <w:rPr>
          <w:rFonts w:ascii="Arial" w:hAnsi="Arial" w:cs="Arial"/>
        </w:rPr>
        <w:t xml:space="preserve">from a related donor to treat </w:t>
      </w:r>
      <w:r w:rsidR="006C7ED6">
        <w:rPr>
          <w:rFonts w:ascii="Arial" w:hAnsi="Arial" w:cs="Arial"/>
        </w:rPr>
        <w:t>relapsed Juvenile Myelomonocytic Leukemia (JMML) post-allogeneic stem cell transplant.</w:t>
      </w:r>
    </w:p>
    <w:p w14:paraId="3C664A05" w14:textId="77777777" w:rsidR="004744C4" w:rsidRPr="00D11C74" w:rsidRDefault="004744C4" w:rsidP="00BA4B5A">
      <w:pPr>
        <w:spacing w:after="0" w:line="240" w:lineRule="auto"/>
        <w:jc w:val="both"/>
        <w:rPr>
          <w:rFonts w:ascii="Arial" w:hAnsi="Arial" w:cs="Arial"/>
        </w:rPr>
      </w:pPr>
    </w:p>
    <w:p w14:paraId="5425DDC8" w14:textId="77777777" w:rsidR="00C92D76" w:rsidRPr="00D11C74" w:rsidRDefault="00C92D76"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Product description</w:t>
      </w:r>
    </w:p>
    <w:p w14:paraId="3CA1159D" w14:textId="77777777" w:rsidR="00C92D76" w:rsidRPr="00D11C74" w:rsidRDefault="00C92D76" w:rsidP="00BA4B5A">
      <w:pPr>
        <w:spacing w:after="0" w:line="240" w:lineRule="auto"/>
        <w:jc w:val="both"/>
        <w:rPr>
          <w:rFonts w:ascii="Arial" w:hAnsi="Arial" w:cs="Arial"/>
        </w:rPr>
      </w:pPr>
    </w:p>
    <w:p w14:paraId="5CEF038C" w14:textId="4BBA1414" w:rsidR="00C92D76" w:rsidRPr="00D11C74" w:rsidRDefault="00C92D76"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phase of study</w:t>
      </w:r>
    </w:p>
    <w:p w14:paraId="4C6381F5" w14:textId="1F08074C" w:rsidR="004744C4" w:rsidRPr="00D11C74" w:rsidRDefault="006C19E8" w:rsidP="00BA4B5A">
      <w:pPr>
        <w:spacing w:after="0" w:line="240" w:lineRule="auto"/>
        <w:jc w:val="both"/>
        <w:rPr>
          <w:rFonts w:ascii="Arial" w:hAnsi="Arial" w:cs="Arial"/>
        </w:rPr>
      </w:pPr>
      <w:r>
        <w:rPr>
          <w:rFonts w:ascii="Arial" w:hAnsi="Arial" w:cs="Arial"/>
        </w:rPr>
        <w:t xml:space="preserve">This is an emergency IND for the treatment of a single patient. </w:t>
      </w:r>
    </w:p>
    <w:p w14:paraId="2DBE71AC" w14:textId="77777777" w:rsidR="00907AA0" w:rsidRPr="00D11C74" w:rsidRDefault="00907AA0" w:rsidP="00BA4B5A">
      <w:pPr>
        <w:spacing w:after="0" w:line="240" w:lineRule="auto"/>
        <w:jc w:val="both"/>
        <w:rPr>
          <w:rFonts w:ascii="Arial" w:hAnsi="Arial" w:cs="Arial"/>
        </w:rPr>
      </w:pPr>
    </w:p>
    <w:p w14:paraId="1827EF9A" w14:textId="15464C8C" w:rsidR="00C92D76" w:rsidRPr="00D11C74" w:rsidRDefault="00C92D76"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cross-referenced INDs, IDEs</w:t>
      </w:r>
    </w:p>
    <w:p w14:paraId="33E907F1" w14:textId="002BCB82" w:rsidR="009E6A76" w:rsidRDefault="006C19E8" w:rsidP="00BA4B5A">
      <w:pPr>
        <w:spacing w:after="0" w:line="240" w:lineRule="auto"/>
        <w:jc w:val="both"/>
        <w:rPr>
          <w:rFonts w:ascii="Arial" w:hAnsi="Arial" w:cs="Arial"/>
          <w:color w:val="000000"/>
        </w:rPr>
      </w:pPr>
      <w:r>
        <w:rPr>
          <w:rFonts w:ascii="Arial" w:hAnsi="Arial" w:cs="Arial"/>
          <w:color w:val="000000"/>
        </w:rPr>
        <w:t>Letters of Authorization have been provided from Miltenyi Biotec for the following Master Files that are provided as an appendix.</w:t>
      </w:r>
      <w:r w:rsidR="00B4761F">
        <w:rPr>
          <w:rFonts w:ascii="Arial" w:hAnsi="Arial" w:cs="Arial"/>
          <w:color w:val="000000"/>
        </w:rPr>
        <w:t xml:space="preserve"> </w:t>
      </w:r>
    </w:p>
    <w:p w14:paraId="26B0850B" w14:textId="5CECB5DC" w:rsidR="006C19E8" w:rsidRDefault="006C19E8" w:rsidP="00BA4B5A">
      <w:pPr>
        <w:spacing w:after="0" w:line="240" w:lineRule="auto"/>
        <w:jc w:val="both"/>
        <w:rPr>
          <w:rFonts w:ascii="Arial" w:hAnsi="Arial" w:cs="Arial"/>
          <w:color w:val="000000"/>
        </w:rPr>
      </w:pPr>
    </w:p>
    <w:p w14:paraId="77E27A7A" w14:textId="76178352" w:rsidR="00517C64" w:rsidRDefault="00517C64" w:rsidP="006C19E8">
      <w:pPr>
        <w:pStyle w:val="ListParagraph"/>
        <w:numPr>
          <w:ilvl w:val="0"/>
          <w:numId w:val="8"/>
        </w:numPr>
        <w:spacing w:after="0" w:line="240" w:lineRule="auto"/>
        <w:jc w:val="both"/>
        <w:rPr>
          <w:rFonts w:ascii="Arial" w:hAnsi="Arial" w:cs="Arial"/>
          <w:color w:val="000000"/>
        </w:rPr>
      </w:pPr>
      <w:r>
        <w:rPr>
          <w:rFonts w:ascii="Arial" w:hAnsi="Arial" w:cs="Arial"/>
          <w:color w:val="000000"/>
        </w:rPr>
        <w:t>BB MF 10732</w:t>
      </w:r>
      <w:r>
        <w:rPr>
          <w:rFonts w:ascii="Arial" w:hAnsi="Arial" w:cs="Arial"/>
          <w:color w:val="000000"/>
        </w:rPr>
        <w:tab/>
        <w:t>CliniMACS Anti-Biotin (FLS)</w:t>
      </w:r>
    </w:p>
    <w:p w14:paraId="19ECBB13" w14:textId="41FBE73A" w:rsidR="0046106A" w:rsidRDefault="0046106A" w:rsidP="006C19E8">
      <w:pPr>
        <w:pStyle w:val="ListParagraph"/>
        <w:numPr>
          <w:ilvl w:val="0"/>
          <w:numId w:val="8"/>
        </w:numPr>
        <w:spacing w:after="0" w:line="240" w:lineRule="auto"/>
        <w:jc w:val="both"/>
        <w:rPr>
          <w:rFonts w:ascii="Arial" w:hAnsi="Arial" w:cs="Arial"/>
          <w:color w:val="000000"/>
        </w:rPr>
      </w:pPr>
      <w:r>
        <w:rPr>
          <w:rFonts w:ascii="Arial" w:hAnsi="Arial" w:cs="Arial"/>
          <w:color w:val="000000"/>
        </w:rPr>
        <w:t>BB MF 11441 CliniMACS PBS/EDTA Buffer</w:t>
      </w:r>
    </w:p>
    <w:p w14:paraId="0009A1FA" w14:textId="41ACB6C7" w:rsidR="006C19E8" w:rsidRDefault="006C19E8" w:rsidP="006C19E8">
      <w:pPr>
        <w:pStyle w:val="ListParagraph"/>
        <w:numPr>
          <w:ilvl w:val="0"/>
          <w:numId w:val="8"/>
        </w:numPr>
        <w:spacing w:after="0" w:line="240" w:lineRule="auto"/>
        <w:jc w:val="both"/>
        <w:rPr>
          <w:rFonts w:ascii="Arial" w:hAnsi="Arial" w:cs="Arial"/>
          <w:color w:val="000000"/>
        </w:rPr>
      </w:pPr>
      <w:r>
        <w:rPr>
          <w:rFonts w:ascii="Arial" w:hAnsi="Arial" w:cs="Arial"/>
          <w:color w:val="000000"/>
        </w:rPr>
        <w:t xml:space="preserve">BB MF </w:t>
      </w:r>
      <w:r w:rsidR="002D7C9D">
        <w:rPr>
          <w:rFonts w:ascii="Arial" w:hAnsi="Arial" w:cs="Arial"/>
          <w:color w:val="000000"/>
        </w:rPr>
        <w:t>12011 CliniMACS CD19 Reagent</w:t>
      </w:r>
    </w:p>
    <w:p w14:paraId="6313526E" w14:textId="69D7510E" w:rsidR="006C19E8" w:rsidRDefault="006C19E8" w:rsidP="006C19E8">
      <w:pPr>
        <w:pStyle w:val="ListParagraph"/>
        <w:numPr>
          <w:ilvl w:val="0"/>
          <w:numId w:val="8"/>
        </w:numPr>
        <w:spacing w:after="0" w:line="240" w:lineRule="auto"/>
        <w:jc w:val="both"/>
        <w:rPr>
          <w:rFonts w:ascii="Arial" w:hAnsi="Arial" w:cs="Arial"/>
          <w:color w:val="000000"/>
        </w:rPr>
      </w:pPr>
      <w:r>
        <w:rPr>
          <w:rFonts w:ascii="Arial" w:hAnsi="Arial" w:cs="Arial"/>
          <w:color w:val="000000"/>
        </w:rPr>
        <w:t xml:space="preserve">BB MF </w:t>
      </w:r>
      <w:r w:rsidR="002D7C9D">
        <w:rPr>
          <w:rFonts w:ascii="Arial" w:hAnsi="Arial" w:cs="Arial"/>
          <w:color w:val="000000"/>
        </w:rPr>
        <w:t>12251 CliniMACS Depletion Tubing Set (DTS)</w:t>
      </w:r>
    </w:p>
    <w:p w14:paraId="64881389" w14:textId="5C23575A" w:rsidR="006C19E8" w:rsidRDefault="006C19E8" w:rsidP="006C19E8">
      <w:pPr>
        <w:pStyle w:val="ListParagraph"/>
        <w:numPr>
          <w:ilvl w:val="0"/>
          <w:numId w:val="8"/>
        </w:numPr>
        <w:spacing w:after="0" w:line="240" w:lineRule="auto"/>
        <w:jc w:val="both"/>
        <w:rPr>
          <w:rFonts w:ascii="Arial" w:hAnsi="Arial" w:cs="Arial"/>
          <w:color w:val="000000"/>
        </w:rPr>
      </w:pPr>
      <w:r>
        <w:rPr>
          <w:rFonts w:ascii="Arial" w:hAnsi="Arial" w:cs="Arial"/>
          <w:color w:val="000000"/>
        </w:rPr>
        <w:t xml:space="preserve">BB MF </w:t>
      </w:r>
      <w:r w:rsidR="002D7C9D">
        <w:rPr>
          <w:rFonts w:ascii="Arial" w:hAnsi="Arial" w:cs="Arial"/>
          <w:color w:val="000000"/>
        </w:rPr>
        <w:t>15678 CliniMACS TCR alpha/beta Reagent</w:t>
      </w:r>
    </w:p>
    <w:p w14:paraId="13720820" w14:textId="77777777" w:rsidR="006C19E8" w:rsidRPr="00D11C74" w:rsidRDefault="006C19E8" w:rsidP="00BA4B5A">
      <w:pPr>
        <w:spacing w:after="0" w:line="240" w:lineRule="auto"/>
        <w:jc w:val="both"/>
        <w:rPr>
          <w:rFonts w:ascii="Arial" w:hAnsi="Arial" w:cs="Arial"/>
          <w:color w:val="000000"/>
        </w:rPr>
      </w:pPr>
    </w:p>
    <w:p w14:paraId="6E52174B" w14:textId="38F327F5" w:rsidR="004B0E20" w:rsidRPr="00D11C74" w:rsidRDefault="004B0E20"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product manufacturing and characterization</w:t>
      </w:r>
    </w:p>
    <w:p w14:paraId="30556846" w14:textId="77777777" w:rsidR="009E6A76" w:rsidRPr="00D72D4C" w:rsidRDefault="009E6A76" w:rsidP="00BA4B5A">
      <w:pPr>
        <w:spacing w:after="0" w:line="240" w:lineRule="auto"/>
        <w:jc w:val="both"/>
        <w:rPr>
          <w:rFonts w:ascii="Arial" w:hAnsi="Arial" w:cs="Arial"/>
          <w:sz w:val="10"/>
          <w:szCs w:val="10"/>
        </w:rPr>
      </w:pPr>
    </w:p>
    <w:p w14:paraId="6350B9D1" w14:textId="46010624" w:rsidR="007F5FBC" w:rsidRPr="00D11C74" w:rsidRDefault="007F5FBC" w:rsidP="00BA4B5A">
      <w:pPr>
        <w:spacing w:after="0" w:line="240" w:lineRule="auto"/>
        <w:jc w:val="both"/>
        <w:rPr>
          <w:rFonts w:ascii="Arial" w:hAnsi="Arial" w:cs="Arial"/>
          <w:b/>
          <w:bCs/>
        </w:rPr>
      </w:pPr>
      <w:r w:rsidRPr="00D11C74">
        <w:rPr>
          <w:rFonts w:ascii="Arial" w:hAnsi="Arial" w:cs="Arial"/>
          <w:b/>
          <w:bCs/>
        </w:rPr>
        <w:t>Overview of Manufacturing Responsibilities</w:t>
      </w:r>
    </w:p>
    <w:p w14:paraId="6897C5C8" w14:textId="77777777" w:rsidR="00D960A4" w:rsidRPr="00D72D4C" w:rsidRDefault="00D960A4" w:rsidP="00BA4B5A">
      <w:pPr>
        <w:spacing w:after="0" w:line="240" w:lineRule="auto"/>
        <w:jc w:val="both"/>
        <w:rPr>
          <w:rFonts w:ascii="Arial" w:hAnsi="Arial" w:cs="Arial"/>
        </w:rPr>
      </w:pPr>
    </w:p>
    <w:p w14:paraId="4713AB26" w14:textId="703006ED" w:rsidR="001C5762" w:rsidRDefault="006C19E8" w:rsidP="00BA4B5A">
      <w:pPr>
        <w:spacing w:after="0" w:line="240" w:lineRule="auto"/>
        <w:jc w:val="both"/>
        <w:rPr>
          <w:rFonts w:ascii="Arial" w:hAnsi="Arial" w:cs="Arial"/>
        </w:rPr>
      </w:pPr>
      <w:r>
        <w:rPr>
          <w:rFonts w:ascii="Arial" w:hAnsi="Arial" w:cs="Arial"/>
        </w:rPr>
        <w:t xml:space="preserve">The </w:t>
      </w:r>
      <w:r w:rsidR="002D7C9D">
        <w:rPr>
          <w:rFonts w:ascii="Arial" w:hAnsi="Arial" w:cs="Arial"/>
        </w:rPr>
        <w:t>TCR</w:t>
      </w:r>
      <w:r w:rsidR="002D7C9D" w:rsidRPr="002D7C9D">
        <w:rPr>
          <w:rFonts w:ascii="Symbol" w:hAnsi="Symbol" w:cs="Arial"/>
        </w:rPr>
        <w:t>a</w:t>
      </w:r>
      <w:r w:rsidR="002D7C9D">
        <w:rPr>
          <w:rFonts w:ascii="Arial" w:hAnsi="Arial" w:cs="Arial"/>
        </w:rPr>
        <w:t>/</w:t>
      </w:r>
      <w:r w:rsidR="002D7C9D" w:rsidRPr="002D7C9D">
        <w:rPr>
          <w:rFonts w:ascii="Symbol" w:hAnsi="Symbol" w:cs="Arial"/>
        </w:rPr>
        <w:t>b</w:t>
      </w:r>
      <w:r w:rsidR="002D7C9D">
        <w:rPr>
          <w:rFonts w:ascii="Arial" w:hAnsi="Arial" w:cs="Arial"/>
        </w:rPr>
        <w:t xml:space="preserve"> and CD19 depletion of the mobilized apheresis collection is performed</w:t>
      </w:r>
      <w:r>
        <w:rPr>
          <w:rFonts w:ascii="Arial" w:hAnsi="Arial" w:cs="Arial"/>
        </w:rPr>
        <w:t xml:space="preserve"> according to the Miltenyi Biotec CliniMACS </w:t>
      </w:r>
      <w:r w:rsidR="002D7C9D">
        <w:rPr>
          <w:rFonts w:ascii="Arial" w:hAnsi="Arial" w:cs="Arial"/>
        </w:rPr>
        <w:t>procedures.</w:t>
      </w:r>
    </w:p>
    <w:p w14:paraId="188AE0C2" w14:textId="77777777" w:rsidR="001C5762" w:rsidRDefault="001C5762" w:rsidP="00BA4B5A">
      <w:pPr>
        <w:spacing w:after="0" w:line="240" w:lineRule="auto"/>
        <w:jc w:val="both"/>
        <w:rPr>
          <w:rFonts w:ascii="Arial" w:hAnsi="Arial" w:cs="Arial"/>
        </w:rPr>
      </w:pPr>
    </w:p>
    <w:p w14:paraId="2E52D914" w14:textId="660BE601" w:rsidR="007F5FBC" w:rsidRPr="00D11C74" w:rsidRDefault="001C5762" w:rsidP="00BA4B5A">
      <w:pPr>
        <w:spacing w:after="0" w:line="240" w:lineRule="auto"/>
        <w:jc w:val="both"/>
        <w:rPr>
          <w:rFonts w:ascii="Arial" w:hAnsi="Arial" w:cs="Arial"/>
        </w:rPr>
      </w:pPr>
      <w:r>
        <w:rPr>
          <w:rFonts w:ascii="Arial" w:hAnsi="Arial" w:cs="Arial"/>
        </w:rPr>
        <w:t>Product Manufacturing</w:t>
      </w:r>
      <w:r w:rsidR="006C19E8">
        <w:rPr>
          <w:rFonts w:ascii="Arial" w:hAnsi="Arial" w:cs="Arial"/>
        </w:rPr>
        <w:t xml:space="preserve"> </w:t>
      </w:r>
    </w:p>
    <w:p w14:paraId="283A5C16" w14:textId="77777777" w:rsidR="0069370B" w:rsidRPr="00D72D4C" w:rsidRDefault="0069370B" w:rsidP="00BA4B5A">
      <w:pPr>
        <w:spacing w:after="0" w:line="240" w:lineRule="auto"/>
        <w:jc w:val="both"/>
        <w:rPr>
          <w:rFonts w:ascii="Arial" w:hAnsi="Arial" w:cs="Arial"/>
        </w:rPr>
      </w:pPr>
    </w:p>
    <w:p w14:paraId="30FAA22C" w14:textId="09EAEA92" w:rsidR="002D7C9D" w:rsidRDefault="002D7C9D" w:rsidP="00BA4B5A">
      <w:pPr>
        <w:autoSpaceDE w:val="0"/>
        <w:autoSpaceDN w:val="0"/>
        <w:adjustRightInd w:val="0"/>
        <w:spacing w:after="0" w:line="240" w:lineRule="auto"/>
        <w:jc w:val="both"/>
        <w:rPr>
          <w:rFonts w:ascii="Arial" w:hAnsi="Arial" w:cs="Arial"/>
        </w:rPr>
      </w:pPr>
      <w:r>
        <w:rPr>
          <w:rFonts w:ascii="Arial" w:hAnsi="Arial" w:cs="Arial"/>
        </w:rPr>
        <w:t>Cell Therapy Laboratory</w:t>
      </w:r>
    </w:p>
    <w:p w14:paraId="1435AAF9" w14:textId="5CF75545" w:rsidR="002D7C9D" w:rsidRDefault="002D7C9D" w:rsidP="00BA4B5A">
      <w:pPr>
        <w:autoSpaceDE w:val="0"/>
        <w:autoSpaceDN w:val="0"/>
        <w:adjustRightInd w:val="0"/>
        <w:spacing w:after="0" w:line="240" w:lineRule="auto"/>
        <w:jc w:val="both"/>
        <w:rPr>
          <w:rFonts w:ascii="Arial" w:hAnsi="Arial" w:cs="Arial"/>
        </w:rPr>
      </w:pPr>
      <w:r>
        <w:rPr>
          <w:rFonts w:ascii="Arial" w:hAnsi="Arial" w:cs="Arial"/>
        </w:rPr>
        <w:t>Indiana University Hospital</w:t>
      </w:r>
    </w:p>
    <w:p w14:paraId="2850EBB3" w14:textId="472B56D9" w:rsidR="002D7C9D" w:rsidRDefault="002D7C9D" w:rsidP="00BA4B5A">
      <w:pPr>
        <w:autoSpaceDE w:val="0"/>
        <w:autoSpaceDN w:val="0"/>
        <w:adjustRightInd w:val="0"/>
        <w:spacing w:after="0" w:line="240" w:lineRule="auto"/>
        <w:jc w:val="both"/>
        <w:rPr>
          <w:rFonts w:ascii="Arial" w:hAnsi="Arial" w:cs="Arial"/>
        </w:rPr>
      </w:pPr>
      <w:r>
        <w:rPr>
          <w:rFonts w:ascii="Arial" w:hAnsi="Arial" w:cs="Arial"/>
        </w:rPr>
        <w:t>550 University Blvd</w:t>
      </w:r>
    </w:p>
    <w:p w14:paraId="64AFAD9A" w14:textId="067C6E64" w:rsidR="002D7C9D" w:rsidRDefault="002D7C9D" w:rsidP="00BA4B5A">
      <w:pPr>
        <w:autoSpaceDE w:val="0"/>
        <w:autoSpaceDN w:val="0"/>
        <w:adjustRightInd w:val="0"/>
        <w:spacing w:after="0" w:line="240" w:lineRule="auto"/>
        <w:jc w:val="both"/>
        <w:rPr>
          <w:rFonts w:ascii="Arial" w:hAnsi="Arial" w:cs="Arial"/>
        </w:rPr>
      </w:pPr>
      <w:r>
        <w:rPr>
          <w:rFonts w:ascii="Arial" w:hAnsi="Arial" w:cs="Arial"/>
        </w:rPr>
        <w:t>Indianapolis, IN 46202</w:t>
      </w:r>
    </w:p>
    <w:p w14:paraId="6EA3940C" w14:textId="5EB086CB" w:rsidR="002D7C9D" w:rsidRDefault="002D7C9D" w:rsidP="00BA4B5A">
      <w:pPr>
        <w:autoSpaceDE w:val="0"/>
        <w:autoSpaceDN w:val="0"/>
        <w:adjustRightInd w:val="0"/>
        <w:spacing w:after="0" w:line="240" w:lineRule="auto"/>
        <w:jc w:val="both"/>
        <w:rPr>
          <w:rFonts w:ascii="Arial" w:hAnsi="Arial" w:cs="Arial"/>
        </w:rPr>
      </w:pPr>
    </w:p>
    <w:p w14:paraId="35300665" w14:textId="6799E2DE" w:rsidR="002D7C9D" w:rsidRDefault="002D7C9D" w:rsidP="00BA4B5A">
      <w:pPr>
        <w:autoSpaceDE w:val="0"/>
        <w:autoSpaceDN w:val="0"/>
        <w:adjustRightInd w:val="0"/>
        <w:spacing w:after="0" w:line="240" w:lineRule="auto"/>
        <w:jc w:val="both"/>
        <w:rPr>
          <w:rFonts w:ascii="Arial" w:hAnsi="Arial" w:cs="Arial"/>
        </w:rPr>
      </w:pPr>
      <w:r w:rsidRPr="002D7C9D">
        <w:rPr>
          <w:rFonts w:ascii="Arial" w:hAnsi="Arial" w:cs="Arial"/>
          <w:b/>
          <w:bCs/>
        </w:rPr>
        <w:t>CTL Manager:</w:t>
      </w:r>
      <w:r>
        <w:rPr>
          <w:rFonts w:ascii="Arial" w:hAnsi="Arial" w:cs="Arial"/>
        </w:rPr>
        <w:t xml:space="preserve"> Dave Schwering, MT(AMT), CABP </w:t>
      </w:r>
    </w:p>
    <w:p w14:paraId="1961F995" w14:textId="77777777" w:rsidR="002D7C9D" w:rsidRPr="00D11C74" w:rsidRDefault="002D7C9D" w:rsidP="002D7C9D">
      <w:pPr>
        <w:spacing w:after="0" w:line="240" w:lineRule="auto"/>
        <w:jc w:val="both"/>
        <w:rPr>
          <w:rFonts w:ascii="Arial" w:hAnsi="Arial" w:cs="Arial"/>
        </w:rPr>
      </w:pPr>
      <w:r w:rsidRPr="00D72D4C">
        <w:rPr>
          <w:rFonts w:ascii="Arial" w:hAnsi="Arial" w:cs="Arial"/>
          <w:b/>
          <w:bCs/>
        </w:rPr>
        <w:t>Transfusion Medicine Director:</w:t>
      </w:r>
      <w:r w:rsidRPr="00D11C74">
        <w:rPr>
          <w:rFonts w:ascii="Arial" w:hAnsi="Arial" w:cs="Arial"/>
        </w:rPr>
        <w:t xml:space="preserve"> Elaine Skipworth, MBA, MT(ASCP)HP</w:t>
      </w:r>
    </w:p>
    <w:p w14:paraId="2CAEE5F7" w14:textId="77777777" w:rsidR="002D7C9D" w:rsidRDefault="002D7C9D" w:rsidP="00BA4B5A">
      <w:pPr>
        <w:autoSpaceDE w:val="0"/>
        <w:autoSpaceDN w:val="0"/>
        <w:adjustRightInd w:val="0"/>
        <w:spacing w:after="0" w:line="240" w:lineRule="auto"/>
        <w:jc w:val="both"/>
        <w:rPr>
          <w:rFonts w:ascii="Arial" w:hAnsi="Arial" w:cs="Arial"/>
        </w:rPr>
      </w:pPr>
    </w:p>
    <w:p w14:paraId="3D3CDA7E" w14:textId="6296E957" w:rsidR="002D7C9D" w:rsidRDefault="002D7C9D" w:rsidP="00BA4B5A">
      <w:pPr>
        <w:autoSpaceDE w:val="0"/>
        <w:autoSpaceDN w:val="0"/>
        <w:adjustRightInd w:val="0"/>
        <w:spacing w:after="0" w:line="240" w:lineRule="auto"/>
        <w:jc w:val="both"/>
        <w:rPr>
          <w:rFonts w:ascii="Arial" w:hAnsi="Arial" w:cs="Arial"/>
        </w:rPr>
      </w:pPr>
    </w:p>
    <w:p w14:paraId="52829914" w14:textId="06147F3D" w:rsidR="002D7C9D" w:rsidRDefault="002D7C9D" w:rsidP="00BA4B5A">
      <w:pPr>
        <w:autoSpaceDE w:val="0"/>
        <w:autoSpaceDN w:val="0"/>
        <w:adjustRightInd w:val="0"/>
        <w:spacing w:after="0" w:line="240" w:lineRule="auto"/>
        <w:jc w:val="both"/>
        <w:rPr>
          <w:rFonts w:ascii="Arial" w:hAnsi="Arial" w:cs="Arial"/>
        </w:rPr>
      </w:pPr>
      <w:r>
        <w:rPr>
          <w:rFonts w:ascii="Arial" w:hAnsi="Arial" w:cs="Arial"/>
        </w:rPr>
        <w:t xml:space="preserve">Flow Cytometry testing for TCR </w:t>
      </w:r>
      <w:r w:rsidRPr="002D7C9D">
        <w:rPr>
          <w:rFonts w:ascii="Symbol" w:hAnsi="Symbol" w:cs="Arial"/>
        </w:rPr>
        <w:t>a/b</w:t>
      </w:r>
      <w:r>
        <w:rPr>
          <w:rFonts w:ascii="Arial" w:hAnsi="Arial" w:cs="Arial"/>
        </w:rPr>
        <w:t xml:space="preserve"> and CD19/CD20 expression</w:t>
      </w:r>
    </w:p>
    <w:p w14:paraId="5849575A" w14:textId="77777777" w:rsidR="002D7C9D" w:rsidRDefault="002D7C9D" w:rsidP="00BA4B5A">
      <w:pPr>
        <w:autoSpaceDE w:val="0"/>
        <w:autoSpaceDN w:val="0"/>
        <w:adjustRightInd w:val="0"/>
        <w:spacing w:after="0" w:line="240" w:lineRule="auto"/>
        <w:jc w:val="both"/>
        <w:rPr>
          <w:rFonts w:ascii="Arial" w:hAnsi="Arial" w:cs="Arial"/>
        </w:rPr>
      </w:pPr>
    </w:p>
    <w:p w14:paraId="16A41BBD" w14:textId="5B61F6E3"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 xml:space="preserve">Indiana University Cell Immunotherapy and Transduction Facility (CIT) </w:t>
      </w:r>
    </w:p>
    <w:p w14:paraId="30C8E2A0" w14:textId="77777777"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Cell and Gene Therapy Manufacturing</w:t>
      </w:r>
    </w:p>
    <w:p w14:paraId="25AADA1C" w14:textId="77777777"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Indiana University Hospital</w:t>
      </w:r>
    </w:p>
    <w:p w14:paraId="267E30AD" w14:textId="77777777"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550 University Blvd</w:t>
      </w:r>
    </w:p>
    <w:p w14:paraId="521E21C8" w14:textId="77777777"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Room 3453A</w:t>
      </w:r>
    </w:p>
    <w:p w14:paraId="6902D3B0" w14:textId="77777777"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Indianapolis, IN 46202</w:t>
      </w:r>
      <w:r w:rsidRPr="00D11C74">
        <w:rPr>
          <w:rFonts w:ascii="Arial" w:hAnsi="Arial" w:cs="Arial"/>
        </w:rPr>
        <w:tab/>
      </w:r>
    </w:p>
    <w:p w14:paraId="7D929384" w14:textId="77777777" w:rsidR="0069370B" w:rsidRPr="00D72D4C" w:rsidRDefault="0069370B" w:rsidP="00BA4B5A">
      <w:pPr>
        <w:autoSpaceDE w:val="0"/>
        <w:autoSpaceDN w:val="0"/>
        <w:adjustRightInd w:val="0"/>
        <w:spacing w:after="0" w:line="240" w:lineRule="auto"/>
        <w:jc w:val="both"/>
        <w:rPr>
          <w:rFonts w:ascii="Arial" w:hAnsi="Arial" w:cs="Arial"/>
        </w:rPr>
      </w:pPr>
    </w:p>
    <w:p w14:paraId="2C800591" w14:textId="37FE707F" w:rsidR="007F5FBC" w:rsidRPr="00D11C74" w:rsidRDefault="007F5FBC" w:rsidP="00BA4B5A">
      <w:pPr>
        <w:autoSpaceDE w:val="0"/>
        <w:autoSpaceDN w:val="0"/>
        <w:adjustRightInd w:val="0"/>
        <w:spacing w:after="0" w:line="240" w:lineRule="auto"/>
        <w:jc w:val="both"/>
        <w:rPr>
          <w:rFonts w:ascii="Arial" w:hAnsi="Arial" w:cs="Arial"/>
        </w:rPr>
      </w:pPr>
      <w:r w:rsidRPr="00D72D4C">
        <w:rPr>
          <w:rFonts w:ascii="Arial" w:hAnsi="Arial" w:cs="Arial"/>
          <w:b/>
          <w:bCs/>
        </w:rPr>
        <w:t xml:space="preserve">CIT </w:t>
      </w:r>
      <w:r w:rsidR="001C5762">
        <w:rPr>
          <w:rFonts w:ascii="Arial" w:hAnsi="Arial" w:cs="Arial"/>
          <w:b/>
          <w:bCs/>
        </w:rPr>
        <w:t>Manager</w:t>
      </w:r>
      <w:r w:rsidRPr="00D72D4C">
        <w:rPr>
          <w:rFonts w:ascii="Arial" w:hAnsi="Arial" w:cs="Arial"/>
          <w:b/>
          <w:bCs/>
        </w:rPr>
        <w:t>:</w:t>
      </w:r>
      <w:r w:rsidRPr="00D11C74">
        <w:rPr>
          <w:rFonts w:ascii="Arial" w:hAnsi="Arial" w:cs="Arial"/>
        </w:rPr>
        <w:t xml:space="preserve"> </w:t>
      </w:r>
      <w:r w:rsidR="001C5762">
        <w:rPr>
          <w:rFonts w:ascii="Arial" w:hAnsi="Arial" w:cs="Arial"/>
        </w:rPr>
        <w:t>Christina Vaughan</w:t>
      </w:r>
      <w:r w:rsidRPr="00D11C74">
        <w:rPr>
          <w:rFonts w:ascii="Arial" w:hAnsi="Arial" w:cs="Arial"/>
        </w:rPr>
        <w:t xml:space="preserve">, MS, </w:t>
      </w:r>
      <w:r w:rsidR="00D72D4C">
        <w:rPr>
          <w:rFonts w:ascii="Arial" w:hAnsi="Arial" w:cs="Arial"/>
        </w:rPr>
        <w:t>CABP</w:t>
      </w:r>
    </w:p>
    <w:p w14:paraId="46626477" w14:textId="10A17B3F" w:rsidR="007F5FBC" w:rsidRPr="00D11C74" w:rsidRDefault="001C5762" w:rsidP="00BA4B5A">
      <w:pPr>
        <w:autoSpaceDE w:val="0"/>
        <w:autoSpaceDN w:val="0"/>
        <w:adjustRightInd w:val="0"/>
        <w:spacing w:after="0" w:line="240" w:lineRule="auto"/>
        <w:jc w:val="both"/>
        <w:rPr>
          <w:rFonts w:ascii="Arial" w:hAnsi="Arial" w:cs="Arial"/>
        </w:rPr>
      </w:pPr>
      <w:r>
        <w:rPr>
          <w:rFonts w:ascii="Arial" w:hAnsi="Arial" w:cs="Arial"/>
          <w:b/>
          <w:bCs/>
        </w:rPr>
        <w:t>CIT/</w:t>
      </w:r>
      <w:r w:rsidR="007F5FBC" w:rsidRPr="00D72D4C">
        <w:rPr>
          <w:rFonts w:ascii="Arial" w:hAnsi="Arial" w:cs="Arial"/>
          <w:b/>
          <w:bCs/>
        </w:rPr>
        <w:t>CGTM Director:</w:t>
      </w:r>
      <w:r w:rsidR="007F5FBC" w:rsidRPr="00D11C74">
        <w:rPr>
          <w:rFonts w:ascii="Arial" w:hAnsi="Arial" w:cs="Arial"/>
        </w:rPr>
        <w:t xml:space="preserve"> Emily Hopewell, PhD</w:t>
      </w:r>
      <w:r w:rsidR="00A60938">
        <w:rPr>
          <w:rFonts w:ascii="Arial" w:hAnsi="Arial" w:cs="Arial"/>
        </w:rPr>
        <w:t>,</w:t>
      </w:r>
      <w:r w:rsidR="00D72D4C">
        <w:rPr>
          <w:rFonts w:ascii="Arial" w:hAnsi="Arial" w:cs="Arial"/>
        </w:rPr>
        <w:t xml:space="preserve"> CABP(H)</w:t>
      </w:r>
    </w:p>
    <w:p w14:paraId="2EEEBE54" w14:textId="18087156" w:rsidR="007F5FBC" w:rsidRPr="00D11C74" w:rsidRDefault="007F5FBC" w:rsidP="00BA4B5A">
      <w:pPr>
        <w:autoSpaceDE w:val="0"/>
        <w:autoSpaceDN w:val="0"/>
        <w:adjustRightInd w:val="0"/>
        <w:spacing w:after="0" w:line="240" w:lineRule="auto"/>
        <w:jc w:val="both"/>
        <w:rPr>
          <w:rFonts w:ascii="Arial" w:hAnsi="Arial" w:cs="Arial"/>
        </w:rPr>
      </w:pPr>
    </w:p>
    <w:p w14:paraId="2C51F2A6" w14:textId="7A99257F" w:rsidR="007F5FBC" w:rsidRPr="00D11C74" w:rsidRDefault="007F5FBC" w:rsidP="00BA4B5A">
      <w:pPr>
        <w:autoSpaceDE w:val="0"/>
        <w:autoSpaceDN w:val="0"/>
        <w:adjustRightInd w:val="0"/>
        <w:spacing w:after="0" w:line="240" w:lineRule="auto"/>
        <w:jc w:val="both"/>
        <w:rPr>
          <w:rFonts w:ascii="Arial" w:hAnsi="Arial" w:cs="Arial"/>
        </w:rPr>
      </w:pPr>
      <w:r w:rsidRPr="00D11C74">
        <w:rPr>
          <w:rFonts w:ascii="Arial" w:hAnsi="Arial" w:cs="Arial"/>
        </w:rPr>
        <w:t>Apheresis PBMC collections are performed at the following FACT accredited facilit</w:t>
      </w:r>
      <w:r w:rsidR="003E7533" w:rsidRPr="00D11C74">
        <w:rPr>
          <w:rFonts w:ascii="Arial" w:hAnsi="Arial" w:cs="Arial"/>
        </w:rPr>
        <w:t>y</w:t>
      </w:r>
      <w:r w:rsidRPr="00D11C74">
        <w:rPr>
          <w:rFonts w:ascii="Arial" w:hAnsi="Arial" w:cs="Arial"/>
        </w:rPr>
        <w:t>:</w:t>
      </w:r>
    </w:p>
    <w:p w14:paraId="60407E5C" w14:textId="77777777" w:rsidR="00012DFA" w:rsidRPr="00D72D4C" w:rsidRDefault="00012DFA" w:rsidP="00BA4B5A">
      <w:pPr>
        <w:autoSpaceDE w:val="0"/>
        <w:autoSpaceDN w:val="0"/>
        <w:adjustRightInd w:val="0"/>
        <w:spacing w:after="0" w:line="240" w:lineRule="auto"/>
        <w:jc w:val="both"/>
        <w:rPr>
          <w:rFonts w:ascii="Arial" w:hAnsi="Arial" w:cs="Arial"/>
        </w:rPr>
      </w:pPr>
    </w:p>
    <w:p w14:paraId="62916C94" w14:textId="0E882AC9" w:rsidR="00520294" w:rsidRPr="00D11C74" w:rsidRDefault="00520294" w:rsidP="00BA4B5A">
      <w:pPr>
        <w:spacing w:after="0" w:line="240" w:lineRule="auto"/>
        <w:jc w:val="both"/>
        <w:rPr>
          <w:rFonts w:ascii="Arial" w:hAnsi="Arial" w:cs="Arial"/>
        </w:rPr>
      </w:pPr>
      <w:r w:rsidRPr="00D11C74">
        <w:rPr>
          <w:rFonts w:ascii="Arial" w:hAnsi="Arial" w:cs="Arial"/>
        </w:rPr>
        <w:t>Transfusion Medicine</w:t>
      </w:r>
      <w:r w:rsidR="003E7533" w:rsidRPr="00D11C74">
        <w:rPr>
          <w:rFonts w:ascii="Arial" w:hAnsi="Arial" w:cs="Arial"/>
        </w:rPr>
        <w:t xml:space="preserve"> - Apheresis</w:t>
      </w:r>
    </w:p>
    <w:p w14:paraId="5ED6A5CA" w14:textId="21EED5EB" w:rsidR="007F5FBC" w:rsidRPr="00D11C74" w:rsidRDefault="007F5FBC" w:rsidP="00BA4B5A">
      <w:pPr>
        <w:spacing w:after="0" w:line="240" w:lineRule="auto"/>
        <w:jc w:val="both"/>
        <w:rPr>
          <w:rFonts w:ascii="Arial" w:hAnsi="Arial" w:cs="Arial"/>
        </w:rPr>
      </w:pPr>
      <w:r w:rsidRPr="00D11C74">
        <w:rPr>
          <w:rFonts w:ascii="Arial" w:hAnsi="Arial" w:cs="Arial"/>
        </w:rPr>
        <w:t>Indiana University Hospital</w:t>
      </w:r>
    </w:p>
    <w:p w14:paraId="6BA32E44" w14:textId="77777777" w:rsidR="007F5FBC" w:rsidRPr="00D11C74" w:rsidRDefault="007F5FBC" w:rsidP="00BA4B5A">
      <w:pPr>
        <w:spacing w:after="0" w:line="240" w:lineRule="auto"/>
        <w:jc w:val="both"/>
        <w:rPr>
          <w:rFonts w:ascii="Arial" w:hAnsi="Arial" w:cs="Arial"/>
        </w:rPr>
      </w:pPr>
      <w:r w:rsidRPr="00D11C74">
        <w:rPr>
          <w:rFonts w:ascii="Arial" w:hAnsi="Arial" w:cs="Arial"/>
        </w:rPr>
        <w:t>550 University Blvd</w:t>
      </w:r>
    </w:p>
    <w:p w14:paraId="6E32D884" w14:textId="77777777" w:rsidR="007F5FBC" w:rsidRPr="00D11C74" w:rsidRDefault="007F5FBC" w:rsidP="00BA4B5A">
      <w:pPr>
        <w:spacing w:after="0" w:line="240" w:lineRule="auto"/>
        <w:jc w:val="both"/>
        <w:rPr>
          <w:rFonts w:ascii="Arial" w:hAnsi="Arial" w:cs="Arial"/>
        </w:rPr>
      </w:pPr>
      <w:r w:rsidRPr="00D11C74">
        <w:rPr>
          <w:rFonts w:ascii="Arial" w:hAnsi="Arial" w:cs="Arial"/>
        </w:rPr>
        <w:t>Indianapolis, IN 46202</w:t>
      </w:r>
    </w:p>
    <w:p w14:paraId="517FCFA7" w14:textId="77777777" w:rsidR="00012DFA" w:rsidRPr="00D72D4C" w:rsidRDefault="00012DFA" w:rsidP="00BA4B5A">
      <w:pPr>
        <w:spacing w:after="0" w:line="240" w:lineRule="auto"/>
        <w:jc w:val="both"/>
        <w:rPr>
          <w:rFonts w:ascii="Arial" w:hAnsi="Arial" w:cs="Arial"/>
        </w:rPr>
      </w:pPr>
    </w:p>
    <w:p w14:paraId="2FA93CDC" w14:textId="29843F5E" w:rsidR="007F5FBC" w:rsidRPr="00D11C74" w:rsidRDefault="007F5FBC" w:rsidP="00BA4B5A">
      <w:pPr>
        <w:spacing w:after="0" w:line="240" w:lineRule="auto"/>
        <w:jc w:val="both"/>
        <w:rPr>
          <w:rFonts w:ascii="Arial" w:hAnsi="Arial" w:cs="Arial"/>
        </w:rPr>
      </w:pPr>
      <w:r w:rsidRPr="00D72D4C">
        <w:rPr>
          <w:rFonts w:ascii="Arial" w:hAnsi="Arial" w:cs="Arial"/>
          <w:b/>
          <w:bCs/>
        </w:rPr>
        <w:t>Transfusion Medicine Director:</w:t>
      </w:r>
      <w:r w:rsidRPr="00D11C74">
        <w:rPr>
          <w:rFonts w:ascii="Arial" w:hAnsi="Arial" w:cs="Arial"/>
        </w:rPr>
        <w:t xml:space="preserve"> Elaine Skipworth, MBA, MT(ASCP)HP</w:t>
      </w:r>
    </w:p>
    <w:p w14:paraId="31C267D5" w14:textId="0A1632EB" w:rsidR="003E7533" w:rsidRPr="00D11C74" w:rsidRDefault="003E7533" w:rsidP="00BA4B5A">
      <w:pPr>
        <w:spacing w:after="0" w:line="240" w:lineRule="auto"/>
        <w:jc w:val="both"/>
        <w:rPr>
          <w:rFonts w:ascii="Arial" w:hAnsi="Arial" w:cs="Arial"/>
        </w:rPr>
      </w:pPr>
    </w:p>
    <w:p w14:paraId="10AC215D" w14:textId="7AB8798C" w:rsidR="003E7533" w:rsidRPr="00D11C74" w:rsidRDefault="003E7533" w:rsidP="00BA4B5A">
      <w:pPr>
        <w:spacing w:after="0" w:line="240" w:lineRule="auto"/>
        <w:jc w:val="both"/>
        <w:rPr>
          <w:rFonts w:ascii="Arial" w:hAnsi="Arial" w:cs="Arial"/>
        </w:rPr>
      </w:pPr>
      <w:r w:rsidRPr="00D11C74">
        <w:rPr>
          <w:rFonts w:ascii="Arial" w:hAnsi="Arial" w:cs="Arial"/>
        </w:rPr>
        <w:t>Clinical products are distributed for infusion by the following FACT accredited facility:</w:t>
      </w:r>
    </w:p>
    <w:p w14:paraId="565F35C4" w14:textId="5A1AA518" w:rsidR="003E7533" w:rsidRPr="00D11C74" w:rsidRDefault="003E7533" w:rsidP="00BA4B5A">
      <w:pPr>
        <w:spacing w:after="0" w:line="240" w:lineRule="auto"/>
        <w:jc w:val="both"/>
        <w:rPr>
          <w:rFonts w:ascii="Arial" w:hAnsi="Arial" w:cs="Arial"/>
        </w:rPr>
      </w:pPr>
      <w:r w:rsidRPr="00D11C74">
        <w:rPr>
          <w:rFonts w:ascii="Arial" w:hAnsi="Arial" w:cs="Arial"/>
        </w:rPr>
        <w:t>Transfusion Medicine – Cell Therapy Laboratory</w:t>
      </w:r>
    </w:p>
    <w:p w14:paraId="1D9E8476" w14:textId="77777777" w:rsidR="003E7533" w:rsidRPr="00D11C74" w:rsidRDefault="003E7533" w:rsidP="00BA4B5A">
      <w:pPr>
        <w:spacing w:after="0" w:line="240" w:lineRule="auto"/>
        <w:jc w:val="both"/>
        <w:rPr>
          <w:rFonts w:ascii="Arial" w:hAnsi="Arial" w:cs="Arial"/>
        </w:rPr>
      </w:pPr>
      <w:r w:rsidRPr="00D11C74">
        <w:rPr>
          <w:rFonts w:ascii="Arial" w:hAnsi="Arial" w:cs="Arial"/>
        </w:rPr>
        <w:t>Indiana University Hospital</w:t>
      </w:r>
    </w:p>
    <w:p w14:paraId="654C57B1" w14:textId="77777777" w:rsidR="003E7533" w:rsidRPr="00D11C74" w:rsidRDefault="003E7533" w:rsidP="00BA4B5A">
      <w:pPr>
        <w:spacing w:after="0" w:line="240" w:lineRule="auto"/>
        <w:jc w:val="both"/>
        <w:rPr>
          <w:rFonts w:ascii="Arial" w:hAnsi="Arial" w:cs="Arial"/>
        </w:rPr>
      </w:pPr>
      <w:r w:rsidRPr="00D11C74">
        <w:rPr>
          <w:rFonts w:ascii="Arial" w:hAnsi="Arial" w:cs="Arial"/>
        </w:rPr>
        <w:t>550 University Blvd</w:t>
      </w:r>
    </w:p>
    <w:p w14:paraId="3CCCFD50" w14:textId="0D071742" w:rsidR="003E7533" w:rsidRPr="00D11C74" w:rsidRDefault="003E7533" w:rsidP="00BA4B5A">
      <w:pPr>
        <w:spacing w:after="0" w:line="240" w:lineRule="auto"/>
        <w:jc w:val="both"/>
        <w:rPr>
          <w:rFonts w:ascii="Arial" w:hAnsi="Arial" w:cs="Arial"/>
        </w:rPr>
      </w:pPr>
      <w:r w:rsidRPr="00D11C74">
        <w:rPr>
          <w:rFonts w:ascii="Arial" w:hAnsi="Arial" w:cs="Arial"/>
        </w:rPr>
        <w:t>Indianapolis, IN 46202</w:t>
      </w:r>
    </w:p>
    <w:p w14:paraId="641401BC" w14:textId="77777777" w:rsidR="00BC4AD0" w:rsidRPr="00D72D4C" w:rsidRDefault="00BC4AD0" w:rsidP="00BA4B5A">
      <w:pPr>
        <w:spacing w:after="0" w:line="240" w:lineRule="auto"/>
        <w:jc w:val="both"/>
        <w:rPr>
          <w:rFonts w:ascii="Arial" w:hAnsi="Arial" w:cs="Arial"/>
        </w:rPr>
      </w:pPr>
    </w:p>
    <w:p w14:paraId="1F1EC200" w14:textId="4B3C650E" w:rsidR="003E7533" w:rsidRPr="00D11C74" w:rsidRDefault="003E7533" w:rsidP="00BA4B5A">
      <w:pPr>
        <w:spacing w:after="0" w:line="240" w:lineRule="auto"/>
        <w:jc w:val="both"/>
        <w:rPr>
          <w:rFonts w:ascii="Arial" w:hAnsi="Arial" w:cs="Arial"/>
        </w:rPr>
      </w:pPr>
      <w:r w:rsidRPr="00D72D4C">
        <w:rPr>
          <w:rFonts w:ascii="Arial" w:hAnsi="Arial" w:cs="Arial"/>
          <w:b/>
          <w:bCs/>
        </w:rPr>
        <w:t>Transfusion Medicine Director:</w:t>
      </w:r>
      <w:r w:rsidRPr="00D11C74">
        <w:rPr>
          <w:rFonts w:ascii="Arial" w:hAnsi="Arial" w:cs="Arial"/>
        </w:rPr>
        <w:t xml:space="preserve"> Elaine Skipworth, MBA, MT(ASCP)HP</w:t>
      </w:r>
    </w:p>
    <w:p w14:paraId="66FDB408" w14:textId="2DF090F7" w:rsidR="003E7533" w:rsidRPr="00D11C74" w:rsidRDefault="003E7533" w:rsidP="00BA4B5A">
      <w:pPr>
        <w:spacing w:after="0" w:line="240" w:lineRule="auto"/>
        <w:jc w:val="both"/>
        <w:rPr>
          <w:rFonts w:ascii="Arial" w:hAnsi="Arial" w:cs="Arial"/>
        </w:rPr>
      </w:pPr>
    </w:p>
    <w:p w14:paraId="00F62974" w14:textId="152FB998" w:rsidR="003E7533" w:rsidRPr="00D11C74" w:rsidRDefault="003E7533" w:rsidP="00BA4B5A">
      <w:pPr>
        <w:spacing w:after="0" w:line="240" w:lineRule="auto"/>
        <w:jc w:val="both"/>
        <w:rPr>
          <w:rFonts w:ascii="Arial" w:hAnsi="Arial" w:cs="Arial"/>
        </w:rPr>
      </w:pPr>
      <w:r w:rsidRPr="00D11C74">
        <w:rPr>
          <w:rFonts w:ascii="Arial" w:hAnsi="Arial" w:cs="Arial"/>
        </w:rPr>
        <w:t>Patients are infused at the following facility:</w:t>
      </w:r>
    </w:p>
    <w:p w14:paraId="62EFBDB4" w14:textId="77777777" w:rsidR="00CC6214" w:rsidRPr="00D72D4C" w:rsidRDefault="00CC6214" w:rsidP="00BA4B5A">
      <w:pPr>
        <w:spacing w:after="0" w:line="240" w:lineRule="auto"/>
        <w:jc w:val="both"/>
        <w:rPr>
          <w:rFonts w:ascii="Arial" w:hAnsi="Arial" w:cs="Arial"/>
        </w:rPr>
      </w:pPr>
    </w:p>
    <w:p w14:paraId="6FC965C3" w14:textId="77777777" w:rsidR="001C5762" w:rsidRPr="00D11C74" w:rsidRDefault="001C5762" w:rsidP="001C5762">
      <w:pPr>
        <w:spacing w:after="0" w:line="240" w:lineRule="auto"/>
        <w:jc w:val="both"/>
        <w:rPr>
          <w:rFonts w:ascii="Arial" w:hAnsi="Arial" w:cs="Arial"/>
        </w:rPr>
      </w:pPr>
      <w:r>
        <w:rPr>
          <w:rFonts w:ascii="Arial" w:hAnsi="Arial" w:cs="Arial"/>
        </w:rPr>
        <w:t xml:space="preserve">Riley Hospital for Children - </w:t>
      </w:r>
      <w:r w:rsidRPr="00D11C74">
        <w:rPr>
          <w:rFonts w:ascii="Arial" w:hAnsi="Arial" w:cs="Arial"/>
        </w:rPr>
        <w:t>Indiana University</w:t>
      </w:r>
    </w:p>
    <w:p w14:paraId="1C51EC71" w14:textId="29F48AE2" w:rsidR="001C5762" w:rsidRPr="00D11C74" w:rsidRDefault="001C5762" w:rsidP="001C5762">
      <w:pPr>
        <w:spacing w:after="0" w:line="240" w:lineRule="auto"/>
        <w:jc w:val="both"/>
        <w:rPr>
          <w:rFonts w:ascii="Arial" w:hAnsi="Arial" w:cs="Arial"/>
        </w:rPr>
      </w:pPr>
      <w:r>
        <w:rPr>
          <w:rFonts w:ascii="Arial" w:hAnsi="Arial" w:cs="Arial"/>
        </w:rPr>
        <w:t>705 Riley Hospital Dr</w:t>
      </w:r>
    </w:p>
    <w:p w14:paraId="671F5406" w14:textId="42A3990F" w:rsidR="00D72D4C" w:rsidRDefault="001C5762" w:rsidP="001C5762">
      <w:pPr>
        <w:spacing w:after="0" w:line="240" w:lineRule="auto"/>
        <w:jc w:val="both"/>
        <w:rPr>
          <w:rFonts w:ascii="Arial" w:hAnsi="Arial" w:cs="Arial"/>
        </w:rPr>
      </w:pPr>
      <w:r w:rsidRPr="00D11C74">
        <w:rPr>
          <w:rFonts w:ascii="Arial" w:hAnsi="Arial" w:cs="Arial"/>
        </w:rPr>
        <w:t>Indianapolis, IN 46202</w:t>
      </w:r>
    </w:p>
    <w:p w14:paraId="1933A706" w14:textId="77777777" w:rsidR="001C5762" w:rsidRDefault="001C5762" w:rsidP="001C5762">
      <w:pPr>
        <w:spacing w:after="0" w:line="240" w:lineRule="auto"/>
        <w:jc w:val="both"/>
        <w:rPr>
          <w:rFonts w:ascii="Arial" w:hAnsi="Arial" w:cs="Arial"/>
        </w:rPr>
      </w:pPr>
    </w:p>
    <w:p w14:paraId="121BFA54" w14:textId="77777777" w:rsidR="003E7533" w:rsidRPr="00D11C74" w:rsidRDefault="003E7533" w:rsidP="00BA4B5A">
      <w:pPr>
        <w:spacing w:after="0" w:line="240" w:lineRule="auto"/>
        <w:jc w:val="both"/>
        <w:rPr>
          <w:rFonts w:ascii="Arial" w:hAnsi="Arial" w:cs="Arial"/>
        </w:rPr>
      </w:pPr>
    </w:p>
    <w:p w14:paraId="243AB6BC" w14:textId="57FB9B0E" w:rsidR="004B0E20" w:rsidRPr="00D11C74" w:rsidRDefault="004B0E20" w:rsidP="00BA4B5A">
      <w:pPr>
        <w:pStyle w:val="Heading2"/>
        <w:spacing w:after="0" w:line="240" w:lineRule="auto"/>
        <w:jc w:val="both"/>
        <w:rPr>
          <w:rFonts w:ascii="Arial" w:hAnsi="Arial" w:cs="Arial"/>
        </w:rPr>
      </w:pPr>
      <w:r w:rsidRPr="00D11C74">
        <w:rPr>
          <w:rFonts w:ascii="Arial" w:hAnsi="Arial" w:cs="Arial"/>
        </w:rPr>
        <w:t>Product Manufacturing – Components</w:t>
      </w:r>
    </w:p>
    <w:p w14:paraId="6A784AD7" w14:textId="77777777" w:rsidR="00A65774" w:rsidRPr="00D72D4C" w:rsidRDefault="00A65774" w:rsidP="00D72D4C">
      <w:pPr>
        <w:spacing w:after="0" w:line="240" w:lineRule="auto"/>
        <w:rPr>
          <w:rFonts w:ascii="Arial" w:hAnsi="Arial" w:cs="Arial"/>
          <w:sz w:val="10"/>
          <w:szCs w:val="10"/>
        </w:rPr>
      </w:pPr>
    </w:p>
    <w:p w14:paraId="05B32560" w14:textId="18D4DCC9" w:rsidR="004B0E20" w:rsidRPr="009A6E00" w:rsidRDefault="004B0E20" w:rsidP="00BA4B5A">
      <w:pPr>
        <w:pStyle w:val="Heading3"/>
        <w:numPr>
          <w:ilvl w:val="0"/>
          <w:numId w:val="1"/>
        </w:numPr>
        <w:spacing w:after="0" w:line="240" w:lineRule="auto"/>
        <w:jc w:val="both"/>
        <w:rPr>
          <w:rFonts w:ascii="Arial" w:hAnsi="Arial" w:cs="Arial"/>
          <w:b/>
          <w:bCs/>
        </w:rPr>
      </w:pPr>
      <w:r w:rsidRPr="009A6E00">
        <w:rPr>
          <w:rFonts w:ascii="Arial" w:hAnsi="Arial" w:cs="Arial"/>
          <w:b/>
          <w:bCs/>
        </w:rPr>
        <w:t>Cells</w:t>
      </w:r>
    </w:p>
    <w:p w14:paraId="3926BDD3" w14:textId="71EC4419" w:rsidR="0004770F" w:rsidRPr="00D11C74" w:rsidRDefault="001C5762" w:rsidP="00BA4B5A">
      <w:pPr>
        <w:spacing w:after="0" w:line="240" w:lineRule="auto"/>
        <w:jc w:val="both"/>
        <w:rPr>
          <w:rFonts w:ascii="Arial" w:hAnsi="Arial" w:cs="Arial"/>
        </w:rPr>
      </w:pPr>
      <w:r>
        <w:rPr>
          <w:rFonts w:ascii="Arial" w:hAnsi="Arial" w:cs="Arial"/>
        </w:rPr>
        <w:t>Allogeneic</w:t>
      </w:r>
      <w:r w:rsidR="00883DDA" w:rsidRPr="00D11C74">
        <w:rPr>
          <w:rFonts w:ascii="Arial" w:hAnsi="Arial" w:cs="Arial"/>
        </w:rPr>
        <w:t xml:space="preserve"> peripheral blood </w:t>
      </w:r>
      <w:r w:rsidR="00126EFF">
        <w:rPr>
          <w:rFonts w:ascii="Arial" w:hAnsi="Arial" w:cs="Arial"/>
        </w:rPr>
        <w:t>stem cells will be obtained</w:t>
      </w:r>
      <w:r w:rsidR="00883DDA" w:rsidRPr="00D11C74">
        <w:rPr>
          <w:rFonts w:ascii="Arial" w:hAnsi="Arial" w:cs="Arial"/>
        </w:rPr>
        <w:t xml:space="preserve"> using leukapheresis</w:t>
      </w:r>
      <w:r w:rsidR="00126EFF">
        <w:rPr>
          <w:rFonts w:ascii="Arial" w:hAnsi="Arial" w:cs="Arial"/>
        </w:rPr>
        <w:t xml:space="preserve"> according to standard procedure</w:t>
      </w:r>
      <w:r w:rsidR="00D72D4C">
        <w:rPr>
          <w:rFonts w:ascii="Arial" w:hAnsi="Arial" w:cs="Arial"/>
        </w:rPr>
        <w:t xml:space="preserve">. </w:t>
      </w:r>
      <w:r w:rsidR="00883DDA" w:rsidRPr="00D11C74">
        <w:rPr>
          <w:rFonts w:ascii="Arial" w:hAnsi="Arial" w:cs="Arial"/>
        </w:rPr>
        <w:t xml:space="preserve">The starting material will be transported to the Cell </w:t>
      </w:r>
      <w:r w:rsidR="008F443F">
        <w:rPr>
          <w:rFonts w:ascii="Arial" w:hAnsi="Arial" w:cs="Arial"/>
        </w:rPr>
        <w:t>Therapy Laboratory</w:t>
      </w:r>
      <w:r w:rsidR="00883DDA" w:rsidRPr="00D11C74">
        <w:rPr>
          <w:rFonts w:ascii="Arial" w:hAnsi="Arial" w:cs="Arial"/>
        </w:rPr>
        <w:t xml:space="preserve"> at 15 – 25</w:t>
      </w:r>
      <w:r w:rsidR="00883DDA" w:rsidRPr="00D11C74">
        <w:rPr>
          <w:rFonts w:ascii="Arial" w:hAnsi="Arial" w:cs="Arial"/>
          <w:vertAlign w:val="superscript"/>
        </w:rPr>
        <w:t>o</w:t>
      </w:r>
      <w:r w:rsidR="00883DDA" w:rsidRPr="00D11C74">
        <w:rPr>
          <w:rFonts w:ascii="Arial" w:hAnsi="Arial" w:cs="Arial"/>
        </w:rPr>
        <w:t xml:space="preserve">C in a temperature controlled and monitored container. </w:t>
      </w:r>
      <w:r w:rsidR="002C2331">
        <w:rPr>
          <w:rFonts w:ascii="Arial" w:hAnsi="Arial" w:cs="Arial"/>
        </w:rPr>
        <w:t xml:space="preserve">The final product will be cryopreserved per standard procedure until patient is ready for infusion. </w:t>
      </w:r>
    </w:p>
    <w:p w14:paraId="1F6DD585" w14:textId="77777777" w:rsidR="00C51D29" w:rsidRPr="00D11C74" w:rsidRDefault="00C51D29" w:rsidP="00BA4B5A">
      <w:pPr>
        <w:spacing w:after="0" w:line="240" w:lineRule="auto"/>
        <w:jc w:val="both"/>
        <w:rPr>
          <w:rFonts w:ascii="Arial" w:hAnsi="Arial" w:cs="Arial"/>
        </w:rPr>
      </w:pPr>
    </w:p>
    <w:p w14:paraId="053559F6" w14:textId="00F8BE80" w:rsidR="00C92D76" w:rsidRPr="00D11C74" w:rsidRDefault="001C5762" w:rsidP="00D72D4C">
      <w:pPr>
        <w:pStyle w:val="ListParagraph"/>
        <w:numPr>
          <w:ilvl w:val="1"/>
          <w:numId w:val="1"/>
        </w:numPr>
        <w:spacing w:after="0" w:line="240" w:lineRule="auto"/>
        <w:contextualSpacing w:val="0"/>
        <w:jc w:val="both"/>
        <w:rPr>
          <w:rFonts w:ascii="Arial" w:hAnsi="Arial" w:cs="Arial"/>
        </w:rPr>
      </w:pPr>
      <w:r>
        <w:rPr>
          <w:rFonts w:ascii="Arial" w:hAnsi="Arial" w:cs="Arial"/>
        </w:rPr>
        <w:t>Allogeneic</w:t>
      </w:r>
      <w:r w:rsidR="004B0E20" w:rsidRPr="00D11C74">
        <w:rPr>
          <w:rFonts w:ascii="Arial" w:hAnsi="Arial" w:cs="Arial"/>
        </w:rPr>
        <w:t xml:space="preserve"> Cell Components</w:t>
      </w:r>
    </w:p>
    <w:p w14:paraId="4A117CAC" w14:textId="62961A80" w:rsidR="00D24088" w:rsidRPr="00D11C74" w:rsidRDefault="00D24088" w:rsidP="00D72D4C">
      <w:pPr>
        <w:pStyle w:val="ListParagraph"/>
        <w:numPr>
          <w:ilvl w:val="0"/>
          <w:numId w:val="5"/>
        </w:numPr>
        <w:spacing w:after="0" w:line="240" w:lineRule="auto"/>
        <w:ind w:left="1440"/>
        <w:contextualSpacing w:val="0"/>
        <w:jc w:val="both"/>
        <w:rPr>
          <w:rFonts w:ascii="Arial" w:hAnsi="Arial" w:cs="Arial"/>
        </w:rPr>
      </w:pPr>
      <w:r w:rsidRPr="00D11C74">
        <w:rPr>
          <w:rFonts w:ascii="Arial" w:hAnsi="Arial" w:cs="Arial"/>
        </w:rPr>
        <w:t>Cell Source:</w:t>
      </w:r>
      <w:r w:rsidR="00883DDA" w:rsidRPr="00D11C74">
        <w:rPr>
          <w:rFonts w:ascii="Arial" w:hAnsi="Arial" w:cs="Arial"/>
        </w:rPr>
        <w:t xml:space="preserve"> </w:t>
      </w:r>
      <w:r w:rsidR="001C5762">
        <w:rPr>
          <w:rFonts w:ascii="Arial" w:hAnsi="Arial" w:cs="Arial"/>
        </w:rPr>
        <w:t>Allogeneic</w:t>
      </w:r>
      <w:r w:rsidR="00883DDA" w:rsidRPr="00D11C74">
        <w:rPr>
          <w:rFonts w:ascii="Arial" w:hAnsi="Arial" w:cs="Arial"/>
        </w:rPr>
        <w:t xml:space="preserve"> </w:t>
      </w:r>
      <w:r w:rsidR="00126EFF">
        <w:rPr>
          <w:rFonts w:ascii="Arial" w:hAnsi="Arial" w:cs="Arial"/>
        </w:rPr>
        <w:t>hematopoietic progenitor cells</w:t>
      </w:r>
    </w:p>
    <w:p w14:paraId="21C1EF33" w14:textId="3D4C20FB" w:rsidR="00D24088" w:rsidRPr="00D11C74" w:rsidRDefault="00D24088" w:rsidP="00D72D4C">
      <w:pPr>
        <w:pStyle w:val="ListParagraph"/>
        <w:numPr>
          <w:ilvl w:val="0"/>
          <w:numId w:val="5"/>
        </w:numPr>
        <w:spacing w:after="0" w:line="240" w:lineRule="auto"/>
        <w:ind w:left="1440"/>
        <w:contextualSpacing w:val="0"/>
        <w:jc w:val="both"/>
        <w:rPr>
          <w:rFonts w:ascii="Arial" w:hAnsi="Arial" w:cs="Arial"/>
        </w:rPr>
      </w:pPr>
      <w:r w:rsidRPr="00D11C74">
        <w:rPr>
          <w:rFonts w:ascii="Arial" w:hAnsi="Arial" w:cs="Arial"/>
        </w:rPr>
        <w:t>Method of Collection:</w:t>
      </w:r>
      <w:r w:rsidR="00883DDA" w:rsidRPr="00D11C74">
        <w:rPr>
          <w:rFonts w:ascii="Arial" w:hAnsi="Arial" w:cs="Arial"/>
        </w:rPr>
        <w:t xml:space="preserve"> Apheresis</w:t>
      </w:r>
    </w:p>
    <w:p w14:paraId="38133E2C" w14:textId="7D78ECFE" w:rsidR="001C5762" w:rsidRDefault="00D24088" w:rsidP="00D72D4C">
      <w:pPr>
        <w:pStyle w:val="ListParagraph"/>
        <w:numPr>
          <w:ilvl w:val="0"/>
          <w:numId w:val="5"/>
        </w:numPr>
        <w:spacing w:after="0" w:line="240" w:lineRule="auto"/>
        <w:ind w:left="1440"/>
        <w:contextualSpacing w:val="0"/>
        <w:jc w:val="both"/>
        <w:rPr>
          <w:rFonts w:ascii="Arial" w:hAnsi="Arial" w:cs="Arial"/>
        </w:rPr>
      </w:pPr>
      <w:r w:rsidRPr="00D11C74">
        <w:rPr>
          <w:rFonts w:ascii="Arial" w:hAnsi="Arial" w:cs="Arial"/>
        </w:rPr>
        <w:t>Donor Screening:</w:t>
      </w:r>
      <w:r w:rsidR="00796EBD" w:rsidRPr="00D11C74">
        <w:rPr>
          <w:rFonts w:ascii="Arial" w:hAnsi="Arial" w:cs="Arial"/>
        </w:rPr>
        <w:t xml:space="preserve"> Donor screening </w:t>
      </w:r>
      <w:r w:rsidR="001C5762">
        <w:rPr>
          <w:rFonts w:ascii="Arial" w:hAnsi="Arial" w:cs="Arial"/>
        </w:rPr>
        <w:t>will occur according to</w:t>
      </w:r>
      <w:r w:rsidR="00796EBD" w:rsidRPr="00D11C74">
        <w:rPr>
          <w:rFonts w:ascii="Arial" w:hAnsi="Arial" w:cs="Arial"/>
        </w:rPr>
        <w:t xml:space="preserve"> 21 CFR § 1271</w:t>
      </w:r>
    </w:p>
    <w:p w14:paraId="2328D758" w14:textId="4E1AE6DB" w:rsidR="00CA3296" w:rsidRDefault="00CA3296" w:rsidP="00D72D4C">
      <w:pPr>
        <w:pStyle w:val="ListParagraph"/>
        <w:numPr>
          <w:ilvl w:val="0"/>
          <w:numId w:val="5"/>
        </w:numPr>
        <w:spacing w:after="0" w:line="240" w:lineRule="auto"/>
        <w:ind w:left="1440"/>
        <w:contextualSpacing w:val="0"/>
        <w:jc w:val="both"/>
        <w:rPr>
          <w:rFonts w:ascii="Arial" w:hAnsi="Arial" w:cs="Arial"/>
        </w:rPr>
      </w:pPr>
      <w:r>
        <w:rPr>
          <w:rFonts w:ascii="Arial" w:hAnsi="Arial" w:cs="Arial"/>
        </w:rPr>
        <w:t xml:space="preserve">Donor Testing: Donor testing will occur according to 21 CFR </w:t>
      </w:r>
      <w:r w:rsidRPr="00D11C74">
        <w:rPr>
          <w:rFonts w:ascii="Arial" w:hAnsi="Arial" w:cs="Arial"/>
        </w:rPr>
        <w:t>§</w:t>
      </w:r>
      <w:r>
        <w:rPr>
          <w:rFonts w:ascii="Arial" w:hAnsi="Arial" w:cs="Arial"/>
        </w:rPr>
        <w:t xml:space="preserve"> 1271</w:t>
      </w:r>
    </w:p>
    <w:p w14:paraId="3883D8AF" w14:textId="77777777" w:rsidR="00D24088" w:rsidRPr="00D11C74" w:rsidRDefault="00D24088" w:rsidP="00D72D4C">
      <w:pPr>
        <w:pStyle w:val="ListParagraph"/>
        <w:spacing w:after="0" w:line="240" w:lineRule="auto"/>
        <w:ind w:left="1440" w:firstLine="720"/>
        <w:contextualSpacing w:val="0"/>
        <w:jc w:val="both"/>
        <w:rPr>
          <w:rFonts w:ascii="Arial" w:hAnsi="Arial" w:cs="Arial"/>
        </w:rPr>
      </w:pPr>
    </w:p>
    <w:p w14:paraId="6ADE0D05" w14:textId="408FD429" w:rsidR="00D24088" w:rsidRDefault="004B0E20" w:rsidP="00D72D4C">
      <w:pPr>
        <w:pStyle w:val="ListParagraph"/>
        <w:numPr>
          <w:ilvl w:val="1"/>
          <w:numId w:val="1"/>
        </w:numPr>
        <w:spacing w:after="0" w:line="240" w:lineRule="auto"/>
        <w:contextualSpacing w:val="0"/>
        <w:jc w:val="both"/>
        <w:rPr>
          <w:rFonts w:ascii="Arial" w:hAnsi="Arial" w:cs="Arial"/>
        </w:rPr>
      </w:pPr>
      <w:r w:rsidRPr="00D11C74">
        <w:rPr>
          <w:rFonts w:ascii="Arial" w:hAnsi="Arial" w:cs="Arial"/>
        </w:rPr>
        <w:t xml:space="preserve">Cell Bank System – </w:t>
      </w:r>
      <w:r w:rsidR="00796EBD" w:rsidRPr="00D11C74">
        <w:rPr>
          <w:rFonts w:ascii="Arial" w:hAnsi="Arial" w:cs="Arial"/>
        </w:rPr>
        <w:t>no cell banking will be used in the manufacture of this product</w:t>
      </w:r>
    </w:p>
    <w:p w14:paraId="68CB0488" w14:textId="430E2C47" w:rsidR="00730EB9" w:rsidRDefault="00730EB9" w:rsidP="00730EB9">
      <w:pPr>
        <w:spacing w:after="0" w:line="240" w:lineRule="auto"/>
        <w:jc w:val="both"/>
        <w:rPr>
          <w:rFonts w:ascii="Arial" w:hAnsi="Arial" w:cs="Arial"/>
        </w:rPr>
      </w:pPr>
    </w:p>
    <w:p w14:paraId="51C1BBCE" w14:textId="65F2B408" w:rsidR="004B0E20" w:rsidRPr="009A6E00" w:rsidRDefault="004B0E20" w:rsidP="00D72D4C">
      <w:pPr>
        <w:pStyle w:val="ListParagraph"/>
        <w:numPr>
          <w:ilvl w:val="0"/>
          <w:numId w:val="1"/>
        </w:numPr>
        <w:spacing w:after="0" w:line="240" w:lineRule="auto"/>
        <w:contextualSpacing w:val="0"/>
        <w:jc w:val="both"/>
        <w:rPr>
          <w:rFonts w:ascii="Arial" w:hAnsi="Arial" w:cs="Arial"/>
          <w:b/>
          <w:bCs/>
        </w:rPr>
      </w:pPr>
      <w:r w:rsidRPr="009A6E00">
        <w:rPr>
          <w:rFonts w:ascii="Arial" w:hAnsi="Arial" w:cs="Arial"/>
          <w:b/>
          <w:bCs/>
        </w:rPr>
        <w:lastRenderedPageBreak/>
        <w:t>Reagents</w:t>
      </w:r>
    </w:p>
    <w:p w14:paraId="0D5E2853" w14:textId="77777777" w:rsidR="003E7533" w:rsidRPr="00D11C74" w:rsidRDefault="003E7533" w:rsidP="00BA4B5A">
      <w:pPr>
        <w:spacing w:after="0" w:line="240" w:lineRule="auto"/>
        <w:jc w:val="both"/>
        <w:rPr>
          <w:rFonts w:ascii="Arial" w:hAnsi="Arial" w:cs="Arial"/>
        </w:rPr>
      </w:pPr>
    </w:p>
    <w:p w14:paraId="631C9E8B" w14:textId="2A6A518D" w:rsidR="003E7533" w:rsidRPr="00B533BF" w:rsidRDefault="003E7533" w:rsidP="00BA4B5A">
      <w:pPr>
        <w:spacing w:after="0" w:line="240" w:lineRule="auto"/>
        <w:jc w:val="both"/>
        <w:rPr>
          <w:rFonts w:ascii="Arial" w:hAnsi="Arial" w:cs="Arial"/>
          <w:b/>
          <w:bCs/>
        </w:rPr>
      </w:pPr>
      <w:r w:rsidRPr="00B533BF">
        <w:rPr>
          <w:rFonts w:ascii="Arial" w:hAnsi="Arial" w:cs="Arial"/>
          <w:b/>
          <w:bCs/>
        </w:rPr>
        <w:t xml:space="preserve">Table 7.1 Tabulation of </w:t>
      </w:r>
      <w:r w:rsidR="00D93A41">
        <w:rPr>
          <w:rFonts w:ascii="Arial" w:hAnsi="Arial" w:cs="Arial"/>
          <w:b/>
          <w:bCs/>
        </w:rPr>
        <w:t xml:space="preserve">Critical </w:t>
      </w:r>
      <w:r w:rsidRPr="00B533BF">
        <w:rPr>
          <w:rFonts w:ascii="Arial" w:hAnsi="Arial" w:cs="Arial"/>
          <w:b/>
          <w:bCs/>
        </w:rPr>
        <w:t>Reagents</w:t>
      </w:r>
      <w:r w:rsidR="00D93A41">
        <w:rPr>
          <w:rFonts w:ascii="Arial" w:hAnsi="Arial" w:cs="Arial"/>
          <w:b/>
          <w:bCs/>
        </w:rPr>
        <w:t xml:space="preserve"> and Supplies</w:t>
      </w:r>
      <w:r w:rsidRPr="00B533BF">
        <w:rPr>
          <w:rFonts w:ascii="Arial" w:hAnsi="Arial" w:cs="Arial"/>
          <w:b/>
          <w:bCs/>
        </w:rPr>
        <w:t xml:space="preserve"> Used in Manufacturing</w:t>
      </w:r>
      <w:r w:rsidRPr="00B533BF">
        <w:rPr>
          <w:rFonts w:ascii="Arial" w:hAnsi="Arial" w:cs="Arial"/>
          <w:b/>
          <w:bCs/>
        </w:rPr>
        <w:tab/>
      </w:r>
    </w:p>
    <w:p w14:paraId="46FC5D6C" w14:textId="7716436F" w:rsidR="004B0E20" w:rsidRDefault="004B0E20" w:rsidP="00D72D4C">
      <w:pPr>
        <w:pStyle w:val="ListParagraph"/>
        <w:spacing w:after="0" w:line="240" w:lineRule="auto"/>
        <w:ind w:left="792"/>
        <w:contextualSpacing w:val="0"/>
        <w:jc w:val="both"/>
        <w:rPr>
          <w:rFonts w:ascii="Arial" w:hAnsi="Arial" w:cs="Arial"/>
        </w:rPr>
      </w:pPr>
    </w:p>
    <w:p w14:paraId="2C25DE41" w14:textId="77777777" w:rsidR="00D93A41" w:rsidRPr="00D11C74" w:rsidRDefault="00D93A41" w:rsidP="00D72D4C">
      <w:pPr>
        <w:pStyle w:val="ListParagraph"/>
        <w:spacing w:after="0" w:line="240" w:lineRule="auto"/>
        <w:ind w:left="792"/>
        <w:contextualSpacing w:val="0"/>
        <w:jc w:val="both"/>
        <w:rPr>
          <w:rFonts w:ascii="Arial" w:hAnsi="Arial" w:cs="Arial"/>
        </w:rPr>
      </w:pPr>
    </w:p>
    <w:tbl>
      <w:tblPr>
        <w:tblpPr w:leftFromText="180" w:rightFromText="180" w:vertAnchor="text" w:horzAnchor="margin" w:tblpY="-66"/>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419"/>
        <w:gridCol w:w="1639"/>
        <w:gridCol w:w="1832"/>
        <w:gridCol w:w="1559"/>
        <w:gridCol w:w="1000"/>
        <w:gridCol w:w="1621"/>
      </w:tblGrid>
      <w:tr w:rsidR="00A66B85" w:rsidRPr="00D11C74" w14:paraId="47BA1232" w14:textId="77777777" w:rsidTr="002C2331">
        <w:tc>
          <w:tcPr>
            <w:tcW w:w="2419" w:type="dxa"/>
            <w:shd w:val="clear" w:color="auto" w:fill="auto"/>
            <w:vAlign w:val="center"/>
          </w:tcPr>
          <w:p w14:paraId="14BAC7A3" w14:textId="2D4C06F7" w:rsidR="00AC0448" w:rsidRPr="001C7B11" w:rsidRDefault="00AC0448" w:rsidP="00D72D4C">
            <w:pPr>
              <w:tabs>
                <w:tab w:val="left" w:pos="-30"/>
              </w:tabs>
              <w:spacing w:after="0" w:line="240" w:lineRule="auto"/>
              <w:ind w:left="-120"/>
              <w:rPr>
                <w:rFonts w:ascii="Arial" w:eastAsia="Times New Roman" w:hAnsi="Arial" w:cs="Arial"/>
                <w:b/>
              </w:rPr>
            </w:pPr>
            <w:r w:rsidRPr="001C7B11">
              <w:rPr>
                <w:rFonts w:ascii="Arial" w:eastAsia="Times New Roman" w:hAnsi="Arial" w:cs="Arial"/>
                <w:b/>
              </w:rPr>
              <w:tab/>
            </w:r>
            <w:r w:rsidR="00D93A41" w:rsidRPr="001C7B11">
              <w:rPr>
                <w:rFonts w:ascii="Arial" w:eastAsia="Times New Roman" w:hAnsi="Arial" w:cs="Arial"/>
                <w:b/>
              </w:rPr>
              <w:t>Supply</w:t>
            </w:r>
            <w:r w:rsidR="001C7B11" w:rsidRPr="001C7B11">
              <w:rPr>
                <w:rFonts w:ascii="Arial" w:eastAsia="Times New Roman" w:hAnsi="Arial" w:cs="Arial"/>
                <w:b/>
              </w:rPr>
              <w:t xml:space="preserve"> </w:t>
            </w:r>
            <w:r w:rsidR="00D93A41" w:rsidRPr="001C7B11">
              <w:rPr>
                <w:rFonts w:ascii="Arial" w:eastAsia="Times New Roman" w:hAnsi="Arial" w:cs="Arial"/>
                <w:b/>
              </w:rPr>
              <w:t>/</w:t>
            </w:r>
            <w:r w:rsidR="001C7B11" w:rsidRPr="001C7B11">
              <w:rPr>
                <w:rFonts w:ascii="Arial" w:eastAsia="Times New Roman" w:hAnsi="Arial" w:cs="Arial"/>
                <w:b/>
              </w:rPr>
              <w:t xml:space="preserve"> </w:t>
            </w:r>
            <w:r w:rsidR="00D93A41" w:rsidRPr="001C7B11">
              <w:rPr>
                <w:rFonts w:ascii="Arial" w:eastAsia="Times New Roman" w:hAnsi="Arial" w:cs="Arial"/>
                <w:b/>
              </w:rPr>
              <w:t>Reagent</w:t>
            </w:r>
          </w:p>
        </w:tc>
        <w:tc>
          <w:tcPr>
            <w:tcW w:w="1639" w:type="dxa"/>
            <w:shd w:val="clear" w:color="auto" w:fill="auto"/>
            <w:vAlign w:val="center"/>
          </w:tcPr>
          <w:p w14:paraId="5C8971D5" w14:textId="7C84CD7C" w:rsidR="00AC0448" w:rsidRPr="001C7B11" w:rsidRDefault="00AC0448" w:rsidP="00D72D4C">
            <w:pPr>
              <w:spacing w:after="0" w:line="240" w:lineRule="auto"/>
              <w:rPr>
                <w:rFonts w:ascii="Arial" w:eastAsia="Times New Roman" w:hAnsi="Arial" w:cs="Arial"/>
                <w:b/>
              </w:rPr>
            </w:pPr>
            <w:r w:rsidRPr="001C7B11">
              <w:rPr>
                <w:rFonts w:ascii="Arial" w:eastAsia="Times New Roman" w:hAnsi="Arial" w:cs="Arial"/>
                <w:b/>
              </w:rPr>
              <w:t>Concentrati</w:t>
            </w:r>
            <w:r w:rsidR="00730EB9" w:rsidRPr="001C7B11">
              <w:rPr>
                <w:rFonts w:ascii="Arial" w:eastAsia="Times New Roman" w:hAnsi="Arial" w:cs="Arial"/>
                <w:b/>
              </w:rPr>
              <w:t>o</w:t>
            </w:r>
            <w:r w:rsidRPr="001C7B11">
              <w:rPr>
                <w:rFonts w:ascii="Arial" w:eastAsia="Times New Roman" w:hAnsi="Arial" w:cs="Arial"/>
                <w:b/>
              </w:rPr>
              <w:t>n</w:t>
            </w:r>
          </w:p>
        </w:tc>
        <w:tc>
          <w:tcPr>
            <w:tcW w:w="1832" w:type="dxa"/>
            <w:shd w:val="clear" w:color="auto" w:fill="auto"/>
            <w:vAlign w:val="center"/>
          </w:tcPr>
          <w:p w14:paraId="1FE0EC5F" w14:textId="77777777" w:rsidR="00AC0448" w:rsidRPr="001C7B11" w:rsidRDefault="00AC0448" w:rsidP="00D72D4C">
            <w:pPr>
              <w:spacing w:after="0" w:line="240" w:lineRule="auto"/>
              <w:rPr>
                <w:rFonts w:ascii="Arial" w:eastAsia="Times New Roman" w:hAnsi="Arial" w:cs="Arial"/>
                <w:b/>
              </w:rPr>
            </w:pPr>
            <w:r w:rsidRPr="001C7B11">
              <w:rPr>
                <w:rFonts w:ascii="Arial" w:eastAsia="Times New Roman" w:hAnsi="Arial" w:cs="Arial"/>
                <w:b/>
              </w:rPr>
              <w:t>Manufacturing Step</w:t>
            </w:r>
          </w:p>
        </w:tc>
        <w:tc>
          <w:tcPr>
            <w:tcW w:w="1559" w:type="dxa"/>
            <w:shd w:val="clear" w:color="auto" w:fill="auto"/>
            <w:vAlign w:val="center"/>
          </w:tcPr>
          <w:p w14:paraId="12D8B2E2" w14:textId="58B3F311" w:rsidR="00AC0448" w:rsidRPr="001C7B11" w:rsidRDefault="00AC0448" w:rsidP="00D72D4C">
            <w:pPr>
              <w:spacing w:after="0" w:line="240" w:lineRule="auto"/>
              <w:rPr>
                <w:rFonts w:ascii="Arial" w:eastAsia="Times New Roman" w:hAnsi="Arial" w:cs="Arial"/>
                <w:b/>
              </w:rPr>
            </w:pPr>
            <w:r w:rsidRPr="001C7B11">
              <w:rPr>
                <w:rFonts w:ascii="Arial" w:eastAsia="Times New Roman" w:hAnsi="Arial" w:cs="Arial"/>
                <w:b/>
              </w:rPr>
              <w:t>Preferred Vendor</w:t>
            </w:r>
            <w:r w:rsidR="001C7B11" w:rsidRPr="001C7B11">
              <w:rPr>
                <w:rFonts w:ascii="Arial" w:eastAsia="Times New Roman" w:hAnsi="Arial" w:cs="Arial"/>
                <w:b/>
              </w:rPr>
              <w:t xml:space="preserve"> </w:t>
            </w:r>
            <w:r w:rsidRPr="001C7B11">
              <w:rPr>
                <w:rFonts w:ascii="Arial" w:eastAsia="Times New Roman" w:hAnsi="Arial" w:cs="Arial"/>
                <w:b/>
              </w:rPr>
              <w:t>/Supplier</w:t>
            </w:r>
          </w:p>
        </w:tc>
        <w:tc>
          <w:tcPr>
            <w:tcW w:w="1000" w:type="dxa"/>
            <w:shd w:val="clear" w:color="auto" w:fill="auto"/>
            <w:vAlign w:val="center"/>
          </w:tcPr>
          <w:p w14:paraId="1E534EB0" w14:textId="77777777" w:rsidR="00AC0448" w:rsidRPr="001C7B11" w:rsidRDefault="00AC0448" w:rsidP="00D72D4C">
            <w:pPr>
              <w:spacing w:after="0" w:line="240" w:lineRule="auto"/>
              <w:rPr>
                <w:rFonts w:ascii="Arial" w:eastAsia="Times New Roman" w:hAnsi="Arial" w:cs="Arial"/>
                <w:b/>
              </w:rPr>
            </w:pPr>
            <w:r w:rsidRPr="001C7B11">
              <w:rPr>
                <w:rFonts w:ascii="Arial" w:eastAsia="Times New Roman" w:hAnsi="Arial" w:cs="Arial"/>
                <w:b/>
              </w:rPr>
              <w:t xml:space="preserve">Source (human, porcine, bovine, </w:t>
            </w:r>
          </w:p>
        </w:tc>
        <w:tc>
          <w:tcPr>
            <w:tcW w:w="1621" w:type="dxa"/>
            <w:shd w:val="clear" w:color="auto" w:fill="auto"/>
            <w:vAlign w:val="center"/>
          </w:tcPr>
          <w:p w14:paraId="7CFE6D75" w14:textId="77777777" w:rsidR="00AC0448" w:rsidRPr="001C7B11" w:rsidRDefault="00AC0448" w:rsidP="00D72D4C">
            <w:pPr>
              <w:spacing w:after="0" w:line="240" w:lineRule="auto"/>
              <w:rPr>
                <w:rFonts w:ascii="Arial" w:eastAsia="Times New Roman" w:hAnsi="Arial" w:cs="Arial"/>
                <w:b/>
              </w:rPr>
            </w:pPr>
            <w:r w:rsidRPr="001C7B11">
              <w:rPr>
                <w:rFonts w:ascii="Arial" w:eastAsia="Times New Roman" w:hAnsi="Arial" w:cs="Arial"/>
                <w:b/>
              </w:rPr>
              <w:t>Quality (Clinical, Research, etc.)</w:t>
            </w:r>
          </w:p>
        </w:tc>
      </w:tr>
      <w:tr w:rsidR="00A66B85" w:rsidRPr="00D11C74" w14:paraId="526EF92C" w14:textId="77777777" w:rsidTr="002C2331">
        <w:tc>
          <w:tcPr>
            <w:tcW w:w="2419" w:type="dxa"/>
            <w:shd w:val="clear" w:color="auto" w:fill="auto"/>
            <w:vAlign w:val="center"/>
          </w:tcPr>
          <w:p w14:paraId="4858E932" w14:textId="7000A2FC"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CliniMACS</w:t>
            </w:r>
            <w:r w:rsidR="000F2641" w:rsidRPr="00D72D4C">
              <w:rPr>
                <w:rFonts w:ascii="Arial" w:eastAsia="Times New Roman" w:hAnsi="Arial" w:cs="Arial"/>
              </w:rPr>
              <w:t>™</w:t>
            </w:r>
            <w:r w:rsidRPr="00D72D4C">
              <w:rPr>
                <w:rFonts w:ascii="Arial" w:eastAsia="Times New Roman" w:hAnsi="Arial" w:cs="Arial"/>
              </w:rPr>
              <w:t xml:space="preserve"> PBS/EDTA Buffer</w:t>
            </w:r>
          </w:p>
        </w:tc>
        <w:tc>
          <w:tcPr>
            <w:tcW w:w="1639" w:type="dxa"/>
            <w:shd w:val="clear" w:color="auto" w:fill="auto"/>
            <w:vAlign w:val="center"/>
          </w:tcPr>
          <w:p w14:paraId="15F7059F"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832" w:type="dxa"/>
            <w:shd w:val="clear" w:color="auto" w:fill="auto"/>
            <w:vAlign w:val="center"/>
          </w:tcPr>
          <w:p w14:paraId="409F722A" w14:textId="784B3D53" w:rsidR="00AC0448" w:rsidRPr="00D72D4C" w:rsidRDefault="00126EFF" w:rsidP="00D72D4C">
            <w:pPr>
              <w:spacing w:after="0" w:line="240" w:lineRule="auto"/>
              <w:rPr>
                <w:rFonts w:ascii="Arial" w:eastAsia="Times New Roman" w:hAnsi="Arial" w:cs="Arial"/>
              </w:rPr>
            </w:pPr>
            <w:r>
              <w:rPr>
                <w:rFonts w:ascii="Arial" w:eastAsia="Times New Roman" w:hAnsi="Arial" w:cs="Arial"/>
              </w:rPr>
              <w:t>Washing and depletion</w:t>
            </w:r>
          </w:p>
        </w:tc>
        <w:tc>
          <w:tcPr>
            <w:tcW w:w="1559" w:type="dxa"/>
            <w:shd w:val="clear" w:color="auto" w:fill="auto"/>
            <w:vAlign w:val="center"/>
          </w:tcPr>
          <w:p w14:paraId="3FEB8116"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Miltenyi</w:t>
            </w:r>
          </w:p>
        </w:tc>
        <w:tc>
          <w:tcPr>
            <w:tcW w:w="1000" w:type="dxa"/>
            <w:shd w:val="clear" w:color="auto" w:fill="auto"/>
            <w:vAlign w:val="center"/>
          </w:tcPr>
          <w:p w14:paraId="48C3FBF0"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621" w:type="dxa"/>
            <w:shd w:val="clear" w:color="auto" w:fill="auto"/>
            <w:vAlign w:val="center"/>
          </w:tcPr>
          <w:p w14:paraId="21A502F3" w14:textId="426D4933" w:rsidR="00AC0448" w:rsidRPr="00D72D4C" w:rsidRDefault="001C7B11" w:rsidP="00D72D4C">
            <w:pPr>
              <w:spacing w:after="0" w:line="240" w:lineRule="auto"/>
              <w:rPr>
                <w:rFonts w:ascii="Arial" w:eastAsia="Times New Roman" w:hAnsi="Arial" w:cs="Arial"/>
              </w:rPr>
            </w:pPr>
            <w:r>
              <w:rPr>
                <w:rFonts w:ascii="Arial" w:eastAsia="Times New Roman" w:hAnsi="Arial" w:cs="Arial"/>
              </w:rPr>
              <w:t>LOA provided</w:t>
            </w:r>
          </w:p>
        </w:tc>
      </w:tr>
      <w:tr w:rsidR="0056197A" w:rsidRPr="00D11C74" w14:paraId="79560F55" w14:textId="77777777" w:rsidTr="002C2331">
        <w:tc>
          <w:tcPr>
            <w:tcW w:w="2419" w:type="dxa"/>
            <w:shd w:val="clear" w:color="auto" w:fill="auto"/>
            <w:vAlign w:val="center"/>
          </w:tcPr>
          <w:p w14:paraId="19BAE702" w14:textId="30D89FA9" w:rsidR="0056197A" w:rsidRPr="00D72D4C" w:rsidRDefault="0056197A" w:rsidP="00D72D4C">
            <w:pPr>
              <w:spacing w:after="0" w:line="240" w:lineRule="auto"/>
              <w:rPr>
                <w:rFonts w:ascii="Arial" w:eastAsia="Times New Roman" w:hAnsi="Arial" w:cs="Arial"/>
              </w:rPr>
            </w:pPr>
            <w:r w:rsidRPr="00D72D4C">
              <w:rPr>
                <w:rFonts w:ascii="Arial" w:eastAsia="Times New Roman" w:hAnsi="Arial" w:cs="Arial"/>
              </w:rPr>
              <w:t xml:space="preserve">CliniMACS™ </w:t>
            </w:r>
            <w:r>
              <w:rPr>
                <w:rFonts w:ascii="Arial" w:eastAsia="Times New Roman" w:hAnsi="Arial" w:cs="Arial"/>
              </w:rPr>
              <w:t>Anti-Biotin Reagent</w:t>
            </w:r>
          </w:p>
        </w:tc>
        <w:tc>
          <w:tcPr>
            <w:tcW w:w="1639" w:type="dxa"/>
            <w:shd w:val="clear" w:color="auto" w:fill="auto"/>
            <w:vAlign w:val="bottom"/>
          </w:tcPr>
          <w:p w14:paraId="323CF7DE" w14:textId="7FC7CF4D" w:rsidR="0056197A" w:rsidRPr="00D72D4C" w:rsidRDefault="0056197A" w:rsidP="00D72D4C">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67FDC5B4" w14:textId="7A474665" w:rsidR="0056197A" w:rsidRDefault="0056197A" w:rsidP="00D72D4C">
            <w:pPr>
              <w:spacing w:after="0" w:line="240" w:lineRule="auto"/>
              <w:rPr>
                <w:rFonts w:ascii="Arial" w:eastAsia="Times New Roman" w:hAnsi="Arial" w:cs="Arial"/>
              </w:rPr>
            </w:pPr>
            <w:r>
              <w:rPr>
                <w:rFonts w:ascii="Arial" w:eastAsia="Times New Roman" w:hAnsi="Arial" w:cs="Arial"/>
              </w:rPr>
              <w:t>Depletion</w:t>
            </w:r>
          </w:p>
        </w:tc>
        <w:tc>
          <w:tcPr>
            <w:tcW w:w="1559" w:type="dxa"/>
            <w:shd w:val="clear" w:color="auto" w:fill="auto"/>
            <w:vAlign w:val="bottom"/>
          </w:tcPr>
          <w:p w14:paraId="0D96843A" w14:textId="18C490F7" w:rsidR="0056197A" w:rsidRPr="00D72D4C" w:rsidRDefault="0056197A" w:rsidP="00D72D4C">
            <w:pPr>
              <w:spacing w:after="0" w:line="240" w:lineRule="auto"/>
              <w:rPr>
                <w:rFonts w:ascii="Arial" w:eastAsia="Times New Roman" w:hAnsi="Arial" w:cs="Arial"/>
              </w:rPr>
            </w:pPr>
            <w:r>
              <w:rPr>
                <w:rFonts w:ascii="Arial" w:eastAsia="Times New Roman" w:hAnsi="Arial" w:cs="Arial"/>
              </w:rPr>
              <w:t>Miltenyi</w:t>
            </w:r>
          </w:p>
        </w:tc>
        <w:tc>
          <w:tcPr>
            <w:tcW w:w="1000" w:type="dxa"/>
            <w:shd w:val="clear" w:color="auto" w:fill="auto"/>
            <w:vAlign w:val="bottom"/>
          </w:tcPr>
          <w:p w14:paraId="625B65E2" w14:textId="10B7A590" w:rsidR="0056197A" w:rsidRPr="00D72D4C" w:rsidRDefault="0056197A" w:rsidP="00D72D4C">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67606D82" w14:textId="498329A6" w:rsidR="0056197A" w:rsidRDefault="0056197A" w:rsidP="00D72D4C">
            <w:pPr>
              <w:spacing w:after="0" w:line="240" w:lineRule="auto"/>
              <w:rPr>
                <w:rFonts w:ascii="Arial" w:eastAsia="Times New Roman" w:hAnsi="Arial" w:cs="Arial"/>
              </w:rPr>
            </w:pPr>
            <w:r>
              <w:rPr>
                <w:rFonts w:ascii="Arial" w:eastAsia="Times New Roman" w:hAnsi="Arial" w:cs="Arial"/>
              </w:rPr>
              <w:t>LOA provided</w:t>
            </w:r>
          </w:p>
        </w:tc>
      </w:tr>
      <w:tr w:rsidR="00A66B85" w:rsidRPr="00D11C74" w14:paraId="606BC9F1" w14:textId="77777777" w:rsidTr="002C2331">
        <w:tc>
          <w:tcPr>
            <w:tcW w:w="2419" w:type="dxa"/>
            <w:shd w:val="clear" w:color="auto" w:fill="auto"/>
            <w:vAlign w:val="center"/>
          </w:tcPr>
          <w:p w14:paraId="0659DF1C" w14:textId="39C66D98"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CliniMACS</w:t>
            </w:r>
            <w:r w:rsidR="000F2641" w:rsidRPr="00D72D4C">
              <w:rPr>
                <w:rFonts w:ascii="Arial" w:eastAsia="Times New Roman" w:hAnsi="Arial" w:cs="Arial"/>
              </w:rPr>
              <w:t>™</w:t>
            </w:r>
            <w:r w:rsidRPr="00D72D4C">
              <w:rPr>
                <w:rFonts w:ascii="Arial" w:eastAsia="Times New Roman" w:hAnsi="Arial" w:cs="Arial"/>
              </w:rPr>
              <w:t xml:space="preserve"> </w:t>
            </w:r>
            <w:r w:rsidR="00126EFF">
              <w:rPr>
                <w:rFonts w:ascii="Arial" w:eastAsia="Times New Roman" w:hAnsi="Arial" w:cs="Arial"/>
              </w:rPr>
              <w:t xml:space="preserve">TCR </w:t>
            </w:r>
            <w:r w:rsidR="00126EFF" w:rsidRPr="00126EFF">
              <w:rPr>
                <w:rFonts w:ascii="Symbol" w:eastAsia="Times New Roman" w:hAnsi="Symbol" w:cs="Arial"/>
              </w:rPr>
              <w:t>a/b</w:t>
            </w:r>
            <w:r w:rsidR="00126EFF">
              <w:rPr>
                <w:rFonts w:ascii="Arial" w:eastAsia="Times New Roman" w:hAnsi="Arial" w:cs="Arial"/>
              </w:rPr>
              <w:t xml:space="preserve"> Reagent Kit</w:t>
            </w:r>
          </w:p>
        </w:tc>
        <w:tc>
          <w:tcPr>
            <w:tcW w:w="1639" w:type="dxa"/>
            <w:shd w:val="clear" w:color="auto" w:fill="auto"/>
            <w:vAlign w:val="bottom"/>
          </w:tcPr>
          <w:p w14:paraId="40D0EBA5"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832" w:type="dxa"/>
            <w:shd w:val="clear" w:color="auto" w:fill="auto"/>
            <w:vAlign w:val="bottom"/>
          </w:tcPr>
          <w:p w14:paraId="29ECF4CE" w14:textId="40644B94" w:rsidR="00AC0448" w:rsidRPr="00D72D4C" w:rsidRDefault="00126EFF" w:rsidP="00D72D4C">
            <w:pPr>
              <w:spacing w:after="0" w:line="240" w:lineRule="auto"/>
              <w:rPr>
                <w:rFonts w:ascii="Arial" w:eastAsia="Times New Roman" w:hAnsi="Arial" w:cs="Arial"/>
              </w:rPr>
            </w:pPr>
            <w:r>
              <w:rPr>
                <w:rFonts w:ascii="Arial" w:eastAsia="Times New Roman" w:hAnsi="Arial" w:cs="Arial"/>
              </w:rPr>
              <w:t>Depletion</w:t>
            </w:r>
          </w:p>
        </w:tc>
        <w:tc>
          <w:tcPr>
            <w:tcW w:w="1559" w:type="dxa"/>
            <w:shd w:val="clear" w:color="auto" w:fill="auto"/>
            <w:vAlign w:val="bottom"/>
          </w:tcPr>
          <w:p w14:paraId="027850D7"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Miltenyi</w:t>
            </w:r>
          </w:p>
        </w:tc>
        <w:tc>
          <w:tcPr>
            <w:tcW w:w="1000" w:type="dxa"/>
            <w:shd w:val="clear" w:color="auto" w:fill="auto"/>
            <w:vAlign w:val="bottom"/>
          </w:tcPr>
          <w:p w14:paraId="5CC1FEF4"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621" w:type="dxa"/>
            <w:shd w:val="clear" w:color="auto" w:fill="auto"/>
            <w:vAlign w:val="bottom"/>
          </w:tcPr>
          <w:p w14:paraId="195EAEFC" w14:textId="05325425" w:rsidR="00AC0448" w:rsidRPr="00D72D4C" w:rsidRDefault="002C4342" w:rsidP="00D72D4C">
            <w:pPr>
              <w:spacing w:after="0" w:line="240" w:lineRule="auto"/>
              <w:rPr>
                <w:rFonts w:ascii="Arial" w:eastAsia="Times New Roman" w:hAnsi="Arial" w:cs="Arial"/>
              </w:rPr>
            </w:pPr>
            <w:r>
              <w:rPr>
                <w:rFonts w:ascii="Arial" w:eastAsia="Times New Roman" w:hAnsi="Arial" w:cs="Arial"/>
              </w:rPr>
              <w:t>LOA provided</w:t>
            </w:r>
          </w:p>
        </w:tc>
      </w:tr>
      <w:tr w:rsidR="00A66B85" w:rsidRPr="00D11C74" w14:paraId="23CCF54B" w14:textId="77777777" w:rsidTr="002C2331">
        <w:tc>
          <w:tcPr>
            <w:tcW w:w="2419" w:type="dxa"/>
            <w:shd w:val="clear" w:color="auto" w:fill="auto"/>
            <w:vAlign w:val="center"/>
          </w:tcPr>
          <w:p w14:paraId="222F1EEF" w14:textId="5706A105" w:rsidR="00AC0448" w:rsidRPr="00D72D4C" w:rsidRDefault="00126EFF" w:rsidP="00D72D4C">
            <w:pPr>
              <w:spacing w:after="0" w:line="240" w:lineRule="auto"/>
              <w:rPr>
                <w:rFonts w:ascii="Arial" w:eastAsia="Times New Roman" w:hAnsi="Arial" w:cs="Arial"/>
              </w:rPr>
            </w:pPr>
            <w:r w:rsidRPr="00D72D4C">
              <w:rPr>
                <w:rFonts w:ascii="Arial" w:eastAsia="Times New Roman" w:hAnsi="Arial" w:cs="Arial"/>
              </w:rPr>
              <w:t xml:space="preserve">CliniMACS™ </w:t>
            </w:r>
            <w:r>
              <w:rPr>
                <w:rFonts w:ascii="Arial" w:eastAsia="Times New Roman" w:hAnsi="Arial" w:cs="Arial"/>
              </w:rPr>
              <w:t>CD19  Reagent</w:t>
            </w:r>
          </w:p>
        </w:tc>
        <w:tc>
          <w:tcPr>
            <w:tcW w:w="1639" w:type="dxa"/>
            <w:shd w:val="clear" w:color="auto" w:fill="auto"/>
            <w:vAlign w:val="center"/>
          </w:tcPr>
          <w:p w14:paraId="04C27E62"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832" w:type="dxa"/>
            <w:shd w:val="clear" w:color="auto" w:fill="auto"/>
            <w:vAlign w:val="center"/>
          </w:tcPr>
          <w:p w14:paraId="34773AFC" w14:textId="0813B239" w:rsidR="00AC0448" w:rsidRPr="00D72D4C" w:rsidRDefault="00126EFF" w:rsidP="00D72D4C">
            <w:pPr>
              <w:spacing w:after="0" w:line="240" w:lineRule="auto"/>
              <w:rPr>
                <w:rFonts w:ascii="Arial" w:eastAsia="Times New Roman" w:hAnsi="Arial" w:cs="Arial"/>
              </w:rPr>
            </w:pPr>
            <w:r>
              <w:rPr>
                <w:rFonts w:ascii="Arial" w:eastAsia="Times New Roman" w:hAnsi="Arial" w:cs="Arial"/>
              </w:rPr>
              <w:t>Depletion</w:t>
            </w:r>
          </w:p>
        </w:tc>
        <w:tc>
          <w:tcPr>
            <w:tcW w:w="1559" w:type="dxa"/>
            <w:shd w:val="clear" w:color="auto" w:fill="auto"/>
            <w:vAlign w:val="center"/>
          </w:tcPr>
          <w:p w14:paraId="5D1EB707"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Miltenyi</w:t>
            </w:r>
          </w:p>
        </w:tc>
        <w:tc>
          <w:tcPr>
            <w:tcW w:w="1000" w:type="dxa"/>
            <w:shd w:val="clear" w:color="auto" w:fill="auto"/>
            <w:vAlign w:val="center"/>
          </w:tcPr>
          <w:p w14:paraId="7E606D71"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621" w:type="dxa"/>
            <w:shd w:val="clear" w:color="auto" w:fill="auto"/>
            <w:vAlign w:val="center"/>
          </w:tcPr>
          <w:p w14:paraId="54538973" w14:textId="3DD8B6C0" w:rsidR="00AC0448" w:rsidRPr="00D72D4C" w:rsidRDefault="00126EFF" w:rsidP="00D72D4C">
            <w:pPr>
              <w:spacing w:after="0" w:line="240" w:lineRule="auto"/>
              <w:rPr>
                <w:rFonts w:ascii="Arial" w:eastAsia="Times New Roman" w:hAnsi="Arial" w:cs="Arial"/>
              </w:rPr>
            </w:pPr>
            <w:r>
              <w:rPr>
                <w:rFonts w:ascii="Arial" w:eastAsia="Times New Roman" w:hAnsi="Arial" w:cs="Arial"/>
              </w:rPr>
              <w:t>LOA provided</w:t>
            </w:r>
          </w:p>
        </w:tc>
      </w:tr>
      <w:tr w:rsidR="00A66B85" w:rsidRPr="00D11C74" w14:paraId="000716BD" w14:textId="77777777" w:rsidTr="002C2331">
        <w:tc>
          <w:tcPr>
            <w:tcW w:w="2419" w:type="dxa"/>
            <w:shd w:val="clear" w:color="auto" w:fill="auto"/>
            <w:vAlign w:val="center"/>
          </w:tcPr>
          <w:p w14:paraId="08EB0309" w14:textId="183BED01" w:rsidR="00AC0448" w:rsidRPr="00D72D4C" w:rsidRDefault="002C4342" w:rsidP="00D72D4C">
            <w:pPr>
              <w:spacing w:after="0" w:line="240" w:lineRule="auto"/>
              <w:rPr>
                <w:rFonts w:ascii="Arial" w:eastAsia="Times New Roman" w:hAnsi="Arial" w:cs="Arial"/>
              </w:rPr>
            </w:pPr>
            <w:r>
              <w:rPr>
                <w:rFonts w:ascii="Arial" w:eastAsia="Times New Roman" w:hAnsi="Arial" w:cs="Arial"/>
              </w:rPr>
              <w:t xml:space="preserve">CliniMACS™ </w:t>
            </w:r>
            <w:r w:rsidR="00126EFF">
              <w:rPr>
                <w:rFonts w:ascii="Arial" w:eastAsia="Times New Roman" w:hAnsi="Arial" w:cs="Arial"/>
              </w:rPr>
              <w:t>Depletion</w:t>
            </w:r>
            <w:r>
              <w:rPr>
                <w:rFonts w:ascii="Arial" w:eastAsia="Times New Roman" w:hAnsi="Arial" w:cs="Arial"/>
              </w:rPr>
              <w:t xml:space="preserve">Tubing Set </w:t>
            </w:r>
          </w:p>
        </w:tc>
        <w:tc>
          <w:tcPr>
            <w:tcW w:w="1639" w:type="dxa"/>
            <w:shd w:val="clear" w:color="auto" w:fill="auto"/>
            <w:vAlign w:val="center"/>
          </w:tcPr>
          <w:p w14:paraId="3AE01A01"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832" w:type="dxa"/>
            <w:shd w:val="clear" w:color="auto" w:fill="auto"/>
            <w:vAlign w:val="center"/>
          </w:tcPr>
          <w:p w14:paraId="425278DF" w14:textId="46B689D2" w:rsidR="00AC0448" w:rsidRPr="00D72D4C" w:rsidRDefault="00126EFF" w:rsidP="00D72D4C">
            <w:pPr>
              <w:spacing w:after="0" w:line="240" w:lineRule="auto"/>
              <w:rPr>
                <w:rFonts w:ascii="Arial" w:eastAsia="Times New Roman" w:hAnsi="Arial" w:cs="Arial"/>
              </w:rPr>
            </w:pPr>
            <w:r>
              <w:rPr>
                <w:rFonts w:ascii="Arial" w:eastAsia="Times New Roman" w:hAnsi="Arial" w:cs="Arial"/>
              </w:rPr>
              <w:t>Depletion</w:t>
            </w:r>
          </w:p>
        </w:tc>
        <w:tc>
          <w:tcPr>
            <w:tcW w:w="1559" w:type="dxa"/>
            <w:shd w:val="clear" w:color="auto" w:fill="auto"/>
            <w:vAlign w:val="center"/>
          </w:tcPr>
          <w:p w14:paraId="70F3DB0D" w14:textId="0CBF4D02" w:rsidR="00AC0448" w:rsidRPr="00D72D4C" w:rsidRDefault="002C4342" w:rsidP="00D72D4C">
            <w:pPr>
              <w:spacing w:after="0" w:line="240" w:lineRule="auto"/>
              <w:rPr>
                <w:rFonts w:ascii="Arial" w:eastAsia="Times New Roman" w:hAnsi="Arial" w:cs="Arial"/>
              </w:rPr>
            </w:pPr>
            <w:r>
              <w:rPr>
                <w:rFonts w:ascii="Arial" w:eastAsia="Times New Roman" w:hAnsi="Arial" w:cs="Arial"/>
              </w:rPr>
              <w:t>Miltenyi</w:t>
            </w:r>
          </w:p>
        </w:tc>
        <w:tc>
          <w:tcPr>
            <w:tcW w:w="1000" w:type="dxa"/>
            <w:shd w:val="clear" w:color="auto" w:fill="auto"/>
            <w:vAlign w:val="center"/>
          </w:tcPr>
          <w:p w14:paraId="56276BF8" w14:textId="77777777" w:rsidR="00AC0448" w:rsidRPr="00D72D4C" w:rsidRDefault="00AC0448" w:rsidP="00D72D4C">
            <w:pPr>
              <w:spacing w:after="0" w:line="240" w:lineRule="auto"/>
              <w:rPr>
                <w:rFonts w:ascii="Arial" w:eastAsia="Times New Roman" w:hAnsi="Arial" w:cs="Arial"/>
              </w:rPr>
            </w:pPr>
            <w:r w:rsidRPr="00D72D4C">
              <w:rPr>
                <w:rFonts w:ascii="Arial" w:eastAsia="Times New Roman" w:hAnsi="Arial" w:cs="Arial"/>
              </w:rPr>
              <w:t>N/A</w:t>
            </w:r>
          </w:p>
        </w:tc>
        <w:tc>
          <w:tcPr>
            <w:tcW w:w="1621" w:type="dxa"/>
            <w:shd w:val="clear" w:color="auto" w:fill="auto"/>
            <w:vAlign w:val="center"/>
          </w:tcPr>
          <w:p w14:paraId="4165F8D0" w14:textId="2D8C7CB9" w:rsidR="00AC0448" w:rsidRPr="00D72D4C" w:rsidRDefault="002C4342" w:rsidP="00D72D4C">
            <w:pPr>
              <w:spacing w:after="0" w:line="240" w:lineRule="auto"/>
              <w:rPr>
                <w:rFonts w:ascii="Arial" w:eastAsia="Times New Roman" w:hAnsi="Arial" w:cs="Arial"/>
              </w:rPr>
            </w:pPr>
            <w:r>
              <w:rPr>
                <w:rFonts w:ascii="Arial" w:eastAsia="Times New Roman" w:hAnsi="Arial" w:cs="Arial"/>
              </w:rPr>
              <w:t>LOA provided</w:t>
            </w:r>
          </w:p>
        </w:tc>
      </w:tr>
      <w:tr w:rsidR="00A66B85" w:rsidRPr="00D11C74" w14:paraId="5CFE5F01" w14:textId="77777777" w:rsidTr="002C2331">
        <w:tc>
          <w:tcPr>
            <w:tcW w:w="2419" w:type="dxa"/>
            <w:shd w:val="clear" w:color="auto" w:fill="auto"/>
            <w:vAlign w:val="center"/>
          </w:tcPr>
          <w:p w14:paraId="2AFFF59A" w14:textId="1A49D76D" w:rsidR="00AC0448" w:rsidRPr="00D72D4C" w:rsidRDefault="00B36EDF" w:rsidP="00D72D4C">
            <w:pPr>
              <w:spacing w:after="0" w:line="240" w:lineRule="auto"/>
              <w:rPr>
                <w:rFonts w:ascii="Arial" w:eastAsia="Times New Roman" w:hAnsi="Arial" w:cs="Arial"/>
              </w:rPr>
            </w:pPr>
            <w:r>
              <w:rPr>
                <w:rFonts w:ascii="Arial" w:eastAsia="Times New Roman" w:hAnsi="Arial" w:cs="Arial"/>
              </w:rPr>
              <w:t>Blood Transfusion Filter</w:t>
            </w:r>
          </w:p>
        </w:tc>
        <w:tc>
          <w:tcPr>
            <w:tcW w:w="1639" w:type="dxa"/>
            <w:shd w:val="clear" w:color="auto" w:fill="auto"/>
            <w:vAlign w:val="bottom"/>
          </w:tcPr>
          <w:p w14:paraId="387DDD7A" w14:textId="532990A1" w:rsidR="00AC0448" w:rsidRPr="00D72D4C" w:rsidRDefault="002C4342" w:rsidP="00D72D4C">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4FA67234" w14:textId="744504E1" w:rsidR="00AC0448" w:rsidRPr="00D72D4C" w:rsidRDefault="00B36EDF" w:rsidP="00D72D4C">
            <w:pPr>
              <w:spacing w:after="0" w:line="240" w:lineRule="auto"/>
              <w:rPr>
                <w:rFonts w:ascii="Arial" w:eastAsia="Times New Roman" w:hAnsi="Arial" w:cs="Arial"/>
              </w:rPr>
            </w:pPr>
            <w:r>
              <w:rPr>
                <w:rFonts w:ascii="Arial" w:eastAsia="Times New Roman" w:hAnsi="Arial" w:cs="Arial"/>
              </w:rPr>
              <w:t>Depletion</w:t>
            </w:r>
          </w:p>
        </w:tc>
        <w:tc>
          <w:tcPr>
            <w:tcW w:w="1559" w:type="dxa"/>
            <w:shd w:val="clear" w:color="auto" w:fill="auto"/>
            <w:vAlign w:val="bottom"/>
          </w:tcPr>
          <w:p w14:paraId="3F780969" w14:textId="79139A1E" w:rsidR="00AC0448" w:rsidRPr="00D72D4C" w:rsidRDefault="00B36EDF" w:rsidP="00D72D4C">
            <w:pPr>
              <w:spacing w:after="0" w:line="240" w:lineRule="auto"/>
              <w:rPr>
                <w:rFonts w:ascii="Arial" w:eastAsia="Times New Roman" w:hAnsi="Arial" w:cs="Arial"/>
              </w:rPr>
            </w:pPr>
            <w:r>
              <w:rPr>
                <w:rFonts w:ascii="Arial" w:eastAsia="Times New Roman" w:hAnsi="Arial" w:cs="Arial"/>
              </w:rPr>
              <w:t>Pall</w:t>
            </w:r>
          </w:p>
        </w:tc>
        <w:tc>
          <w:tcPr>
            <w:tcW w:w="1000" w:type="dxa"/>
            <w:shd w:val="clear" w:color="auto" w:fill="auto"/>
            <w:vAlign w:val="bottom"/>
          </w:tcPr>
          <w:p w14:paraId="7B0DD6C9" w14:textId="7A9DFAA5" w:rsidR="00AC0448" w:rsidRPr="00D72D4C" w:rsidRDefault="002C4342" w:rsidP="00D72D4C">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5CF5CE76" w14:textId="33ED2956" w:rsidR="00AC0448" w:rsidRPr="00D72D4C" w:rsidRDefault="00B36EDF" w:rsidP="00D72D4C">
            <w:pPr>
              <w:spacing w:after="0" w:line="240" w:lineRule="auto"/>
              <w:rPr>
                <w:rFonts w:ascii="Arial" w:eastAsia="Times New Roman" w:hAnsi="Arial" w:cs="Arial"/>
              </w:rPr>
            </w:pPr>
            <w:r>
              <w:rPr>
                <w:rFonts w:ascii="Arial" w:eastAsia="Times New Roman" w:hAnsi="Arial" w:cs="Arial"/>
              </w:rPr>
              <w:t>Clinical</w:t>
            </w:r>
          </w:p>
        </w:tc>
      </w:tr>
      <w:tr w:rsidR="001C7B11" w:rsidRPr="00D11C74" w14:paraId="6749E884" w14:textId="77777777" w:rsidTr="002C2331">
        <w:tc>
          <w:tcPr>
            <w:tcW w:w="2419" w:type="dxa"/>
            <w:shd w:val="clear" w:color="auto" w:fill="auto"/>
            <w:vAlign w:val="center"/>
          </w:tcPr>
          <w:p w14:paraId="643926FA" w14:textId="301A984C" w:rsidR="001C7B11" w:rsidRDefault="001C7B11" w:rsidP="00D72D4C">
            <w:pPr>
              <w:spacing w:after="0" w:line="240" w:lineRule="auto"/>
              <w:rPr>
                <w:rFonts w:ascii="Arial" w:eastAsia="Times New Roman" w:hAnsi="Arial" w:cs="Arial"/>
              </w:rPr>
            </w:pPr>
            <w:r>
              <w:rPr>
                <w:rFonts w:ascii="Arial" w:eastAsia="Times New Roman" w:hAnsi="Arial" w:cs="Arial"/>
              </w:rPr>
              <w:t>Immune Globulin</w:t>
            </w:r>
          </w:p>
        </w:tc>
        <w:tc>
          <w:tcPr>
            <w:tcW w:w="1639" w:type="dxa"/>
            <w:shd w:val="clear" w:color="auto" w:fill="auto"/>
            <w:vAlign w:val="center"/>
          </w:tcPr>
          <w:p w14:paraId="7F993F2D" w14:textId="323D6311" w:rsidR="001C7B11" w:rsidRDefault="001C7B11" w:rsidP="00D72D4C">
            <w:pPr>
              <w:spacing w:after="0" w:line="240" w:lineRule="auto"/>
              <w:rPr>
                <w:rFonts w:ascii="Arial" w:eastAsia="Times New Roman" w:hAnsi="Arial" w:cs="Arial"/>
              </w:rPr>
            </w:pPr>
            <w:r>
              <w:rPr>
                <w:rFonts w:ascii="Arial" w:eastAsia="Times New Roman" w:hAnsi="Arial" w:cs="Arial"/>
              </w:rPr>
              <w:t>10%</w:t>
            </w:r>
          </w:p>
        </w:tc>
        <w:tc>
          <w:tcPr>
            <w:tcW w:w="1832" w:type="dxa"/>
            <w:shd w:val="clear" w:color="auto" w:fill="auto"/>
            <w:vAlign w:val="center"/>
          </w:tcPr>
          <w:p w14:paraId="35199E67" w14:textId="5AA24575" w:rsidR="001C7B11" w:rsidRDefault="001C7B11" w:rsidP="00D72D4C">
            <w:pPr>
              <w:spacing w:after="0" w:line="240" w:lineRule="auto"/>
              <w:rPr>
                <w:rFonts w:ascii="Arial" w:eastAsia="Times New Roman" w:hAnsi="Arial" w:cs="Arial"/>
              </w:rPr>
            </w:pPr>
            <w:r>
              <w:rPr>
                <w:rFonts w:ascii="Arial" w:eastAsia="Times New Roman" w:hAnsi="Arial" w:cs="Arial"/>
              </w:rPr>
              <w:t xml:space="preserve">Depletion </w:t>
            </w:r>
          </w:p>
        </w:tc>
        <w:tc>
          <w:tcPr>
            <w:tcW w:w="1559" w:type="dxa"/>
            <w:shd w:val="clear" w:color="auto" w:fill="auto"/>
            <w:vAlign w:val="bottom"/>
          </w:tcPr>
          <w:p w14:paraId="32DEB567" w14:textId="21881A87" w:rsidR="001C7B11" w:rsidRPr="00D72D4C" w:rsidRDefault="001C7B11" w:rsidP="00D72D4C">
            <w:pPr>
              <w:spacing w:after="0" w:line="240" w:lineRule="auto"/>
              <w:rPr>
                <w:rFonts w:ascii="Arial" w:eastAsia="Times New Roman" w:hAnsi="Arial" w:cs="Arial"/>
              </w:rPr>
            </w:pPr>
            <w:r>
              <w:rPr>
                <w:rFonts w:ascii="Arial" w:eastAsia="Times New Roman" w:hAnsi="Arial" w:cs="Arial"/>
              </w:rPr>
              <w:t>Takeda</w:t>
            </w:r>
          </w:p>
        </w:tc>
        <w:tc>
          <w:tcPr>
            <w:tcW w:w="1000" w:type="dxa"/>
            <w:shd w:val="clear" w:color="auto" w:fill="auto"/>
            <w:vAlign w:val="bottom"/>
          </w:tcPr>
          <w:p w14:paraId="24E1FE0C" w14:textId="1BADB7A7" w:rsidR="001C7B11" w:rsidRDefault="001C7B11" w:rsidP="00D72D4C">
            <w:pPr>
              <w:spacing w:after="0" w:line="240" w:lineRule="auto"/>
              <w:rPr>
                <w:rFonts w:ascii="Arial" w:eastAsia="Times New Roman" w:hAnsi="Arial" w:cs="Arial"/>
              </w:rPr>
            </w:pPr>
            <w:r>
              <w:rPr>
                <w:rFonts w:ascii="Arial" w:eastAsia="Times New Roman" w:hAnsi="Arial" w:cs="Arial"/>
              </w:rPr>
              <w:t>Human</w:t>
            </w:r>
          </w:p>
        </w:tc>
        <w:tc>
          <w:tcPr>
            <w:tcW w:w="1621" w:type="dxa"/>
            <w:shd w:val="clear" w:color="auto" w:fill="auto"/>
            <w:vAlign w:val="bottom"/>
          </w:tcPr>
          <w:p w14:paraId="0CDBCCBB" w14:textId="1E0770DB" w:rsidR="001C7B11" w:rsidRDefault="001C7B11" w:rsidP="00D72D4C">
            <w:pPr>
              <w:spacing w:after="0" w:line="240" w:lineRule="auto"/>
              <w:rPr>
                <w:rFonts w:ascii="Arial" w:eastAsia="Times New Roman" w:hAnsi="Arial" w:cs="Arial"/>
              </w:rPr>
            </w:pPr>
            <w:r>
              <w:rPr>
                <w:rFonts w:ascii="Arial" w:eastAsia="Times New Roman" w:hAnsi="Arial" w:cs="Arial"/>
              </w:rPr>
              <w:t>Clinical, USP</w:t>
            </w:r>
          </w:p>
        </w:tc>
      </w:tr>
      <w:tr w:rsidR="00A66B85" w:rsidRPr="00D11C74" w14:paraId="2C248233" w14:textId="77777777" w:rsidTr="002C2331">
        <w:tc>
          <w:tcPr>
            <w:tcW w:w="2419" w:type="dxa"/>
            <w:shd w:val="clear" w:color="auto" w:fill="auto"/>
            <w:vAlign w:val="center"/>
          </w:tcPr>
          <w:p w14:paraId="4699F3A6" w14:textId="67C5A2FE" w:rsidR="00AC0448" w:rsidRPr="00D72D4C" w:rsidRDefault="002C4342" w:rsidP="00D72D4C">
            <w:pPr>
              <w:spacing w:after="0" w:line="240" w:lineRule="auto"/>
              <w:rPr>
                <w:rFonts w:ascii="Arial" w:eastAsia="Times New Roman" w:hAnsi="Arial" w:cs="Arial"/>
              </w:rPr>
            </w:pPr>
            <w:r>
              <w:rPr>
                <w:rFonts w:ascii="Arial" w:eastAsia="Times New Roman" w:hAnsi="Arial" w:cs="Arial"/>
              </w:rPr>
              <w:t>Human Serum Albumin</w:t>
            </w:r>
          </w:p>
        </w:tc>
        <w:tc>
          <w:tcPr>
            <w:tcW w:w="1639" w:type="dxa"/>
            <w:shd w:val="clear" w:color="auto" w:fill="auto"/>
            <w:vAlign w:val="center"/>
          </w:tcPr>
          <w:p w14:paraId="6BB529E7" w14:textId="6CA8299B" w:rsidR="00AC0448" w:rsidRDefault="00FF626C" w:rsidP="00D72D4C">
            <w:pPr>
              <w:spacing w:after="0" w:line="240" w:lineRule="auto"/>
              <w:rPr>
                <w:rFonts w:ascii="Arial" w:eastAsia="Times New Roman" w:hAnsi="Arial" w:cs="Arial"/>
              </w:rPr>
            </w:pPr>
            <w:r>
              <w:rPr>
                <w:rFonts w:ascii="Arial" w:eastAsia="Times New Roman" w:hAnsi="Arial" w:cs="Arial"/>
              </w:rPr>
              <w:t>5%</w:t>
            </w:r>
          </w:p>
          <w:p w14:paraId="1B251454" w14:textId="6F4F9667" w:rsidR="00FF626C" w:rsidRPr="00D72D4C" w:rsidRDefault="00FF626C" w:rsidP="00D72D4C">
            <w:pPr>
              <w:spacing w:after="0" w:line="240" w:lineRule="auto"/>
              <w:rPr>
                <w:rFonts w:ascii="Arial" w:eastAsia="Times New Roman" w:hAnsi="Arial" w:cs="Arial"/>
              </w:rPr>
            </w:pPr>
          </w:p>
        </w:tc>
        <w:tc>
          <w:tcPr>
            <w:tcW w:w="1832" w:type="dxa"/>
            <w:shd w:val="clear" w:color="auto" w:fill="auto"/>
            <w:vAlign w:val="center"/>
          </w:tcPr>
          <w:p w14:paraId="78899901" w14:textId="7BB8692F" w:rsidR="00AC0448" w:rsidRPr="00D72D4C" w:rsidRDefault="001C7B11" w:rsidP="00D72D4C">
            <w:pPr>
              <w:spacing w:after="0" w:line="240" w:lineRule="auto"/>
              <w:rPr>
                <w:rFonts w:ascii="Arial" w:eastAsia="Times New Roman" w:hAnsi="Arial" w:cs="Arial"/>
              </w:rPr>
            </w:pPr>
            <w:r>
              <w:rPr>
                <w:rFonts w:ascii="Arial" w:eastAsia="Times New Roman" w:hAnsi="Arial" w:cs="Arial"/>
              </w:rPr>
              <w:t>Wash, depletion, cryopreservation, infusion</w:t>
            </w:r>
          </w:p>
        </w:tc>
        <w:tc>
          <w:tcPr>
            <w:tcW w:w="1559" w:type="dxa"/>
            <w:shd w:val="clear" w:color="auto" w:fill="auto"/>
            <w:vAlign w:val="bottom"/>
          </w:tcPr>
          <w:p w14:paraId="51BFA7EF" w14:textId="1E655D95" w:rsidR="00AC0448" w:rsidRPr="00D72D4C" w:rsidRDefault="001C7B11" w:rsidP="00D72D4C">
            <w:pPr>
              <w:spacing w:after="0" w:line="240" w:lineRule="auto"/>
              <w:rPr>
                <w:rFonts w:ascii="Arial" w:eastAsia="Times New Roman" w:hAnsi="Arial" w:cs="Arial"/>
              </w:rPr>
            </w:pPr>
            <w:r>
              <w:rPr>
                <w:rFonts w:ascii="Arial" w:eastAsia="Times New Roman" w:hAnsi="Arial" w:cs="Arial"/>
              </w:rPr>
              <w:t>Grifols</w:t>
            </w:r>
          </w:p>
        </w:tc>
        <w:tc>
          <w:tcPr>
            <w:tcW w:w="1000" w:type="dxa"/>
            <w:shd w:val="clear" w:color="auto" w:fill="auto"/>
            <w:vAlign w:val="bottom"/>
          </w:tcPr>
          <w:p w14:paraId="409A5D4E" w14:textId="59BE6614" w:rsidR="00AC0448" w:rsidRPr="00D72D4C" w:rsidRDefault="00FF626C" w:rsidP="00D72D4C">
            <w:pPr>
              <w:spacing w:after="0" w:line="240" w:lineRule="auto"/>
              <w:rPr>
                <w:rFonts w:ascii="Arial" w:eastAsia="Times New Roman" w:hAnsi="Arial" w:cs="Arial"/>
              </w:rPr>
            </w:pPr>
            <w:r>
              <w:rPr>
                <w:rFonts w:ascii="Arial" w:eastAsia="Times New Roman" w:hAnsi="Arial" w:cs="Arial"/>
              </w:rPr>
              <w:t>Human</w:t>
            </w:r>
          </w:p>
        </w:tc>
        <w:tc>
          <w:tcPr>
            <w:tcW w:w="1621" w:type="dxa"/>
            <w:shd w:val="clear" w:color="auto" w:fill="auto"/>
            <w:vAlign w:val="bottom"/>
          </w:tcPr>
          <w:p w14:paraId="7CFA5F3C" w14:textId="728289BC" w:rsidR="00AC0448" w:rsidRPr="00D72D4C" w:rsidRDefault="009A7D6F" w:rsidP="00D72D4C">
            <w:pPr>
              <w:spacing w:after="0" w:line="240" w:lineRule="auto"/>
              <w:rPr>
                <w:rFonts w:ascii="Arial" w:eastAsia="Times New Roman" w:hAnsi="Arial" w:cs="Arial"/>
              </w:rPr>
            </w:pPr>
            <w:r>
              <w:rPr>
                <w:rFonts w:ascii="Arial" w:eastAsia="Times New Roman" w:hAnsi="Arial" w:cs="Arial"/>
              </w:rPr>
              <w:t xml:space="preserve">Clinical, </w:t>
            </w:r>
            <w:r w:rsidR="00AC0448" w:rsidRPr="00D72D4C">
              <w:rPr>
                <w:rFonts w:ascii="Arial" w:eastAsia="Times New Roman" w:hAnsi="Arial" w:cs="Arial"/>
              </w:rPr>
              <w:t>USP</w:t>
            </w:r>
          </w:p>
        </w:tc>
      </w:tr>
      <w:tr w:rsidR="001C7B11" w:rsidRPr="00D11C74" w14:paraId="779DB090" w14:textId="77777777" w:rsidTr="002C2331">
        <w:tc>
          <w:tcPr>
            <w:tcW w:w="2419" w:type="dxa"/>
            <w:shd w:val="clear" w:color="auto" w:fill="auto"/>
            <w:vAlign w:val="center"/>
          </w:tcPr>
          <w:p w14:paraId="30F39BDD" w14:textId="5D50200D" w:rsidR="001C7B11" w:rsidRDefault="001C7B11" w:rsidP="00D72D4C">
            <w:pPr>
              <w:spacing w:after="0" w:line="240" w:lineRule="auto"/>
              <w:rPr>
                <w:rFonts w:ascii="Arial" w:eastAsia="Times New Roman" w:hAnsi="Arial" w:cs="Arial"/>
              </w:rPr>
            </w:pPr>
            <w:r>
              <w:rPr>
                <w:rFonts w:ascii="Arial" w:eastAsia="Times New Roman" w:hAnsi="Arial" w:cs="Arial"/>
              </w:rPr>
              <w:t>Normal Saline</w:t>
            </w:r>
          </w:p>
        </w:tc>
        <w:tc>
          <w:tcPr>
            <w:tcW w:w="1639" w:type="dxa"/>
            <w:shd w:val="clear" w:color="auto" w:fill="auto"/>
            <w:vAlign w:val="bottom"/>
          </w:tcPr>
          <w:p w14:paraId="0CAF4661" w14:textId="2CA93A15" w:rsidR="001C7B11" w:rsidRDefault="001C7B11" w:rsidP="00D72D4C">
            <w:pPr>
              <w:spacing w:after="0" w:line="240" w:lineRule="auto"/>
              <w:rPr>
                <w:rFonts w:ascii="Arial" w:eastAsia="Times New Roman" w:hAnsi="Arial" w:cs="Arial"/>
              </w:rPr>
            </w:pPr>
            <w:r>
              <w:rPr>
                <w:rFonts w:ascii="Arial" w:eastAsia="Times New Roman" w:hAnsi="Arial" w:cs="Arial"/>
              </w:rPr>
              <w:t>0.9%</w:t>
            </w:r>
          </w:p>
        </w:tc>
        <w:tc>
          <w:tcPr>
            <w:tcW w:w="1832" w:type="dxa"/>
            <w:shd w:val="clear" w:color="auto" w:fill="auto"/>
            <w:vAlign w:val="bottom"/>
          </w:tcPr>
          <w:p w14:paraId="3B2BA997" w14:textId="17E61C40" w:rsidR="001C7B11" w:rsidRPr="009A7D6F" w:rsidRDefault="001C7B11" w:rsidP="00D72D4C">
            <w:pPr>
              <w:spacing w:after="0" w:line="240" w:lineRule="auto"/>
              <w:rPr>
                <w:rFonts w:ascii="Arial" w:eastAsia="Times New Roman" w:hAnsi="Arial" w:cs="Arial"/>
              </w:rPr>
            </w:pPr>
            <w:r>
              <w:rPr>
                <w:rFonts w:ascii="Arial" w:eastAsia="Times New Roman" w:hAnsi="Arial" w:cs="Arial"/>
              </w:rPr>
              <w:t>Cryopreservation</w:t>
            </w:r>
          </w:p>
        </w:tc>
        <w:tc>
          <w:tcPr>
            <w:tcW w:w="1559" w:type="dxa"/>
            <w:shd w:val="clear" w:color="auto" w:fill="auto"/>
            <w:vAlign w:val="bottom"/>
          </w:tcPr>
          <w:p w14:paraId="1515E218" w14:textId="38746809" w:rsidR="001C7B11" w:rsidRPr="009A7D6F" w:rsidRDefault="001C7B11" w:rsidP="00D72D4C">
            <w:pPr>
              <w:spacing w:after="0" w:line="240" w:lineRule="auto"/>
              <w:rPr>
                <w:rFonts w:ascii="Arial" w:eastAsia="Times New Roman" w:hAnsi="Arial" w:cs="Arial"/>
              </w:rPr>
            </w:pPr>
            <w:r>
              <w:rPr>
                <w:rFonts w:ascii="Arial" w:eastAsia="Times New Roman" w:hAnsi="Arial" w:cs="Arial"/>
              </w:rPr>
              <w:t>Baxter</w:t>
            </w:r>
          </w:p>
        </w:tc>
        <w:tc>
          <w:tcPr>
            <w:tcW w:w="1000" w:type="dxa"/>
            <w:shd w:val="clear" w:color="auto" w:fill="auto"/>
            <w:vAlign w:val="bottom"/>
          </w:tcPr>
          <w:p w14:paraId="038F7D34" w14:textId="6567E300" w:rsidR="001C7B11" w:rsidRDefault="001C7B11" w:rsidP="00D72D4C">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32C2D622" w14:textId="270E613C" w:rsidR="001C7B11" w:rsidRDefault="001C7B11" w:rsidP="00D72D4C">
            <w:pPr>
              <w:spacing w:after="0" w:line="240" w:lineRule="auto"/>
              <w:rPr>
                <w:rFonts w:ascii="Arial" w:eastAsia="Times New Roman" w:hAnsi="Arial" w:cs="Arial"/>
              </w:rPr>
            </w:pPr>
            <w:r>
              <w:rPr>
                <w:rFonts w:ascii="Arial" w:eastAsia="Times New Roman" w:hAnsi="Arial" w:cs="Arial"/>
              </w:rPr>
              <w:t>Clinical, USP</w:t>
            </w:r>
          </w:p>
        </w:tc>
      </w:tr>
      <w:tr w:rsidR="00B36EDF" w:rsidRPr="00D11C74" w14:paraId="5C91821D" w14:textId="77777777" w:rsidTr="002C2331">
        <w:tc>
          <w:tcPr>
            <w:tcW w:w="2419" w:type="dxa"/>
            <w:shd w:val="clear" w:color="auto" w:fill="auto"/>
            <w:vAlign w:val="center"/>
          </w:tcPr>
          <w:p w14:paraId="3257F7A1" w14:textId="4EA29318" w:rsidR="00B36EDF" w:rsidRDefault="00B36EDF" w:rsidP="00D72D4C">
            <w:pPr>
              <w:spacing w:after="0" w:line="240" w:lineRule="auto"/>
              <w:rPr>
                <w:rFonts w:ascii="Arial" w:eastAsia="Times New Roman" w:hAnsi="Arial" w:cs="Arial"/>
              </w:rPr>
            </w:pPr>
            <w:r>
              <w:rPr>
                <w:rFonts w:ascii="Arial" w:eastAsia="Times New Roman" w:hAnsi="Arial" w:cs="Arial"/>
              </w:rPr>
              <w:t>50 mL syringe</w:t>
            </w:r>
          </w:p>
        </w:tc>
        <w:tc>
          <w:tcPr>
            <w:tcW w:w="1639" w:type="dxa"/>
            <w:shd w:val="clear" w:color="auto" w:fill="auto"/>
            <w:vAlign w:val="bottom"/>
          </w:tcPr>
          <w:p w14:paraId="73C39D59" w14:textId="3E263BCB" w:rsidR="00B36EDF" w:rsidRDefault="00B36EDF" w:rsidP="00D72D4C">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32785293" w14:textId="11DBFA03" w:rsidR="00B36EDF" w:rsidRPr="009A7D6F" w:rsidRDefault="001C7B11" w:rsidP="00D72D4C">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4D0492F7" w14:textId="59297E11" w:rsidR="00B36EDF" w:rsidRPr="009A7D6F" w:rsidRDefault="001C7B11" w:rsidP="00D72D4C">
            <w:pPr>
              <w:spacing w:after="0" w:line="240" w:lineRule="auto"/>
              <w:rPr>
                <w:rFonts w:ascii="Arial" w:eastAsia="Times New Roman" w:hAnsi="Arial" w:cs="Arial"/>
              </w:rPr>
            </w:pPr>
            <w:r>
              <w:rPr>
                <w:rFonts w:ascii="Arial" w:eastAsia="Times New Roman" w:hAnsi="Arial" w:cs="Arial"/>
              </w:rPr>
              <w:t>BD</w:t>
            </w:r>
          </w:p>
        </w:tc>
        <w:tc>
          <w:tcPr>
            <w:tcW w:w="1000" w:type="dxa"/>
            <w:shd w:val="clear" w:color="auto" w:fill="auto"/>
            <w:vAlign w:val="bottom"/>
          </w:tcPr>
          <w:p w14:paraId="4386E519" w14:textId="23033551" w:rsidR="00B36EDF" w:rsidRDefault="001C7B11" w:rsidP="00D72D4C">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290FC1FB" w14:textId="13C673E4" w:rsidR="00B36EDF" w:rsidRDefault="00EA6523" w:rsidP="00D72D4C">
            <w:pPr>
              <w:spacing w:after="0" w:line="240" w:lineRule="auto"/>
              <w:rPr>
                <w:rFonts w:ascii="Arial" w:eastAsia="Times New Roman" w:hAnsi="Arial" w:cs="Arial"/>
              </w:rPr>
            </w:pPr>
            <w:r>
              <w:rPr>
                <w:rFonts w:ascii="Arial" w:eastAsia="Times New Roman" w:hAnsi="Arial" w:cs="Arial"/>
              </w:rPr>
              <w:t>Clinical</w:t>
            </w:r>
          </w:p>
        </w:tc>
      </w:tr>
      <w:tr w:rsidR="00B36EDF" w:rsidRPr="00D11C74" w14:paraId="43ECBB47" w14:textId="77777777" w:rsidTr="002C2331">
        <w:tc>
          <w:tcPr>
            <w:tcW w:w="2419" w:type="dxa"/>
            <w:shd w:val="clear" w:color="auto" w:fill="auto"/>
            <w:vAlign w:val="center"/>
          </w:tcPr>
          <w:p w14:paraId="55397AC2" w14:textId="7DEE9FD7" w:rsidR="00B36EDF" w:rsidRDefault="00B36EDF" w:rsidP="00B36EDF">
            <w:pPr>
              <w:spacing w:after="0" w:line="240" w:lineRule="auto"/>
              <w:rPr>
                <w:rFonts w:ascii="Arial" w:eastAsia="Times New Roman" w:hAnsi="Arial" w:cs="Arial"/>
              </w:rPr>
            </w:pPr>
            <w:r>
              <w:rPr>
                <w:rFonts w:ascii="Arial" w:eastAsia="Times New Roman" w:hAnsi="Arial" w:cs="Arial"/>
              </w:rPr>
              <w:t>10 mL syringe</w:t>
            </w:r>
          </w:p>
        </w:tc>
        <w:tc>
          <w:tcPr>
            <w:tcW w:w="1639" w:type="dxa"/>
            <w:shd w:val="clear" w:color="auto" w:fill="auto"/>
            <w:vAlign w:val="bottom"/>
          </w:tcPr>
          <w:p w14:paraId="192757B8" w14:textId="4676F6D0" w:rsidR="00B36EDF" w:rsidRDefault="00B36EDF" w:rsidP="00B36EDF">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155CEF42" w14:textId="1823A5E7" w:rsidR="00B36EDF" w:rsidRPr="009A7D6F" w:rsidRDefault="001C7B11" w:rsidP="00B36EDF">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29538068" w14:textId="5F7D1A73" w:rsidR="00B36EDF" w:rsidRPr="009A7D6F" w:rsidRDefault="001C7B11" w:rsidP="00B36EDF">
            <w:pPr>
              <w:spacing w:after="0" w:line="240" w:lineRule="auto"/>
              <w:rPr>
                <w:rFonts w:ascii="Arial" w:eastAsia="Times New Roman" w:hAnsi="Arial" w:cs="Arial"/>
              </w:rPr>
            </w:pPr>
            <w:r>
              <w:rPr>
                <w:rFonts w:ascii="Arial" w:eastAsia="Times New Roman" w:hAnsi="Arial" w:cs="Arial"/>
              </w:rPr>
              <w:t>BD</w:t>
            </w:r>
          </w:p>
        </w:tc>
        <w:tc>
          <w:tcPr>
            <w:tcW w:w="1000" w:type="dxa"/>
            <w:shd w:val="clear" w:color="auto" w:fill="auto"/>
            <w:vAlign w:val="bottom"/>
          </w:tcPr>
          <w:p w14:paraId="0371EFED" w14:textId="295679DF" w:rsidR="00B36EDF" w:rsidRDefault="00B36EDF" w:rsidP="00B36EDF">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450DF7EB" w14:textId="758E1941" w:rsidR="00B36EDF" w:rsidRDefault="00B36EDF" w:rsidP="00B36EDF">
            <w:pPr>
              <w:spacing w:after="0" w:line="240" w:lineRule="auto"/>
              <w:rPr>
                <w:rFonts w:ascii="Arial" w:eastAsia="Times New Roman" w:hAnsi="Arial" w:cs="Arial"/>
              </w:rPr>
            </w:pPr>
            <w:r>
              <w:rPr>
                <w:rFonts w:ascii="Arial" w:eastAsia="Times New Roman" w:hAnsi="Arial" w:cs="Arial"/>
              </w:rPr>
              <w:t>Clinical</w:t>
            </w:r>
          </w:p>
        </w:tc>
      </w:tr>
      <w:tr w:rsidR="00B36EDF" w:rsidRPr="00D11C74" w14:paraId="68CD5154" w14:textId="77777777" w:rsidTr="002C2331">
        <w:tc>
          <w:tcPr>
            <w:tcW w:w="2419" w:type="dxa"/>
            <w:shd w:val="clear" w:color="auto" w:fill="auto"/>
            <w:vAlign w:val="center"/>
          </w:tcPr>
          <w:p w14:paraId="0FA3ACAE" w14:textId="153AF8DB" w:rsidR="00B36EDF" w:rsidRPr="00D72D4C" w:rsidRDefault="00B36EDF" w:rsidP="00B36EDF">
            <w:pPr>
              <w:spacing w:after="0" w:line="240" w:lineRule="auto"/>
              <w:rPr>
                <w:rFonts w:ascii="Arial" w:eastAsia="Times New Roman" w:hAnsi="Arial" w:cs="Arial"/>
              </w:rPr>
            </w:pPr>
            <w:r>
              <w:rPr>
                <w:rFonts w:ascii="Arial" w:eastAsia="Times New Roman" w:hAnsi="Arial" w:cs="Arial"/>
              </w:rPr>
              <w:t>3 mL syringe</w:t>
            </w:r>
          </w:p>
        </w:tc>
        <w:tc>
          <w:tcPr>
            <w:tcW w:w="1639" w:type="dxa"/>
            <w:shd w:val="clear" w:color="auto" w:fill="auto"/>
            <w:vAlign w:val="bottom"/>
          </w:tcPr>
          <w:p w14:paraId="15245400" w14:textId="25182F2D" w:rsidR="00B36EDF" w:rsidRPr="00D72D4C" w:rsidRDefault="00B36EDF" w:rsidP="00B36EDF">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2DB72DBD" w14:textId="2AA04D7C" w:rsidR="00B36EDF" w:rsidRPr="009A7D6F" w:rsidRDefault="001C7B11" w:rsidP="00B36EDF">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676265CD" w14:textId="2A41EB8D" w:rsidR="00B36EDF" w:rsidRPr="009A7D6F" w:rsidRDefault="001C7B11" w:rsidP="00B36EDF">
            <w:pPr>
              <w:spacing w:after="0" w:line="240" w:lineRule="auto"/>
              <w:rPr>
                <w:rFonts w:ascii="Arial" w:eastAsia="Times New Roman" w:hAnsi="Arial" w:cs="Arial"/>
              </w:rPr>
            </w:pPr>
            <w:r>
              <w:rPr>
                <w:rFonts w:ascii="Arial" w:eastAsia="Times New Roman" w:hAnsi="Arial" w:cs="Arial"/>
              </w:rPr>
              <w:t>BD</w:t>
            </w:r>
          </w:p>
        </w:tc>
        <w:tc>
          <w:tcPr>
            <w:tcW w:w="1000" w:type="dxa"/>
            <w:shd w:val="clear" w:color="auto" w:fill="auto"/>
            <w:vAlign w:val="bottom"/>
          </w:tcPr>
          <w:p w14:paraId="44E867E0" w14:textId="43DCF060" w:rsidR="00B36EDF" w:rsidRPr="00D72D4C" w:rsidRDefault="00B36EDF" w:rsidP="00B36EDF">
            <w:pPr>
              <w:spacing w:after="0" w:line="240" w:lineRule="auto"/>
              <w:rPr>
                <w:rFonts w:ascii="Arial" w:eastAsia="Times New Roman" w:hAnsi="Arial" w:cs="Arial"/>
              </w:rPr>
            </w:pPr>
          </w:p>
        </w:tc>
        <w:tc>
          <w:tcPr>
            <w:tcW w:w="1621" w:type="dxa"/>
            <w:shd w:val="clear" w:color="auto" w:fill="auto"/>
            <w:vAlign w:val="bottom"/>
          </w:tcPr>
          <w:p w14:paraId="22E5E6A0" w14:textId="483A6274" w:rsidR="00B36EDF" w:rsidRPr="00D72D4C" w:rsidRDefault="00EA6523" w:rsidP="00B36EDF">
            <w:pPr>
              <w:spacing w:after="0" w:line="240" w:lineRule="auto"/>
              <w:rPr>
                <w:rFonts w:ascii="Arial" w:eastAsia="Times New Roman" w:hAnsi="Arial" w:cs="Arial"/>
              </w:rPr>
            </w:pPr>
            <w:r>
              <w:rPr>
                <w:rFonts w:ascii="Arial" w:eastAsia="Times New Roman" w:hAnsi="Arial" w:cs="Arial"/>
              </w:rPr>
              <w:t>Clinical</w:t>
            </w:r>
          </w:p>
        </w:tc>
      </w:tr>
      <w:tr w:rsidR="00B36EDF" w:rsidRPr="00D11C74" w14:paraId="61F3E93C" w14:textId="77777777" w:rsidTr="002C2331">
        <w:tc>
          <w:tcPr>
            <w:tcW w:w="2419" w:type="dxa"/>
            <w:shd w:val="clear" w:color="auto" w:fill="auto"/>
            <w:vAlign w:val="center"/>
          </w:tcPr>
          <w:p w14:paraId="792D81A5" w14:textId="14EAE61D" w:rsidR="00B36EDF" w:rsidRPr="00D72D4C" w:rsidRDefault="00B36EDF" w:rsidP="00B36EDF">
            <w:pPr>
              <w:spacing w:after="0" w:line="240" w:lineRule="auto"/>
              <w:rPr>
                <w:rFonts w:ascii="Arial" w:eastAsia="Times New Roman" w:hAnsi="Arial" w:cs="Arial"/>
              </w:rPr>
            </w:pPr>
            <w:r>
              <w:rPr>
                <w:rFonts w:ascii="Arial" w:eastAsia="Times New Roman" w:hAnsi="Arial" w:cs="Arial"/>
              </w:rPr>
              <w:t>Transfer bag</w:t>
            </w:r>
          </w:p>
        </w:tc>
        <w:tc>
          <w:tcPr>
            <w:tcW w:w="1639" w:type="dxa"/>
            <w:shd w:val="clear" w:color="auto" w:fill="auto"/>
            <w:vAlign w:val="bottom"/>
          </w:tcPr>
          <w:p w14:paraId="61D380BD" w14:textId="7A5CA0FC" w:rsidR="00B36EDF" w:rsidRPr="00D72D4C" w:rsidRDefault="00B36EDF" w:rsidP="00B36EDF">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09FEBEC9" w14:textId="7480810F" w:rsidR="00B36EDF" w:rsidRPr="001C7B11" w:rsidRDefault="009F14E0" w:rsidP="00B36EDF">
            <w:pPr>
              <w:spacing w:after="0" w:line="240" w:lineRule="auto"/>
              <w:rPr>
                <w:rFonts w:ascii="Arial" w:eastAsia="Times New Roman" w:hAnsi="Arial" w:cs="Arial"/>
              </w:rPr>
            </w:pPr>
            <w:r w:rsidRPr="001C7B11">
              <w:rPr>
                <w:rFonts w:ascii="Arial" w:eastAsia="Times New Roman" w:hAnsi="Arial" w:cs="Arial"/>
              </w:rPr>
              <w:t>Washing</w:t>
            </w:r>
          </w:p>
        </w:tc>
        <w:tc>
          <w:tcPr>
            <w:tcW w:w="1559" w:type="dxa"/>
            <w:shd w:val="clear" w:color="auto" w:fill="auto"/>
            <w:vAlign w:val="bottom"/>
          </w:tcPr>
          <w:p w14:paraId="0CE9DC9F" w14:textId="6E628713" w:rsidR="00B36EDF" w:rsidRPr="001C7B11" w:rsidRDefault="001C7B11" w:rsidP="00B36EDF">
            <w:pPr>
              <w:spacing w:after="0" w:line="240" w:lineRule="auto"/>
              <w:rPr>
                <w:rFonts w:ascii="Arial" w:eastAsia="Times New Roman" w:hAnsi="Arial" w:cs="Arial"/>
              </w:rPr>
            </w:pPr>
            <w:r w:rsidRPr="001C7B11">
              <w:rPr>
                <w:rFonts w:ascii="Arial" w:eastAsia="Times New Roman" w:hAnsi="Arial" w:cs="Arial"/>
              </w:rPr>
              <w:t>Fresenius Kabi</w:t>
            </w:r>
          </w:p>
        </w:tc>
        <w:tc>
          <w:tcPr>
            <w:tcW w:w="1000" w:type="dxa"/>
            <w:shd w:val="clear" w:color="auto" w:fill="auto"/>
            <w:vAlign w:val="bottom"/>
          </w:tcPr>
          <w:p w14:paraId="02C16AB3" w14:textId="0612B265" w:rsidR="00B36EDF" w:rsidRPr="00D72D4C" w:rsidRDefault="00B36EDF" w:rsidP="00B36EDF">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51270B93" w14:textId="67C6270C" w:rsidR="00B36EDF" w:rsidRPr="00D72D4C" w:rsidRDefault="00B36EDF" w:rsidP="00B36EDF">
            <w:pPr>
              <w:spacing w:after="0" w:line="240" w:lineRule="auto"/>
              <w:rPr>
                <w:rFonts w:ascii="Arial" w:eastAsia="Times New Roman" w:hAnsi="Arial" w:cs="Arial"/>
              </w:rPr>
            </w:pPr>
            <w:r>
              <w:rPr>
                <w:rFonts w:ascii="Arial" w:eastAsia="Times New Roman" w:hAnsi="Arial" w:cs="Arial"/>
              </w:rPr>
              <w:t>Clinical</w:t>
            </w:r>
          </w:p>
        </w:tc>
      </w:tr>
      <w:tr w:rsidR="001C7B11" w:rsidRPr="00D11C74" w14:paraId="3070A50E" w14:textId="77777777" w:rsidTr="002C2331">
        <w:tc>
          <w:tcPr>
            <w:tcW w:w="2419" w:type="dxa"/>
            <w:shd w:val="clear" w:color="auto" w:fill="auto"/>
            <w:vAlign w:val="center"/>
          </w:tcPr>
          <w:p w14:paraId="0760DFB8" w14:textId="4BF4C5C0" w:rsidR="001C7B11" w:rsidRDefault="001C7B11" w:rsidP="001C7B11">
            <w:pPr>
              <w:spacing w:after="0" w:line="240" w:lineRule="auto"/>
              <w:rPr>
                <w:rFonts w:ascii="Arial" w:eastAsia="Times New Roman" w:hAnsi="Arial" w:cs="Arial"/>
              </w:rPr>
            </w:pPr>
            <w:r>
              <w:rPr>
                <w:rFonts w:ascii="Arial" w:eastAsia="Times New Roman" w:hAnsi="Arial" w:cs="Arial"/>
              </w:rPr>
              <w:t>Plasma Transfer Set, two spikes</w:t>
            </w:r>
          </w:p>
        </w:tc>
        <w:tc>
          <w:tcPr>
            <w:tcW w:w="1639" w:type="dxa"/>
            <w:shd w:val="clear" w:color="auto" w:fill="auto"/>
            <w:vAlign w:val="bottom"/>
          </w:tcPr>
          <w:p w14:paraId="2A734D38" w14:textId="4F4852DB"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246619BD" w14:textId="21BD9DE8" w:rsidR="001C7B11" w:rsidRDefault="001C7B11" w:rsidP="001C7B11">
            <w:pPr>
              <w:spacing w:after="0" w:line="240" w:lineRule="auto"/>
              <w:rPr>
                <w:rFonts w:ascii="Arial" w:eastAsia="Times New Roman" w:hAnsi="Arial" w:cs="Arial"/>
              </w:rPr>
            </w:pPr>
            <w:r w:rsidRPr="001C7B11">
              <w:rPr>
                <w:rFonts w:ascii="Arial" w:eastAsia="Times New Roman" w:hAnsi="Arial" w:cs="Arial"/>
              </w:rPr>
              <w:t>Washing</w:t>
            </w:r>
          </w:p>
        </w:tc>
        <w:tc>
          <w:tcPr>
            <w:tcW w:w="1559" w:type="dxa"/>
            <w:shd w:val="clear" w:color="auto" w:fill="auto"/>
            <w:vAlign w:val="bottom"/>
          </w:tcPr>
          <w:p w14:paraId="7BF62A91" w14:textId="025F918C" w:rsidR="001C7B11" w:rsidRDefault="001C7B11" w:rsidP="001C7B11">
            <w:pPr>
              <w:spacing w:after="0" w:line="240" w:lineRule="auto"/>
              <w:rPr>
                <w:rFonts w:ascii="Arial" w:eastAsia="Times New Roman" w:hAnsi="Arial" w:cs="Arial"/>
              </w:rPr>
            </w:pPr>
            <w:r w:rsidRPr="001C7B11">
              <w:rPr>
                <w:rFonts w:ascii="Arial" w:eastAsia="Times New Roman" w:hAnsi="Arial" w:cs="Arial"/>
              </w:rPr>
              <w:t>Fresenius Kabi</w:t>
            </w:r>
          </w:p>
        </w:tc>
        <w:tc>
          <w:tcPr>
            <w:tcW w:w="1000" w:type="dxa"/>
            <w:shd w:val="clear" w:color="auto" w:fill="auto"/>
            <w:vAlign w:val="bottom"/>
          </w:tcPr>
          <w:p w14:paraId="2DCC04BF" w14:textId="194E93D1"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06DEE7D6" w14:textId="02DFDF20" w:rsidR="001C7B11" w:rsidRDefault="001C7B11" w:rsidP="001C7B11">
            <w:pPr>
              <w:spacing w:after="0" w:line="240" w:lineRule="auto"/>
              <w:rPr>
                <w:rFonts w:ascii="Arial" w:eastAsia="Times New Roman" w:hAnsi="Arial" w:cs="Arial"/>
              </w:rPr>
            </w:pPr>
            <w:r>
              <w:rPr>
                <w:rFonts w:ascii="Arial" w:eastAsia="Times New Roman" w:hAnsi="Arial" w:cs="Arial"/>
              </w:rPr>
              <w:t>Clinical</w:t>
            </w:r>
          </w:p>
        </w:tc>
      </w:tr>
      <w:tr w:rsidR="001C7B11" w:rsidRPr="00D11C74" w14:paraId="37BC54FA" w14:textId="77777777" w:rsidTr="002C2331">
        <w:tc>
          <w:tcPr>
            <w:tcW w:w="2419" w:type="dxa"/>
            <w:shd w:val="clear" w:color="auto" w:fill="auto"/>
            <w:vAlign w:val="center"/>
          </w:tcPr>
          <w:p w14:paraId="605EBCB8" w14:textId="166FA3D0" w:rsidR="001C7B11" w:rsidRDefault="001C7B11" w:rsidP="001C7B11">
            <w:pPr>
              <w:spacing w:after="0" w:line="240" w:lineRule="auto"/>
              <w:rPr>
                <w:rFonts w:ascii="Arial" w:eastAsia="Times New Roman" w:hAnsi="Arial" w:cs="Arial"/>
              </w:rPr>
            </w:pPr>
            <w:r>
              <w:rPr>
                <w:rFonts w:ascii="Arial" w:eastAsia="Times New Roman" w:hAnsi="Arial" w:cs="Arial"/>
              </w:rPr>
              <w:t>Infusion Filter</w:t>
            </w:r>
          </w:p>
        </w:tc>
        <w:tc>
          <w:tcPr>
            <w:tcW w:w="1639" w:type="dxa"/>
            <w:shd w:val="clear" w:color="auto" w:fill="auto"/>
            <w:vAlign w:val="bottom"/>
          </w:tcPr>
          <w:p w14:paraId="2D7AD59B" w14:textId="03F6FDDD"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5C617153" w14:textId="69D5A878" w:rsidR="001C7B11" w:rsidRDefault="001C7B11" w:rsidP="001C7B11">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21456B13" w14:textId="1764031D" w:rsidR="001C7B11" w:rsidRDefault="001C7B11" w:rsidP="001C7B11">
            <w:pPr>
              <w:spacing w:after="0" w:line="240" w:lineRule="auto"/>
              <w:rPr>
                <w:rFonts w:ascii="Arial" w:eastAsia="Times New Roman" w:hAnsi="Arial" w:cs="Arial"/>
              </w:rPr>
            </w:pPr>
            <w:r>
              <w:rPr>
                <w:rFonts w:ascii="Arial" w:eastAsia="Times New Roman" w:hAnsi="Arial" w:cs="Arial"/>
              </w:rPr>
              <w:t>Baxter</w:t>
            </w:r>
          </w:p>
        </w:tc>
        <w:tc>
          <w:tcPr>
            <w:tcW w:w="1000" w:type="dxa"/>
            <w:shd w:val="clear" w:color="auto" w:fill="auto"/>
            <w:vAlign w:val="bottom"/>
          </w:tcPr>
          <w:p w14:paraId="7F297D48" w14:textId="6025D562"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75B83B00" w14:textId="27909E35" w:rsidR="001C7B11" w:rsidRDefault="001C7B11" w:rsidP="001C7B11">
            <w:pPr>
              <w:spacing w:after="0" w:line="240" w:lineRule="auto"/>
              <w:rPr>
                <w:rFonts w:ascii="Arial" w:eastAsia="Times New Roman" w:hAnsi="Arial" w:cs="Arial"/>
              </w:rPr>
            </w:pPr>
            <w:r>
              <w:rPr>
                <w:rFonts w:ascii="Arial" w:eastAsia="Times New Roman" w:hAnsi="Arial" w:cs="Arial"/>
              </w:rPr>
              <w:t>Clinical</w:t>
            </w:r>
          </w:p>
        </w:tc>
      </w:tr>
      <w:tr w:rsidR="001C7B11" w:rsidRPr="00D11C74" w14:paraId="3D0211C1" w14:textId="77777777" w:rsidTr="002C2331">
        <w:tc>
          <w:tcPr>
            <w:tcW w:w="2419" w:type="dxa"/>
            <w:shd w:val="clear" w:color="auto" w:fill="auto"/>
            <w:vAlign w:val="center"/>
          </w:tcPr>
          <w:p w14:paraId="5E3539F1" w14:textId="0FF5952B" w:rsidR="001C7B11" w:rsidRDefault="001C7B11" w:rsidP="001C7B11">
            <w:pPr>
              <w:spacing w:after="0" w:line="240" w:lineRule="auto"/>
              <w:rPr>
                <w:rFonts w:ascii="Arial" w:eastAsia="Times New Roman" w:hAnsi="Arial" w:cs="Arial"/>
              </w:rPr>
            </w:pPr>
            <w:r>
              <w:rPr>
                <w:rFonts w:ascii="Arial" w:eastAsia="Times New Roman" w:hAnsi="Arial" w:cs="Arial"/>
              </w:rPr>
              <w:t>Sterile Tube Welding Wafers</w:t>
            </w:r>
          </w:p>
        </w:tc>
        <w:tc>
          <w:tcPr>
            <w:tcW w:w="1639" w:type="dxa"/>
            <w:shd w:val="clear" w:color="auto" w:fill="auto"/>
            <w:vAlign w:val="bottom"/>
          </w:tcPr>
          <w:p w14:paraId="3AFCB1DC" w14:textId="3AE01854"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0B402090" w14:textId="44DB899D" w:rsidR="001C7B11" w:rsidRDefault="001C7B11" w:rsidP="001C7B11">
            <w:pPr>
              <w:spacing w:after="0" w:line="240" w:lineRule="auto"/>
              <w:rPr>
                <w:rFonts w:ascii="Arial" w:eastAsia="Times New Roman" w:hAnsi="Arial" w:cs="Arial"/>
              </w:rPr>
            </w:pPr>
            <w:r>
              <w:rPr>
                <w:rFonts w:ascii="Arial" w:eastAsia="Times New Roman" w:hAnsi="Arial" w:cs="Arial"/>
              </w:rPr>
              <w:t>Washing, depletion</w:t>
            </w:r>
          </w:p>
        </w:tc>
        <w:tc>
          <w:tcPr>
            <w:tcW w:w="1559" w:type="dxa"/>
            <w:shd w:val="clear" w:color="auto" w:fill="auto"/>
            <w:vAlign w:val="bottom"/>
          </w:tcPr>
          <w:p w14:paraId="362DED69" w14:textId="78BB15AC" w:rsidR="001C7B11" w:rsidRDefault="001C7B11" w:rsidP="001C7B11">
            <w:pPr>
              <w:spacing w:after="0" w:line="240" w:lineRule="auto"/>
              <w:rPr>
                <w:rFonts w:ascii="Arial" w:eastAsia="Times New Roman" w:hAnsi="Arial" w:cs="Arial"/>
              </w:rPr>
            </w:pPr>
            <w:r>
              <w:rPr>
                <w:rFonts w:ascii="Arial" w:eastAsia="Times New Roman" w:hAnsi="Arial" w:cs="Arial"/>
              </w:rPr>
              <w:t>Terumo</w:t>
            </w:r>
          </w:p>
        </w:tc>
        <w:tc>
          <w:tcPr>
            <w:tcW w:w="1000" w:type="dxa"/>
            <w:shd w:val="clear" w:color="auto" w:fill="auto"/>
            <w:vAlign w:val="bottom"/>
          </w:tcPr>
          <w:p w14:paraId="1AF9985C" w14:textId="42FA8599"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7456B246" w14:textId="674809F9" w:rsidR="001C7B11" w:rsidRDefault="001C7B11" w:rsidP="001C7B11">
            <w:pPr>
              <w:spacing w:after="0" w:line="240" w:lineRule="auto"/>
              <w:rPr>
                <w:rFonts w:ascii="Arial" w:eastAsia="Times New Roman" w:hAnsi="Arial" w:cs="Arial"/>
              </w:rPr>
            </w:pPr>
            <w:r>
              <w:rPr>
                <w:rFonts w:ascii="Arial" w:eastAsia="Times New Roman" w:hAnsi="Arial" w:cs="Arial"/>
              </w:rPr>
              <w:t>Clinical</w:t>
            </w:r>
          </w:p>
        </w:tc>
      </w:tr>
      <w:tr w:rsidR="001C7B11" w:rsidRPr="00D11C74" w14:paraId="2424646D" w14:textId="77777777" w:rsidTr="002C2331">
        <w:tc>
          <w:tcPr>
            <w:tcW w:w="2419" w:type="dxa"/>
            <w:shd w:val="clear" w:color="auto" w:fill="auto"/>
            <w:vAlign w:val="center"/>
          </w:tcPr>
          <w:p w14:paraId="0E08D3E1" w14:textId="442D8F67" w:rsidR="001C7B11" w:rsidRDefault="001C7B11" w:rsidP="001C7B11">
            <w:pPr>
              <w:spacing w:after="0" w:line="240" w:lineRule="auto"/>
              <w:rPr>
                <w:rFonts w:ascii="Arial" w:eastAsia="Times New Roman" w:hAnsi="Arial" w:cs="Arial"/>
              </w:rPr>
            </w:pPr>
            <w:r>
              <w:rPr>
                <w:rFonts w:ascii="Arial" w:eastAsia="Times New Roman" w:hAnsi="Arial" w:cs="Arial"/>
              </w:rPr>
              <w:t>Sampling site coupler</w:t>
            </w:r>
          </w:p>
        </w:tc>
        <w:tc>
          <w:tcPr>
            <w:tcW w:w="1639" w:type="dxa"/>
            <w:shd w:val="clear" w:color="auto" w:fill="auto"/>
            <w:vAlign w:val="bottom"/>
          </w:tcPr>
          <w:p w14:paraId="03B5136B" w14:textId="1E8A5834"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54B69795" w14:textId="101C2816" w:rsidR="001C7B11" w:rsidRDefault="001C7B11" w:rsidP="001C7B11">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7BE2134E" w14:textId="7BE076BD" w:rsidR="001C7B11" w:rsidRDefault="001C7B11" w:rsidP="001C7B11">
            <w:pPr>
              <w:spacing w:after="0" w:line="240" w:lineRule="auto"/>
              <w:rPr>
                <w:rFonts w:ascii="Arial" w:eastAsia="Times New Roman" w:hAnsi="Arial" w:cs="Arial"/>
              </w:rPr>
            </w:pPr>
            <w:r>
              <w:rPr>
                <w:rFonts w:ascii="Arial" w:eastAsia="Times New Roman" w:hAnsi="Arial" w:cs="Arial"/>
              </w:rPr>
              <w:t>Charter Medical</w:t>
            </w:r>
          </w:p>
        </w:tc>
        <w:tc>
          <w:tcPr>
            <w:tcW w:w="1000" w:type="dxa"/>
            <w:shd w:val="clear" w:color="auto" w:fill="auto"/>
            <w:vAlign w:val="bottom"/>
          </w:tcPr>
          <w:p w14:paraId="2B0B91EC" w14:textId="2DE9B5A2"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75E9C480" w14:textId="7361549C" w:rsidR="001C7B11" w:rsidRDefault="001C7B11" w:rsidP="001C7B11">
            <w:pPr>
              <w:spacing w:after="0" w:line="240" w:lineRule="auto"/>
              <w:rPr>
                <w:rFonts w:ascii="Arial" w:eastAsia="Times New Roman" w:hAnsi="Arial" w:cs="Arial"/>
              </w:rPr>
            </w:pPr>
            <w:r>
              <w:rPr>
                <w:rFonts w:ascii="Arial" w:eastAsia="Times New Roman" w:hAnsi="Arial" w:cs="Arial"/>
              </w:rPr>
              <w:t>Clinical</w:t>
            </w:r>
          </w:p>
        </w:tc>
      </w:tr>
      <w:tr w:rsidR="001C7B11" w:rsidRPr="00D11C74" w14:paraId="52D56A87" w14:textId="77777777" w:rsidTr="002C2331">
        <w:tc>
          <w:tcPr>
            <w:tcW w:w="2419" w:type="dxa"/>
            <w:shd w:val="clear" w:color="auto" w:fill="auto"/>
            <w:vAlign w:val="center"/>
          </w:tcPr>
          <w:p w14:paraId="253DFECE" w14:textId="37D1CDF9" w:rsidR="001C7B11" w:rsidRDefault="001C7B11" w:rsidP="001C7B11">
            <w:pPr>
              <w:spacing w:after="0" w:line="240" w:lineRule="auto"/>
              <w:rPr>
                <w:rFonts w:ascii="Arial" w:eastAsia="Times New Roman" w:hAnsi="Arial" w:cs="Arial"/>
              </w:rPr>
            </w:pPr>
            <w:r>
              <w:rPr>
                <w:rFonts w:ascii="Arial" w:eastAsia="Times New Roman" w:hAnsi="Arial" w:cs="Arial"/>
              </w:rPr>
              <w:t>Needle Free Spike</w:t>
            </w:r>
          </w:p>
        </w:tc>
        <w:tc>
          <w:tcPr>
            <w:tcW w:w="1639" w:type="dxa"/>
            <w:shd w:val="clear" w:color="auto" w:fill="auto"/>
            <w:vAlign w:val="bottom"/>
          </w:tcPr>
          <w:p w14:paraId="5664E161" w14:textId="58048ED1"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77271715" w14:textId="233A8C1E" w:rsidR="001C7B11" w:rsidRDefault="001C7B11" w:rsidP="001C7B11">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31AD8075" w14:textId="3D7846B9" w:rsidR="001C7B11" w:rsidRDefault="001C7B11" w:rsidP="001C7B11">
            <w:pPr>
              <w:spacing w:after="0" w:line="240" w:lineRule="auto"/>
              <w:rPr>
                <w:rFonts w:ascii="Arial" w:eastAsia="Times New Roman" w:hAnsi="Arial" w:cs="Arial"/>
              </w:rPr>
            </w:pPr>
            <w:r>
              <w:rPr>
                <w:rFonts w:ascii="Arial" w:eastAsia="Times New Roman" w:hAnsi="Arial" w:cs="Arial"/>
              </w:rPr>
              <w:t>Origen</w:t>
            </w:r>
          </w:p>
        </w:tc>
        <w:tc>
          <w:tcPr>
            <w:tcW w:w="1000" w:type="dxa"/>
            <w:shd w:val="clear" w:color="auto" w:fill="auto"/>
            <w:vAlign w:val="bottom"/>
          </w:tcPr>
          <w:p w14:paraId="6825DDD8" w14:textId="14C7008E"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0FBCA367" w14:textId="617F8013" w:rsidR="001C7B11" w:rsidRDefault="001C7B11" w:rsidP="001C7B11">
            <w:pPr>
              <w:spacing w:after="0" w:line="240" w:lineRule="auto"/>
              <w:rPr>
                <w:rFonts w:ascii="Arial" w:eastAsia="Times New Roman" w:hAnsi="Arial" w:cs="Arial"/>
              </w:rPr>
            </w:pPr>
            <w:r>
              <w:rPr>
                <w:rFonts w:ascii="Arial" w:eastAsia="Times New Roman" w:hAnsi="Arial" w:cs="Arial"/>
              </w:rPr>
              <w:t>Clinical</w:t>
            </w:r>
          </w:p>
        </w:tc>
      </w:tr>
      <w:tr w:rsidR="00012F4D" w:rsidRPr="00D11C74" w14:paraId="1068D62E" w14:textId="77777777" w:rsidTr="002C2331">
        <w:tc>
          <w:tcPr>
            <w:tcW w:w="2419" w:type="dxa"/>
            <w:shd w:val="clear" w:color="auto" w:fill="auto"/>
            <w:vAlign w:val="center"/>
          </w:tcPr>
          <w:p w14:paraId="52D9010A" w14:textId="62E90EF0" w:rsidR="00012F4D" w:rsidRDefault="00012F4D" w:rsidP="001C7B11">
            <w:pPr>
              <w:spacing w:after="0" w:line="240" w:lineRule="auto"/>
              <w:rPr>
                <w:rFonts w:ascii="Arial" w:eastAsia="Times New Roman" w:hAnsi="Arial" w:cs="Arial"/>
              </w:rPr>
            </w:pPr>
            <w:r>
              <w:rPr>
                <w:rFonts w:ascii="Arial" w:eastAsia="Times New Roman" w:hAnsi="Arial" w:cs="Arial"/>
              </w:rPr>
              <w:t>16G Needles</w:t>
            </w:r>
          </w:p>
        </w:tc>
        <w:tc>
          <w:tcPr>
            <w:tcW w:w="1639" w:type="dxa"/>
            <w:shd w:val="clear" w:color="auto" w:fill="auto"/>
            <w:vAlign w:val="bottom"/>
          </w:tcPr>
          <w:p w14:paraId="6A09B63F" w14:textId="2056C4FF" w:rsidR="00012F4D" w:rsidRDefault="00012F4D"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11A17205" w14:textId="2FD0F8D2" w:rsidR="00012F4D" w:rsidRDefault="00012F4D" w:rsidP="001C7B11">
            <w:pPr>
              <w:spacing w:after="0" w:line="240" w:lineRule="auto"/>
              <w:rPr>
                <w:rFonts w:ascii="Arial" w:eastAsia="Times New Roman" w:hAnsi="Arial" w:cs="Arial"/>
              </w:rPr>
            </w:pPr>
            <w:r>
              <w:rPr>
                <w:rFonts w:ascii="Arial" w:eastAsia="Times New Roman" w:hAnsi="Arial" w:cs="Arial"/>
              </w:rPr>
              <w:t>Depletion and/or cryopreservation</w:t>
            </w:r>
          </w:p>
        </w:tc>
        <w:tc>
          <w:tcPr>
            <w:tcW w:w="1559" w:type="dxa"/>
            <w:shd w:val="clear" w:color="auto" w:fill="auto"/>
            <w:vAlign w:val="bottom"/>
          </w:tcPr>
          <w:p w14:paraId="799FE934" w14:textId="689944A0" w:rsidR="00012F4D" w:rsidRDefault="00012F4D" w:rsidP="001C7B11">
            <w:pPr>
              <w:spacing w:after="0" w:line="240" w:lineRule="auto"/>
              <w:rPr>
                <w:rFonts w:ascii="Arial" w:eastAsia="Times New Roman" w:hAnsi="Arial" w:cs="Arial"/>
              </w:rPr>
            </w:pPr>
            <w:r>
              <w:rPr>
                <w:rFonts w:ascii="Arial" w:eastAsia="Times New Roman" w:hAnsi="Arial" w:cs="Arial"/>
              </w:rPr>
              <w:t>BD</w:t>
            </w:r>
          </w:p>
        </w:tc>
        <w:tc>
          <w:tcPr>
            <w:tcW w:w="1000" w:type="dxa"/>
            <w:shd w:val="clear" w:color="auto" w:fill="auto"/>
            <w:vAlign w:val="bottom"/>
          </w:tcPr>
          <w:p w14:paraId="06C2635C" w14:textId="6D57C95F" w:rsidR="00012F4D" w:rsidRDefault="00012F4D"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6A6A7073" w14:textId="415495A4" w:rsidR="00012F4D" w:rsidRDefault="00012F4D" w:rsidP="001C7B11">
            <w:pPr>
              <w:spacing w:after="0" w:line="240" w:lineRule="auto"/>
              <w:rPr>
                <w:rFonts w:ascii="Arial" w:eastAsia="Times New Roman" w:hAnsi="Arial" w:cs="Arial"/>
              </w:rPr>
            </w:pPr>
            <w:r>
              <w:rPr>
                <w:rFonts w:ascii="Arial" w:eastAsia="Times New Roman" w:hAnsi="Arial" w:cs="Arial"/>
              </w:rPr>
              <w:t>Clinical</w:t>
            </w:r>
          </w:p>
        </w:tc>
      </w:tr>
      <w:tr w:rsidR="001C7B11" w:rsidRPr="00D11C74" w14:paraId="3BF09C6F" w14:textId="77777777" w:rsidTr="002C2331">
        <w:tc>
          <w:tcPr>
            <w:tcW w:w="2419" w:type="dxa"/>
            <w:shd w:val="clear" w:color="auto" w:fill="auto"/>
            <w:vAlign w:val="center"/>
          </w:tcPr>
          <w:p w14:paraId="166426EA" w14:textId="3E21923F" w:rsidR="001C7B11" w:rsidRDefault="001C7B11" w:rsidP="001C7B11">
            <w:pPr>
              <w:spacing w:after="0" w:line="240" w:lineRule="auto"/>
              <w:rPr>
                <w:rFonts w:ascii="Arial" w:eastAsia="Times New Roman" w:hAnsi="Arial" w:cs="Arial"/>
              </w:rPr>
            </w:pPr>
            <w:r>
              <w:rPr>
                <w:rFonts w:ascii="Arial" w:eastAsia="Times New Roman" w:hAnsi="Arial" w:cs="Arial"/>
              </w:rPr>
              <w:t>Bags for cryopreservation</w:t>
            </w:r>
          </w:p>
        </w:tc>
        <w:tc>
          <w:tcPr>
            <w:tcW w:w="1639" w:type="dxa"/>
            <w:shd w:val="clear" w:color="auto" w:fill="auto"/>
            <w:vAlign w:val="bottom"/>
          </w:tcPr>
          <w:p w14:paraId="1B35A6B7" w14:textId="3B046616"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832" w:type="dxa"/>
            <w:shd w:val="clear" w:color="auto" w:fill="auto"/>
            <w:vAlign w:val="bottom"/>
          </w:tcPr>
          <w:p w14:paraId="74498DCC" w14:textId="3A828DF8" w:rsidR="001C7B11" w:rsidRDefault="001C7B11" w:rsidP="001C7B11">
            <w:pPr>
              <w:spacing w:after="0" w:line="240" w:lineRule="auto"/>
              <w:rPr>
                <w:rFonts w:ascii="Arial" w:eastAsia="Times New Roman" w:hAnsi="Arial" w:cs="Arial"/>
              </w:rPr>
            </w:pPr>
            <w:r>
              <w:rPr>
                <w:rFonts w:ascii="Arial" w:eastAsia="Times New Roman" w:hAnsi="Arial" w:cs="Arial"/>
              </w:rPr>
              <w:t>Cryopreservation</w:t>
            </w:r>
          </w:p>
        </w:tc>
        <w:tc>
          <w:tcPr>
            <w:tcW w:w="1559" w:type="dxa"/>
            <w:shd w:val="clear" w:color="auto" w:fill="auto"/>
            <w:vAlign w:val="bottom"/>
          </w:tcPr>
          <w:p w14:paraId="44D1CAB6" w14:textId="659BA28C" w:rsidR="001C7B11" w:rsidRDefault="001C7B11" w:rsidP="001C7B11">
            <w:pPr>
              <w:spacing w:after="0" w:line="240" w:lineRule="auto"/>
              <w:rPr>
                <w:rFonts w:ascii="Arial" w:eastAsia="Times New Roman" w:hAnsi="Arial" w:cs="Arial"/>
              </w:rPr>
            </w:pPr>
            <w:r>
              <w:rPr>
                <w:rFonts w:ascii="Arial" w:eastAsia="Times New Roman" w:hAnsi="Arial" w:cs="Arial"/>
              </w:rPr>
              <w:t>Origen</w:t>
            </w:r>
          </w:p>
        </w:tc>
        <w:tc>
          <w:tcPr>
            <w:tcW w:w="1000" w:type="dxa"/>
            <w:shd w:val="clear" w:color="auto" w:fill="auto"/>
            <w:vAlign w:val="bottom"/>
          </w:tcPr>
          <w:p w14:paraId="3F5A8ED8" w14:textId="36855CFD"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1026CF6F" w14:textId="3D142242" w:rsidR="001C7B11" w:rsidRDefault="001C7B11" w:rsidP="001C7B11">
            <w:pPr>
              <w:spacing w:after="0" w:line="240" w:lineRule="auto"/>
              <w:rPr>
                <w:rFonts w:ascii="Arial" w:eastAsia="Times New Roman" w:hAnsi="Arial" w:cs="Arial"/>
              </w:rPr>
            </w:pPr>
            <w:r>
              <w:rPr>
                <w:rFonts w:ascii="Arial" w:eastAsia="Times New Roman" w:hAnsi="Arial" w:cs="Arial"/>
              </w:rPr>
              <w:t>Clinical</w:t>
            </w:r>
          </w:p>
        </w:tc>
      </w:tr>
      <w:tr w:rsidR="001C7B11" w:rsidRPr="00D11C74" w14:paraId="3CA7A475" w14:textId="77777777" w:rsidTr="002C2331">
        <w:tc>
          <w:tcPr>
            <w:tcW w:w="2419" w:type="dxa"/>
            <w:shd w:val="clear" w:color="auto" w:fill="auto"/>
            <w:vAlign w:val="center"/>
          </w:tcPr>
          <w:p w14:paraId="46FAA083" w14:textId="181E1040" w:rsidR="001C7B11" w:rsidRDefault="001C7B11" w:rsidP="001C7B11">
            <w:pPr>
              <w:spacing w:after="0" w:line="240" w:lineRule="auto"/>
              <w:rPr>
                <w:rFonts w:ascii="Arial" w:eastAsia="Times New Roman" w:hAnsi="Arial" w:cs="Arial"/>
              </w:rPr>
            </w:pPr>
            <w:r>
              <w:rPr>
                <w:rFonts w:ascii="Arial" w:eastAsia="Times New Roman" w:hAnsi="Arial" w:cs="Arial"/>
              </w:rPr>
              <w:t xml:space="preserve">DMSO </w:t>
            </w:r>
          </w:p>
        </w:tc>
        <w:tc>
          <w:tcPr>
            <w:tcW w:w="1639" w:type="dxa"/>
            <w:shd w:val="clear" w:color="auto" w:fill="auto"/>
            <w:vAlign w:val="bottom"/>
          </w:tcPr>
          <w:p w14:paraId="17ECA3C0" w14:textId="68FDFA2A" w:rsidR="001C7B11" w:rsidRDefault="001C7B11" w:rsidP="001C7B11">
            <w:pPr>
              <w:spacing w:after="0" w:line="240" w:lineRule="auto"/>
              <w:rPr>
                <w:rFonts w:ascii="Arial" w:eastAsia="Times New Roman" w:hAnsi="Arial" w:cs="Arial"/>
              </w:rPr>
            </w:pPr>
            <w:r>
              <w:rPr>
                <w:rFonts w:ascii="Arial" w:eastAsia="Times New Roman" w:hAnsi="Arial" w:cs="Arial"/>
              </w:rPr>
              <w:t>10%</w:t>
            </w:r>
          </w:p>
        </w:tc>
        <w:tc>
          <w:tcPr>
            <w:tcW w:w="1832" w:type="dxa"/>
            <w:shd w:val="clear" w:color="auto" w:fill="auto"/>
            <w:vAlign w:val="bottom"/>
          </w:tcPr>
          <w:p w14:paraId="6C52AE46" w14:textId="080A6DFA" w:rsidR="001C7B11" w:rsidRDefault="001C7B11" w:rsidP="001C7B11">
            <w:pPr>
              <w:spacing w:after="0" w:line="240" w:lineRule="auto"/>
              <w:rPr>
                <w:rFonts w:ascii="Arial" w:eastAsia="Times New Roman" w:hAnsi="Arial" w:cs="Arial"/>
              </w:rPr>
            </w:pPr>
            <w:r>
              <w:rPr>
                <w:rFonts w:ascii="Arial" w:eastAsia="Times New Roman" w:hAnsi="Arial" w:cs="Arial"/>
              </w:rPr>
              <w:t>Cryopreservation</w:t>
            </w:r>
          </w:p>
        </w:tc>
        <w:tc>
          <w:tcPr>
            <w:tcW w:w="1559" w:type="dxa"/>
            <w:shd w:val="clear" w:color="auto" w:fill="auto"/>
            <w:vAlign w:val="bottom"/>
          </w:tcPr>
          <w:p w14:paraId="3AF4B61B" w14:textId="124586A7" w:rsidR="001C7B11" w:rsidRDefault="001C7B11" w:rsidP="001C7B11">
            <w:pPr>
              <w:spacing w:after="0" w:line="240" w:lineRule="auto"/>
              <w:rPr>
                <w:rFonts w:ascii="Arial" w:eastAsia="Times New Roman" w:hAnsi="Arial" w:cs="Arial"/>
              </w:rPr>
            </w:pPr>
            <w:r>
              <w:rPr>
                <w:rFonts w:ascii="Arial" w:eastAsia="Times New Roman" w:hAnsi="Arial" w:cs="Arial"/>
              </w:rPr>
              <w:t>Mylan</w:t>
            </w:r>
          </w:p>
        </w:tc>
        <w:tc>
          <w:tcPr>
            <w:tcW w:w="1000" w:type="dxa"/>
            <w:shd w:val="clear" w:color="auto" w:fill="auto"/>
            <w:vAlign w:val="bottom"/>
          </w:tcPr>
          <w:p w14:paraId="58FAFB41" w14:textId="25A24850" w:rsidR="001C7B11" w:rsidRDefault="001C7B11" w:rsidP="001C7B11">
            <w:pPr>
              <w:spacing w:after="0" w:line="240" w:lineRule="auto"/>
              <w:rPr>
                <w:rFonts w:ascii="Arial" w:eastAsia="Times New Roman" w:hAnsi="Arial" w:cs="Arial"/>
              </w:rPr>
            </w:pPr>
            <w:r>
              <w:rPr>
                <w:rFonts w:ascii="Arial" w:eastAsia="Times New Roman" w:hAnsi="Arial" w:cs="Arial"/>
              </w:rPr>
              <w:t>N/A</w:t>
            </w:r>
          </w:p>
        </w:tc>
        <w:tc>
          <w:tcPr>
            <w:tcW w:w="1621" w:type="dxa"/>
            <w:shd w:val="clear" w:color="auto" w:fill="auto"/>
            <w:vAlign w:val="bottom"/>
          </w:tcPr>
          <w:p w14:paraId="2F85D776" w14:textId="6078DD6E" w:rsidR="001C7B11" w:rsidRDefault="001C7B11" w:rsidP="001C7B11">
            <w:pPr>
              <w:spacing w:after="0" w:line="240" w:lineRule="auto"/>
              <w:rPr>
                <w:rFonts w:ascii="Arial" w:eastAsia="Times New Roman" w:hAnsi="Arial" w:cs="Arial"/>
              </w:rPr>
            </w:pPr>
            <w:r>
              <w:rPr>
                <w:rFonts w:ascii="Arial" w:eastAsia="Times New Roman" w:hAnsi="Arial" w:cs="Arial"/>
              </w:rPr>
              <w:t>Clinical, USP</w:t>
            </w:r>
          </w:p>
        </w:tc>
      </w:tr>
    </w:tbl>
    <w:p w14:paraId="06F48068" w14:textId="77777777" w:rsidR="00C902F3" w:rsidRDefault="00C902F3" w:rsidP="00BA4B5A">
      <w:pPr>
        <w:spacing w:after="0" w:line="240" w:lineRule="auto"/>
        <w:jc w:val="both"/>
        <w:rPr>
          <w:rFonts w:ascii="Arial" w:hAnsi="Arial" w:cs="Arial"/>
        </w:rPr>
      </w:pPr>
    </w:p>
    <w:p w14:paraId="7A33A104" w14:textId="0DD03100" w:rsidR="000D6283" w:rsidRPr="00D11C74" w:rsidRDefault="00D93A41" w:rsidP="00BA4B5A">
      <w:pPr>
        <w:spacing w:after="0" w:line="240" w:lineRule="auto"/>
        <w:jc w:val="both"/>
        <w:rPr>
          <w:rFonts w:ascii="Arial" w:hAnsi="Arial" w:cs="Arial"/>
        </w:rPr>
      </w:pPr>
      <w:r>
        <w:rPr>
          <w:rFonts w:ascii="Arial" w:hAnsi="Arial" w:cs="Arial"/>
        </w:rPr>
        <w:t xml:space="preserve">All supplies and reagents listed in this table have a corresponding example Certificate of Analysis or equivalent provided in </w:t>
      </w:r>
      <w:r w:rsidR="00110B65">
        <w:rPr>
          <w:rFonts w:ascii="Arial" w:hAnsi="Arial" w:cs="Arial"/>
        </w:rPr>
        <w:t>the a</w:t>
      </w:r>
      <w:r>
        <w:rPr>
          <w:rFonts w:ascii="Arial" w:hAnsi="Arial" w:cs="Arial"/>
        </w:rPr>
        <w:t>ppendi</w:t>
      </w:r>
      <w:r w:rsidR="00110B65">
        <w:rPr>
          <w:rFonts w:ascii="Arial" w:hAnsi="Arial" w:cs="Arial"/>
        </w:rPr>
        <w:t>x</w:t>
      </w:r>
      <w:r>
        <w:rPr>
          <w:rFonts w:ascii="Arial" w:hAnsi="Arial" w:cs="Arial"/>
        </w:rPr>
        <w:t>. These documents are provided as examples. Supplies and reagents that are expired are not used.</w:t>
      </w:r>
      <w:r w:rsidR="004B0E20" w:rsidRPr="00D11C74">
        <w:rPr>
          <w:rFonts w:ascii="Arial" w:hAnsi="Arial" w:cs="Arial"/>
        </w:rPr>
        <w:tab/>
      </w:r>
    </w:p>
    <w:p w14:paraId="0B7B728B" w14:textId="77777777" w:rsidR="00D93A41" w:rsidRDefault="00D93A41" w:rsidP="00BA4B5A">
      <w:pPr>
        <w:spacing w:after="0" w:line="240" w:lineRule="auto"/>
        <w:jc w:val="both"/>
        <w:rPr>
          <w:rFonts w:ascii="Arial" w:hAnsi="Arial" w:cs="Arial"/>
          <w:b/>
          <w:bCs/>
        </w:rPr>
      </w:pPr>
    </w:p>
    <w:p w14:paraId="4F72776B" w14:textId="5CC4BADF" w:rsidR="00AC0448" w:rsidRPr="00D11C74" w:rsidRDefault="00EA6523" w:rsidP="00BA4B5A">
      <w:pPr>
        <w:spacing w:after="0" w:line="240" w:lineRule="auto"/>
        <w:jc w:val="both"/>
        <w:rPr>
          <w:rFonts w:ascii="Arial" w:hAnsi="Arial" w:cs="Arial"/>
          <w:b/>
          <w:bCs/>
        </w:rPr>
      </w:pPr>
      <w:r>
        <w:rPr>
          <w:rFonts w:ascii="Arial" w:hAnsi="Arial" w:cs="Arial"/>
          <w:b/>
          <w:bCs/>
        </w:rPr>
        <w:t>Supply Management</w:t>
      </w:r>
      <w:r w:rsidR="004B0E20" w:rsidRPr="00D11C74">
        <w:rPr>
          <w:rFonts w:ascii="Arial" w:hAnsi="Arial" w:cs="Arial"/>
          <w:b/>
          <w:bCs/>
        </w:rPr>
        <w:t xml:space="preserve"> </w:t>
      </w:r>
    </w:p>
    <w:p w14:paraId="7DF7A69D" w14:textId="7A72B62F" w:rsidR="005D1536" w:rsidRPr="00D11C74" w:rsidRDefault="00AC0448" w:rsidP="00BA4B5A">
      <w:pPr>
        <w:spacing w:after="0" w:line="240" w:lineRule="auto"/>
        <w:jc w:val="both"/>
        <w:rPr>
          <w:rFonts w:ascii="Arial" w:hAnsi="Arial" w:cs="Arial"/>
        </w:rPr>
      </w:pPr>
      <w:r w:rsidRPr="00D11C74">
        <w:rPr>
          <w:rFonts w:ascii="Arial" w:hAnsi="Arial" w:cs="Arial"/>
        </w:rPr>
        <w:t xml:space="preserve">All reagents that have the potential to impact the purity, potency, quality, or safety of the product are qualified based on the use of the material and its risk to the product according to standard operation procedure. </w:t>
      </w:r>
      <w:r w:rsidR="005D1536" w:rsidRPr="00D11C74">
        <w:rPr>
          <w:rFonts w:ascii="Arial" w:hAnsi="Arial" w:cs="Arial"/>
        </w:rPr>
        <w:t xml:space="preserve">Supplies and reagents are controlled through receipt and quarantined until approved for use. Released supplies are labeled and physically segregated from quarantined items. Lot numbers of all materials and supplies used for a production are documented as part of the production record to facilitate look-backs in the event of a deviation and/or recall. </w:t>
      </w:r>
    </w:p>
    <w:p w14:paraId="1F67687E" w14:textId="77777777" w:rsidR="000D6283" w:rsidRPr="00D11C74" w:rsidRDefault="004B0E20" w:rsidP="00BA4B5A">
      <w:pPr>
        <w:spacing w:after="0" w:line="240" w:lineRule="auto"/>
        <w:jc w:val="both"/>
        <w:rPr>
          <w:rFonts w:ascii="Arial" w:hAnsi="Arial" w:cs="Arial"/>
        </w:rPr>
      </w:pPr>
      <w:r w:rsidRPr="00D11C74">
        <w:rPr>
          <w:rFonts w:ascii="Arial" w:hAnsi="Arial" w:cs="Arial"/>
        </w:rPr>
        <w:tab/>
      </w:r>
      <w:r w:rsidRPr="00D11C74">
        <w:rPr>
          <w:rFonts w:ascii="Arial" w:hAnsi="Arial" w:cs="Arial"/>
        </w:rPr>
        <w:tab/>
      </w:r>
      <w:r w:rsidRPr="00D11C74">
        <w:rPr>
          <w:rFonts w:ascii="Arial" w:hAnsi="Arial" w:cs="Arial"/>
        </w:rPr>
        <w:tab/>
      </w:r>
    </w:p>
    <w:p w14:paraId="3DAD21C5" w14:textId="2B801CCD" w:rsidR="006D0E09" w:rsidRDefault="006D0E09" w:rsidP="00BA4B5A">
      <w:pPr>
        <w:pStyle w:val="Heading2"/>
        <w:spacing w:after="0" w:line="240" w:lineRule="auto"/>
        <w:ind w:firstLine="720"/>
        <w:jc w:val="both"/>
        <w:rPr>
          <w:rFonts w:ascii="Arial" w:hAnsi="Arial" w:cs="Arial"/>
        </w:rPr>
      </w:pPr>
    </w:p>
    <w:p w14:paraId="6B3CF953" w14:textId="0278E2A0" w:rsidR="004B0E20" w:rsidRPr="00D11C74" w:rsidRDefault="004B0E20" w:rsidP="00D72D4C">
      <w:pPr>
        <w:pStyle w:val="Heading2"/>
        <w:spacing w:after="0" w:line="240" w:lineRule="auto"/>
        <w:jc w:val="both"/>
        <w:rPr>
          <w:rFonts w:ascii="Arial" w:hAnsi="Arial" w:cs="Arial"/>
        </w:rPr>
      </w:pPr>
      <w:r w:rsidRPr="00D11C74">
        <w:rPr>
          <w:rFonts w:ascii="Arial" w:hAnsi="Arial" w:cs="Arial"/>
        </w:rPr>
        <w:t>Product Manufacturing – Procedures</w:t>
      </w:r>
    </w:p>
    <w:p w14:paraId="01149DBA" w14:textId="77777777" w:rsidR="001D3FAC" w:rsidRPr="00D72D4C" w:rsidRDefault="001D3FAC" w:rsidP="00BA4B5A">
      <w:pPr>
        <w:spacing w:after="0" w:line="240" w:lineRule="auto"/>
        <w:jc w:val="both"/>
        <w:rPr>
          <w:rFonts w:ascii="Arial" w:hAnsi="Arial" w:cs="Arial"/>
          <w:sz w:val="10"/>
          <w:szCs w:val="10"/>
        </w:rPr>
      </w:pPr>
    </w:p>
    <w:p w14:paraId="328D1DB4" w14:textId="506A6CC7" w:rsidR="00BA44BC" w:rsidRPr="00D72D4C" w:rsidRDefault="00BA44BC" w:rsidP="00BA4B5A">
      <w:pPr>
        <w:spacing w:after="0" w:line="240" w:lineRule="auto"/>
        <w:jc w:val="both"/>
        <w:rPr>
          <w:rFonts w:ascii="Arial" w:hAnsi="Arial" w:cs="Arial"/>
          <w:b/>
          <w:bCs/>
        </w:rPr>
      </w:pPr>
      <w:r w:rsidRPr="00D72D4C">
        <w:rPr>
          <w:rFonts w:ascii="Arial" w:hAnsi="Arial" w:cs="Arial"/>
          <w:b/>
          <w:bCs/>
        </w:rPr>
        <w:t>Overview</w:t>
      </w:r>
    </w:p>
    <w:p w14:paraId="5C48BEB5" w14:textId="271654A0" w:rsidR="000D6283" w:rsidRPr="00D11C74" w:rsidRDefault="00EA6523" w:rsidP="00BA4B5A">
      <w:pPr>
        <w:pStyle w:val="BodyText"/>
        <w:widowControl w:val="0"/>
        <w:rPr>
          <w:rFonts w:eastAsiaTheme="minorHAnsi" w:cs="Arial"/>
          <w:i w:val="0"/>
          <w:color w:val="auto"/>
          <w:sz w:val="22"/>
          <w:szCs w:val="22"/>
        </w:rPr>
      </w:pPr>
      <w:r>
        <w:rPr>
          <w:rFonts w:eastAsiaTheme="minorHAnsi" w:cs="Arial"/>
          <w:i w:val="0"/>
          <w:color w:val="auto"/>
          <w:sz w:val="22"/>
          <w:szCs w:val="22"/>
        </w:rPr>
        <w:t>Hematopoietic progenitor</w:t>
      </w:r>
      <w:r w:rsidR="006A0640">
        <w:rPr>
          <w:rFonts w:eastAsiaTheme="minorHAnsi" w:cs="Arial"/>
          <w:i w:val="0"/>
          <w:color w:val="auto"/>
          <w:sz w:val="22"/>
          <w:szCs w:val="22"/>
        </w:rPr>
        <w:t xml:space="preserve"> cells are collected from a suitable and qualified related donor</w:t>
      </w:r>
      <w:r>
        <w:rPr>
          <w:rFonts w:eastAsiaTheme="minorHAnsi" w:cs="Arial"/>
          <w:i w:val="0"/>
          <w:color w:val="auto"/>
          <w:sz w:val="22"/>
          <w:szCs w:val="22"/>
        </w:rPr>
        <w:t xml:space="preserve"> using apheresis</w:t>
      </w:r>
      <w:r w:rsidR="006A0640">
        <w:rPr>
          <w:rFonts w:eastAsiaTheme="minorHAnsi" w:cs="Arial"/>
          <w:i w:val="0"/>
          <w:color w:val="auto"/>
          <w:sz w:val="22"/>
          <w:szCs w:val="22"/>
        </w:rPr>
        <w:t xml:space="preserve">. A maximum of </w:t>
      </w:r>
      <w:r>
        <w:rPr>
          <w:rFonts w:eastAsiaTheme="minorHAnsi" w:cs="Arial"/>
          <w:i w:val="0"/>
          <w:color w:val="auto"/>
          <w:sz w:val="22"/>
          <w:szCs w:val="22"/>
        </w:rPr>
        <w:t>24</w:t>
      </w:r>
      <w:r w:rsidR="006A0640">
        <w:rPr>
          <w:rFonts w:eastAsiaTheme="minorHAnsi" w:cs="Arial"/>
          <w:i w:val="0"/>
          <w:color w:val="auto"/>
          <w:sz w:val="22"/>
          <w:szCs w:val="22"/>
        </w:rPr>
        <w:t xml:space="preserve"> x 10^9 </w:t>
      </w:r>
      <w:r>
        <w:rPr>
          <w:rFonts w:eastAsiaTheme="minorHAnsi" w:cs="Arial"/>
          <w:i w:val="0"/>
          <w:color w:val="auto"/>
          <w:sz w:val="22"/>
          <w:szCs w:val="22"/>
        </w:rPr>
        <w:t>TCR</w:t>
      </w:r>
      <w:r w:rsidRPr="001D271E">
        <w:rPr>
          <w:rFonts w:ascii="Symbol" w:eastAsiaTheme="minorHAnsi" w:hAnsi="Symbol" w:cs="Arial"/>
          <w:i w:val="0"/>
          <w:color w:val="auto"/>
          <w:sz w:val="22"/>
          <w:szCs w:val="22"/>
        </w:rPr>
        <w:t xml:space="preserve">a/b </w:t>
      </w:r>
      <w:r w:rsidR="006A0640">
        <w:rPr>
          <w:rFonts w:eastAsiaTheme="minorHAnsi" w:cs="Arial"/>
          <w:i w:val="0"/>
          <w:color w:val="auto"/>
          <w:sz w:val="22"/>
          <w:szCs w:val="22"/>
        </w:rPr>
        <w:t xml:space="preserve">cells </w:t>
      </w:r>
      <w:r>
        <w:rPr>
          <w:rFonts w:eastAsiaTheme="minorHAnsi" w:cs="Arial"/>
          <w:i w:val="0"/>
          <w:color w:val="auto"/>
          <w:sz w:val="22"/>
          <w:szCs w:val="22"/>
        </w:rPr>
        <w:t>and 10 x 10^9 CD19 can be depleted using this process. Any additional cells may be cryopreserved</w:t>
      </w:r>
      <w:r w:rsidR="00A978EC">
        <w:rPr>
          <w:rFonts w:eastAsiaTheme="minorHAnsi" w:cs="Arial"/>
          <w:i w:val="0"/>
          <w:color w:val="auto"/>
          <w:sz w:val="22"/>
          <w:szCs w:val="22"/>
        </w:rPr>
        <w:t xml:space="preserve"> for additional processing if required. </w:t>
      </w:r>
    </w:p>
    <w:p w14:paraId="55EABA65" w14:textId="77777777" w:rsidR="000D6283" w:rsidRPr="00D11C74" w:rsidRDefault="000D6283" w:rsidP="00BA4B5A">
      <w:pPr>
        <w:pStyle w:val="BodyText"/>
        <w:widowControl w:val="0"/>
        <w:rPr>
          <w:rFonts w:eastAsiaTheme="minorHAnsi" w:cs="Arial"/>
          <w:i w:val="0"/>
          <w:color w:val="auto"/>
          <w:sz w:val="22"/>
          <w:szCs w:val="22"/>
        </w:rPr>
      </w:pPr>
    </w:p>
    <w:p w14:paraId="15536371" w14:textId="77777777" w:rsidR="00E4298C" w:rsidRPr="00F646F9" w:rsidRDefault="00E4298C" w:rsidP="00BA4B5A">
      <w:pPr>
        <w:spacing w:after="0" w:line="240" w:lineRule="auto"/>
        <w:jc w:val="both"/>
        <w:rPr>
          <w:rFonts w:ascii="Arial" w:hAnsi="Arial" w:cs="Arial"/>
          <w:b/>
          <w:bCs/>
          <w:sz w:val="10"/>
          <w:szCs w:val="10"/>
        </w:rPr>
      </w:pPr>
    </w:p>
    <w:p w14:paraId="341D206C" w14:textId="2256E424" w:rsidR="00B02C04" w:rsidRPr="00D11C74" w:rsidRDefault="001D271E" w:rsidP="00BA4B5A">
      <w:pPr>
        <w:spacing w:after="0" w:line="240" w:lineRule="auto"/>
        <w:jc w:val="both"/>
        <w:rPr>
          <w:rFonts w:ascii="Arial" w:hAnsi="Arial" w:cs="Arial"/>
          <w:b/>
          <w:bCs/>
        </w:rPr>
      </w:pPr>
      <w:r>
        <w:rPr>
          <w:rFonts w:ascii="Arial" w:hAnsi="Arial" w:cs="Arial"/>
          <w:b/>
          <w:bCs/>
          <w:i/>
          <w:iCs/>
        </w:rPr>
        <w:t>Depletion of CD19+ and TCR</w:t>
      </w:r>
      <w:r w:rsidRPr="001D271E">
        <w:rPr>
          <w:rFonts w:ascii="Symbol" w:hAnsi="Symbol" w:cs="Arial"/>
          <w:b/>
          <w:bCs/>
          <w:i/>
          <w:iCs/>
        </w:rPr>
        <w:t>a/b</w:t>
      </w:r>
      <w:r>
        <w:rPr>
          <w:rFonts w:ascii="Arial" w:hAnsi="Arial" w:cs="Arial"/>
          <w:b/>
          <w:bCs/>
          <w:i/>
          <w:iCs/>
        </w:rPr>
        <w:t>+ Cells</w:t>
      </w:r>
    </w:p>
    <w:p w14:paraId="3B6482C2" w14:textId="525F5293" w:rsidR="00AC0448" w:rsidRDefault="00E4298C" w:rsidP="00BA4B5A">
      <w:pPr>
        <w:spacing w:after="0" w:line="240" w:lineRule="auto"/>
        <w:jc w:val="both"/>
        <w:rPr>
          <w:rFonts w:ascii="Arial" w:hAnsi="Arial" w:cs="Arial"/>
        </w:rPr>
      </w:pPr>
      <w:r w:rsidRPr="00D11C74">
        <w:rPr>
          <w:rFonts w:ascii="Arial" w:hAnsi="Arial" w:cs="Arial"/>
        </w:rPr>
        <w:t xml:space="preserve">The apheresis product is collected from </w:t>
      </w:r>
      <w:r w:rsidR="001D271E">
        <w:rPr>
          <w:rFonts w:ascii="Arial" w:hAnsi="Arial" w:cs="Arial"/>
        </w:rPr>
        <w:t xml:space="preserve">the </w:t>
      </w:r>
      <w:r w:rsidRPr="00D11C74">
        <w:rPr>
          <w:rFonts w:ascii="Arial" w:hAnsi="Arial" w:cs="Arial"/>
        </w:rPr>
        <w:t xml:space="preserve">mobilized </w:t>
      </w:r>
      <w:r w:rsidR="001D271E">
        <w:rPr>
          <w:rFonts w:ascii="Arial" w:hAnsi="Arial" w:cs="Arial"/>
        </w:rPr>
        <w:t>donor</w:t>
      </w:r>
      <w:r w:rsidRPr="00D11C74">
        <w:rPr>
          <w:rFonts w:ascii="Arial" w:hAnsi="Arial" w:cs="Arial"/>
        </w:rPr>
        <w:t xml:space="preserve"> and transferred to the </w:t>
      </w:r>
      <w:r w:rsidR="001D271E">
        <w:rPr>
          <w:rFonts w:ascii="Arial" w:hAnsi="Arial" w:cs="Arial"/>
        </w:rPr>
        <w:t>Cell Therapy Laboratory</w:t>
      </w:r>
      <w:r w:rsidRPr="00D11C74">
        <w:rPr>
          <w:rFonts w:ascii="Arial" w:hAnsi="Arial" w:cs="Arial"/>
        </w:rPr>
        <w:t xml:space="preserve"> for </w:t>
      </w:r>
      <w:r w:rsidR="001D271E">
        <w:rPr>
          <w:rFonts w:ascii="Arial" w:hAnsi="Arial" w:cs="Arial"/>
        </w:rPr>
        <w:t>depletion</w:t>
      </w:r>
      <w:r w:rsidRPr="00D11C74">
        <w:rPr>
          <w:rFonts w:ascii="Arial" w:hAnsi="Arial" w:cs="Arial"/>
        </w:rPr>
        <w:t xml:space="preserve"> according to existing transportation procedures. </w:t>
      </w:r>
      <w:r w:rsidR="001D271E">
        <w:rPr>
          <w:rFonts w:ascii="Arial" w:hAnsi="Arial" w:cs="Arial"/>
        </w:rPr>
        <w:t xml:space="preserve">Cells are washed and labeled with antibodies to TCRa/b and CD19, washed again and then depletion is performed </w:t>
      </w:r>
      <w:r w:rsidR="00F92946">
        <w:rPr>
          <w:rFonts w:ascii="Arial" w:hAnsi="Arial" w:cs="Arial"/>
        </w:rPr>
        <w:t xml:space="preserve">on the CliniMACS™. The tubing set is applied to the instrument as directed by the program and </w:t>
      </w:r>
      <w:r w:rsidR="00975A52">
        <w:rPr>
          <w:rFonts w:ascii="Arial" w:hAnsi="Arial" w:cs="Arial"/>
        </w:rPr>
        <w:t xml:space="preserve">the prepared labeled cells </w:t>
      </w:r>
      <w:r w:rsidR="00F92946">
        <w:rPr>
          <w:rFonts w:ascii="Arial" w:hAnsi="Arial" w:cs="Arial"/>
        </w:rPr>
        <w:t xml:space="preserve">are connected to the tubing set as directed by the program. The </w:t>
      </w:r>
      <w:r w:rsidR="00975A52">
        <w:rPr>
          <w:rFonts w:ascii="Arial" w:hAnsi="Arial" w:cs="Arial"/>
        </w:rPr>
        <w:t>depletion</w:t>
      </w:r>
      <w:r w:rsidR="00F92946">
        <w:rPr>
          <w:rFonts w:ascii="Arial" w:hAnsi="Arial" w:cs="Arial"/>
        </w:rPr>
        <w:t xml:space="preserve"> process runs automatically.  </w:t>
      </w:r>
    </w:p>
    <w:p w14:paraId="35DA190D" w14:textId="77777777" w:rsidR="00A66B85" w:rsidRDefault="00A66B85" w:rsidP="00BA4B5A">
      <w:pPr>
        <w:spacing w:after="0" w:line="240" w:lineRule="auto"/>
        <w:jc w:val="both"/>
        <w:rPr>
          <w:rFonts w:ascii="Arial" w:hAnsi="Arial" w:cs="Arial"/>
          <w:b/>
          <w:bCs/>
        </w:rPr>
      </w:pPr>
    </w:p>
    <w:p w14:paraId="299477E0" w14:textId="6293EC39" w:rsidR="00370179" w:rsidRPr="00B533BF" w:rsidRDefault="00370179" w:rsidP="00BA4B5A">
      <w:pPr>
        <w:spacing w:after="0" w:line="240" w:lineRule="auto"/>
        <w:jc w:val="both"/>
        <w:rPr>
          <w:rFonts w:ascii="Arial" w:hAnsi="Arial" w:cs="Arial"/>
          <w:b/>
          <w:bCs/>
        </w:rPr>
      </w:pPr>
      <w:r w:rsidRPr="00B533BF">
        <w:rPr>
          <w:rFonts w:ascii="Arial" w:hAnsi="Arial" w:cs="Arial"/>
          <w:b/>
          <w:bCs/>
        </w:rPr>
        <w:t>Figure 7.</w:t>
      </w:r>
      <w:r w:rsidR="00F92946">
        <w:rPr>
          <w:rFonts w:ascii="Arial" w:hAnsi="Arial" w:cs="Arial"/>
          <w:b/>
          <w:bCs/>
        </w:rPr>
        <w:t>1</w:t>
      </w:r>
      <w:r w:rsidRPr="00B533BF">
        <w:rPr>
          <w:rFonts w:ascii="Arial" w:hAnsi="Arial" w:cs="Arial"/>
          <w:b/>
          <w:bCs/>
        </w:rPr>
        <w:t xml:space="preserve"> </w:t>
      </w:r>
      <w:r w:rsidR="00730EB9">
        <w:rPr>
          <w:rFonts w:ascii="Arial" w:hAnsi="Arial" w:cs="Arial"/>
          <w:b/>
          <w:bCs/>
        </w:rPr>
        <w:t>Process for depletion of TCR</w:t>
      </w:r>
      <w:r w:rsidR="00730EB9" w:rsidRPr="00730EB9">
        <w:rPr>
          <w:rFonts w:ascii="Symbol" w:hAnsi="Symbol" w:cs="Arial"/>
          <w:b/>
          <w:bCs/>
        </w:rPr>
        <w:t xml:space="preserve">a/b </w:t>
      </w:r>
      <w:r w:rsidR="00730EB9">
        <w:rPr>
          <w:rFonts w:ascii="Arial" w:hAnsi="Arial" w:cs="Arial"/>
          <w:b/>
          <w:bCs/>
        </w:rPr>
        <w:t>and CD19 cells</w:t>
      </w:r>
      <w:r w:rsidRPr="00B533BF">
        <w:rPr>
          <w:rFonts w:ascii="Arial" w:hAnsi="Arial" w:cs="Arial"/>
          <w:b/>
          <w:bCs/>
        </w:rPr>
        <w:t xml:space="preserve"> </w:t>
      </w:r>
      <w:r w:rsidR="00730EB9">
        <w:rPr>
          <w:rFonts w:ascii="Arial" w:hAnsi="Arial" w:cs="Arial"/>
          <w:b/>
          <w:bCs/>
        </w:rPr>
        <w:t>(see next page)</w:t>
      </w:r>
    </w:p>
    <w:p w14:paraId="090F6581" w14:textId="1E4F89C0" w:rsidR="002C2331" w:rsidRPr="002C2331" w:rsidRDefault="002C2331" w:rsidP="002C2331">
      <w:pPr>
        <w:spacing w:after="0" w:line="240" w:lineRule="auto"/>
        <w:rPr>
          <w:rFonts w:ascii="Times New Roman" w:eastAsia="Times New Roman" w:hAnsi="Times New Roman" w:cs="Times New Roman"/>
          <w:sz w:val="24"/>
          <w:szCs w:val="24"/>
        </w:rPr>
      </w:pPr>
    </w:p>
    <w:p w14:paraId="3C6113A9" w14:textId="20759CB1" w:rsidR="00730EB9" w:rsidRPr="00730EB9" w:rsidRDefault="00730EB9" w:rsidP="00730EB9">
      <w:pPr>
        <w:spacing w:after="0" w:line="240" w:lineRule="auto"/>
        <w:rPr>
          <w:rFonts w:ascii="Times New Roman" w:eastAsia="Times New Roman" w:hAnsi="Times New Roman" w:cs="Times New Roman"/>
          <w:sz w:val="24"/>
          <w:szCs w:val="24"/>
        </w:rPr>
      </w:pPr>
    </w:p>
    <w:p w14:paraId="0D353E11" w14:textId="6C57503C" w:rsidR="00730EB9" w:rsidRPr="00730EB9" w:rsidRDefault="00730EB9" w:rsidP="00730EB9">
      <w:pPr>
        <w:spacing w:after="0" w:line="240" w:lineRule="auto"/>
        <w:rPr>
          <w:rFonts w:ascii="Times New Roman" w:eastAsia="Times New Roman" w:hAnsi="Times New Roman" w:cs="Times New Roman"/>
          <w:sz w:val="24"/>
          <w:szCs w:val="24"/>
        </w:rPr>
      </w:pPr>
    </w:p>
    <w:p w14:paraId="49858E0B" w14:textId="27FC0E45" w:rsidR="00497A5F" w:rsidRPr="00497A5F" w:rsidRDefault="00497A5F" w:rsidP="00497A5F">
      <w:pPr>
        <w:spacing w:after="0" w:line="240" w:lineRule="auto"/>
        <w:rPr>
          <w:rFonts w:ascii="Times New Roman" w:eastAsia="Times New Roman" w:hAnsi="Times New Roman" w:cs="Times New Roman"/>
          <w:sz w:val="24"/>
          <w:szCs w:val="24"/>
        </w:rPr>
      </w:pPr>
    </w:p>
    <w:p w14:paraId="162766A1" w14:textId="7B9AFAA8" w:rsidR="00895457" w:rsidRPr="00895457" w:rsidRDefault="00895457" w:rsidP="00895457">
      <w:pPr>
        <w:spacing w:after="0" w:line="240" w:lineRule="auto"/>
        <w:rPr>
          <w:rFonts w:ascii="Times New Roman" w:eastAsia="Times New Roman" w:hAnsi="Times New Roman" w:cs="Times New Roman"/>
          <w:sz w:val="24"/>
          <w:szCs w:val="24"/>
        </w:rPr>
      </w:pPr>
      <w:r w:rsidRPr="00895457">
        <w:rPr>
          <w:rFonts w:ascii="Arial" w:eastAsia="Calibri" w:hAnsi="Arial" w:cs="Arial"/>
          <w:noProof/>
          <w:color w:val="000000"/>
          <w:lang w:val="en-GB"/>
        </w:rPr>
        <w:lastRenderedPageBreak/>
        <w:drawing>
          <wp:inline distT="0" distB="0" distL="0" distR="0" wp14:anchorId="36F2A818" wp14:editId="45377547">
            <wp:extent cx="5381625" cy="78009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7800975"/>
                    </a:xfrm>
                    <a:prstGeom prst="rect">
                      <a:avLst/>
                    </a:prstGeom>
                    <a:noFill/>
                    <a:ln>
                      <a:noFill/>
                    </a:ln>
                  </pic:spPr>
                </pic:pic>
              </a:graphicData>
            </a:graphic>
          </wp:inline>
        </w:drawing>
      </w:r>
    </w:p>
    <w:p w14:paraId="181A8BD8" w14:textId="77777777" w:rsidR="00895457" w:rsidRDefault="00895457" w:rsidP="00BA4B5A">
      <w:pPr>
        <w:spacing w:after="0" w:line="240" w:lineRule="auto"/>
        <w:jc w:val="both"/>
        <w:rPr>
          <w:rFonts w:ascii="Arial" w:eastAsia="Calibri" w:hAnsi="Arial" w:cs="Arial"/>
          <w:color w:val="000000"/>
          <w:lang w:val="en-GB"/>
        </w:rPr>
      </w:pPr>
    </w:p>
    <w:p w14:paraId="1528BE1F" w14:textId="295E0CB7" w:rsidR="00B02C04" w:rsidRPr="00D11C74" w:rsidRDefault="00FF7901" w:rsidP="00BA4B5A">
      <w:pPr>
        <w:spacing w:after="0" w:line="240" w:lineRule="auto"/>
        <w:jc w:val="both"/>
        <w:rPr>
          <w:rFonts w:ascii="Arial" w:hAnsi="Arial" w:cs="Arial"/>
          <w:color w:val="000000"/>
        </w:rPr>
      </w:pPr>
      <w:r w:rsidRPr="00D11C74">
        <w:rPr>
          <w:rFonts w:ascii="Arial" w:eastAsia="Calibri" w:hAnsi="Arial" w:cs="Arial"/>
          <w:color w:val="000000"/>
          <w:lang w:val="en-GB"/>
        </w:rPr>
        <w:lastRenderedPageBreak/>
        <w:t xml:space="preserve">The </w:t>
      </w:r>
      <w:r w:rsidR="00497A5F">
        <w:rPr>
          <w:rFonts w:ascii="Arial" w:eastAsia="Calibri" w:hAnsi="Arial" w:cs="Arial"/>
          <w:color w:val="000000"/>
          <w:lang w:val="en-GB"/>
        </w:rPr>
        <w:t xml:space="preserve">target cells </w:t>
      </w:r>
      <w:r w:rsidRPr="00D11C74">
        <w:rPr>
          <w:rFonts w:ascii="Arial" w:eastAsia="Calibri" w:hAnsi="Arial" w:cs="Arial"/>
          <w:color w:val="000000"/>
          <w:lang w:val="en-GB"/>
        </w:rPr>
        <w:t xml:space="preserve">will be </w:t>
      </w:r>
      <w:r w:rsidR="00012F4D">
        <w:rPr>
          <w:rFonts w:ascii="Arial" w:eastAsia="Calibri" w:hAnsi="Arial" w:cs="Arial"/>
          <w:color w:val="000000"/>
          <w:lang w:val="en-GB"/>
        </w:rPr>
        <w:t>resuspended</w:t>
      </w:r>
      <w:r w:rsidR="00497A5F">
        <w:rPr>
          <w:rFonts w:ascii="Arial" w:eastAsia="Calibri" w:hAnsi="Arial" w:cs="Arial"/>
          <w:color w:val="000000"/>
          <w:lang w:val="en-GB"/>
        </w:rPr>
        <w:t xml:space="preserve"> in 5% HSA v/v. </w:t>
      </w:r>
      <w:r w:rsidRPr="00D11C74">
        <w:rPr>
          <w:rFonts w:ascii="Arial" w:hAnsi="Arial" w:cs="Arial"/>
          <w:color w:val="000000"/>
        </w:rPr>
        <w:t xml:space="preserve">The product will be tested for sterility, </w:t>
      </w:r>
      <w:r w:rsidR="002C2331">
        <w:rPr>
          <w:rFonts w:ascii="Arial" w:hAnsi="Arial" w:cs="Arial"/>
          <w:color w:val="000000"/>
        </w:rPr>
        <w:t>e</w:t>
      </w:r>
      <w:r w:rsidRPr="00D11C74">
        <w:rPr>
          <w:rFonts w:ascii="Arial" w:hAnsi="Arial" w:cs="Arial"/>
          <w:color w:val="000000"/>
        </w:rPr>
        <w:t xml:space="preserve">ndotoxin, </w:t>
      </w:r>
      <w:r w:rsidR="00497A5F">
        <w:rPr>
          <w:rFonts w:ascii="Arial" w:hAnsi="Arial" w:cs="Arial"/>
          <w:color w:val="000000"/>
        </w:rPr>
        <w:t>viability</w:t>
      </w:r>
      <w:r w:rsidRPr="00D11C74">
        <w:rPr>
          <w:rFonts w:ascii="Arial" w:hAnsi="Arial" w:cs="Arial"/>
          <w:color w:val="000000"/>
        </w:rPr>
        <w:t xml:space="preserve"> and identity. </w:t>
      </w:r>
      <w:r w:rsidR="002C2331">
        <w:rPr>
          <w:rFonts w:ascii="Arial" w:hAnsi="Arial" w:cs="Arial"/>
          <w:color w:val="000000"/>
        </w:rPr>
        <w:t xml:space="preserve">The final dose will be cryopreserved in 5% HSA and 10% DMSO. </w:t>
      </w:r>
      <w:r w:rsidRPr="00D11C74">
        <w:rPr>
          <w:rFonts w:ascii="Arial" w:hAnsi="Arial" w:cs="Arial"/>
          <w:color w:val="000000"/>
        </w:rPr>
        <w:t>Results from the Endotoxin</w:t>
      </w:r>
      <w:r w:rsidR="00497A5F">
        <w:rPr>
          <w:rFonts w:ascii="Arial" w:hAnsi="Arial" w:cs="Arial"/>
          <w:color w:val="000000"/>
        </w:rPr>
        <w:t xml:space="preserve"> test</w:t>
      </w:r>
      <w:r w:rsidRPr="00D11C74">
        <w:rPr>
          <w:rFonts w:ascii="Arial" w:hAnsi="Arial" w:cs="Arial"/>
          <w:color w:val="000000"/>
        </w:rPr>
        <w:t>,</w:t>
      </w:r>
      <w:r w:rsidR="00497A5F">
        <w:rPr>
          <w:rFonts w:ascii="Arial" w:hAnsi="Arial" w:cs="Arial"/>
          <w:color w:val="000000"/>
        </w:rPr>
        <w:t xml:space="preserve"> viability, </w:t>
      </w:r>
      <w:r w:rsidR="00730EB9">
        <w:rPr>
          <w:rFonts w:ascii="Arial" w:hAnsi="Arial" w:cs="Arial"/>
          <w:color w:val="000000"/>
        </w:rPr>
        <w:t xml:space="preserve">and </w:t>
      </w:r>
      <w:r w:rsidR="00497A5F">
        <w:rPr>
          <w:rFonts w:ascii="Arial" w:hAnsi="Arial" w:cs="Arial"/>
          <w:color w:val="000000"/>
        </w:rPr>
        <w:t>identity</w:t>
      </w:r>
      <w:r w:rsidRPr="00D11C74">
        <w:rPr>
          <w:rFonts w:ascii="Arial" w:hAnsi="Arial" w:cs="Arial"/>
          <w:color w:val="000000"/>
        </w:rPr>
        <w:t xml:space="preserve"> must meet release criteria for the product to be administered. The microbial culture results will not be available prior to release of the product.  </w:t>
      </w:r>
    </w:p>
    <w:p w14:paraId="38E70E34" w14:textId="77777777" w:rsidR="00AD1F2B" w:rsidRDefault="00AD1F2B" w:rsidP="00AD1F2B">
      <w:pPr>
        <w:rPr>
          <w:rFonts w:ascii="Arial" w:hAnsi="Arial" w:cs="Arial"/>
          <w:color w:val="000000"/>
        </w:rPr>
      </w:pPr>
    </w:p>
    <w:p w14:paraId="1EE2776C" w14:textId="16E70CE9" w:rsidR="004B3372" w:rsidRPr="00A66B85" w:rsidRDefault="00AD1F2B" w:rsidP="00AD1F2B">
      <w:pPr>
        <w:rPr>
          <w:rFonts w:ascii="Arial" w:hAnsi="Arial" w:cs="Arial"/>
          <w:b/>
          <w:bCs/>
        </w:rPr>
      </w:pPr>
      <w:r>
        <w:rPr>
          <w:rFonts w:ascii="Arial" w:hAnsi="Arial" w:cs="Arial"/>
          <w:b/>
          <w:bCs/>
        </w:rPr>
        <w:t>Ir</w:t>
      </w:r>
      <w:r w:rsidR="004B0E20" w:rsidRPr="00A66B85">
        <w:rPr>
          <w:rFonts w:ascii="Arial" w:hAnsi="Arial" w:cs="Arial"/>
          <w:b/>
          <w:bCs/>
        </w:rPr>
        <w:t>radiation</w:t>
      </w:r>
    </w:p>
    <w:p w14:paraId="4FCE504F" w14:textId="705ABF1A" w:rsidR="00A94F81" w:rsidRPr="00AD1F2B" w:rsidRDefault="00FF7901" w:rsidP="00AD1F2B">
      <w:pPr>
        <w:spacing w:after="0" w:line="240" w:lineRule="auto"/>
        <w:jc w:val="both"/>
        <w:rPr>
          <w:rFonts w:ascii="Arial" w:hAnsi="Arial" w:cs="Arial"/>
        </w:rPr>
      </w:pPr>
      <w:r w:rsidRPr="00D11C74">
        <w:rPr>
          <w:rFonts w:ascii="Arial" w:hAnsi="Arial" w:cs="Arial"/>
        </w:rPr>
        <w:t>No irradiation will be used for this process.</w:t>
      </w:r>
      <w:r w:rsidR="00A94F81" w:rsidRPr="00D11C74">
        <w:rPr>
          <w:rFonts w:cs="Arial"/>
          <w:iCs/>
          <w:color w:val="000000" w:themeColor="text1"/>
          <w:lang w:val="en-GB"/>
        </w:rPr>
        <w:t xml:space="preserve"> </w:t>
      </w:r>
    </w:p>
    <w:p w14:paraId="3A3DDE03" w14:textId="77777777" w:rsidR="00A94F81" w:rsidRPr="00D11C74" w:rsidRDefault="004B0E20" w:rsidP="00BA4B5A">
      <w:pPr>
        <w:spacing w:after="0" w:line="240" w:lineRule="auto"/>
        <w:jc w:val="both"/>
        <w:rPr>
          <w:rFonts w:ascii="Arial" w:hAnsi="Arial" w:cs="Arial"/>
        </w:rPr>
      </w:pPr>
      <w:r w:rsidRPr="00D11C74">
        <w:rPr>
          <w:rFonts w:ascii="Arial" w:hAnsi="Arial" w:cs="Arial"/>
        </w:rPr>
        <w:tab/>
      </w:r>
      <w:r w:rsidRPr="00D11C74">
        <w:rPr>
          <w:rFonts w:ascii="Arial" w:hAnsi="Arial" w:cs="Arial"/>
        </w:rPr>
        <w:tab/>
      </w:r>
      <w:r w:rsidRPr="00D11C74">
        <w:rPr>
          <w:rFonts w:ascii="Arial" w:hAnsi="Arial" w:cs="Arial"/>
        </w:rPr>
        <w:tab/>
      </w:r>
    </w:p>
    <w:p w14:paraId="2DD7412C" w14:textId="248C8B54" w:rsidR="004B0E20" w:rsidRPr="00D11C74" w:rsidRDefault="004B0E20" w:rsidP="00BA4B5A">
      <w:pPr>
        <w:spacing w:after="0" w:line="240" w:lineRule="auto"/>
        <w:jc w:val="both"/>
        <w:rPr>
          <w:rFonts w:ascii="Arial" w:hAnsi="Arial" w:cs="Arial"/>
          <w:b/>
          <w:bCs/>
        </w:rPr>
      </w:pPr>
      <w:r w:rsidRPr="00D11C74">
        <w:rPr>
          <w:rFonts w:ascii="Arial" w:hAnsi="Arial" w:cs="Arial"/>
          <w:b/>
          <w:bCs/>
        </w:rPr>
        <w:t>Process Timing &amp; Intermediate Storage</w:t>
      </w:r>
    </w:p>
    <w:p w14:paraId="3EC9EEAE" w14:textId="77777777" w:rsidR="001815AC" w:rsidRPr="0098463A" w:rsidRDefault="001815AC" w:rsidP="00BA4B5A">
      <w:pPr>
        <w:spacing w:after="0" w:line="240" w:lineRule="auto"/>
        <w:jc w:val="both"/>
        <w:rPr>
          <w:rFonts w:ascii="Arial" w:hAnsi="Arial" w:cs="Arial"/>
          <w:b/>
          <w:bCs/>
          <w:sz w:val="10"/>
          <w:szCs w:val="10"/>
        </w:rPr>
      </w:pPr>
    </w:p>
    <w:p w14:paraId="5B5DF481" w14:textId="7ECC8A39" w:rsidR="00AD1F2B" w:rsidRPr="001F1BD0" w:rsidRDefault="00E811B5" w:rsidP="001F1BD0">
      <w:pPr>
        <w:spacing w:after="0" w:line="240" w:lineRule="auto"/>
        <w:jc w:val="both"/>
        <w:rPr>
          <w:rFonts w:ascii="Arial" w:hAnsi="Arial" w:cs="Arial"/>
        </w:rPr>
      </w:pPr>
      <w:r>
        <w:rPr>
          <w:rFonts w:ascii="Arial" w:hAnsi="Arial" w:cs="Arial"/>
        </w:rPr>
        <w:t xml:space="preserve">Collection to infusion </w:t>
      </w:r>
      <w:r w:rsidR="00A279FE">
        <w:rPr>
          <w:rFonts w:ascii="Arial" w:hAnsi="Arial" w:cs="Arial"/>
        </w:rPr>
        <w:t>should take less than 48 hours if the dose is provided fresh</w:t>
      </w:r>
      <w:r w:rsidR="009A004D">
        <w:rPr>
          <w:rFonts w:ascii="Arial" w:hAnsi="Arial" w:cs="Arial"/>
        </w:rPr>
        <w:t xml:space="preserve">. </w:t>
      </w:r>
      <w:r w:rsidR="00AD1F2B" w:rsidRPr="00D11C74">
        <w:rPr>
          <w:rFonts w:ascii="Arial" w:hAnsi="Arial" w:cs="Arial"/>
          <w:iCs/>
          <w:color w:val="000000" w:themeColor="text1"/>
        </w:rPr>
        <w:t xml:space="preserve">After the </w:t>
      </w:r>
      <w:r w:rsidR="00AD1F2B">
        <w:rPr>
          <w:rFonts w:ascii="Arial" w:hAnsi="Arial" w:cs="Arial"/>
          <w:iCs/>
          <w:color w:val="000000" w:themeColor="text1"/>
        </w:rPr>
        <w:t xml:space="preserve">release testing is completed, </w:t>
      </w:r>
      <w:r w:rsidR="000969D1">
        <w:rPr>
          <w:rFonts w:ascii="Arial" w:hAnsi="Arial" w:cs="Arial"/>
          <w:iCs/>
          <w:color w:val="000000" w:themeColor="text1"/>
        </w:rPr>
        <w:t xml:space="preserve">numbers from </w:t>
      </w:r>
      <w:r w:rsidR="00AD1F2B">
        <w:rPr>
          <w:rFonts w:ascii="Arial" w:hAnsi="Arial" w:cs="Arial"/>
          <w:iCs/>
          <w:color w:val="000000" w:themeColor="text1"/>
        </w:rPr>
        <w:t xml:space="preserve">the cell count and </w:t>
      </w:r>
      <w:r w:rsidR="00A279FE">
        <w:rPr>
          <w:rFonts w:ascii="Arial" w:hAnsi="Arial" w:cs="Arial"/>
          <w:iCs/>
          <w:color w:val="000000" w:themeColor="text1"/>
        </w:rPr>
        <w:t>phenotype</w:t>
      </w:r>
      <w:r w:rsidR="00AD1F2B">
        <w:rPr>
          <w:rFonts w:ascii="Arial" w:hAnsi="Arial" w:cs="Arial"/>
          <w:iCs/>
          <w:color w:val="000000" w:themeColor="text1"/>
        </w:rPr>
        <w:t xml:space="preserve"> will be used to prepare the dose</w:t>
      </w:r>
      <w:r w:rsidR="00AD1F2B" w:rsidRPr="00D11C74">
        <w:rPr>
          <w:rFonts w:ascii="Arial" w:hAnsi="Arial" w:cs="Arial"/>
          <w:iCs/>
          <w:color w:val="000000" w:themeColor="text1"/>
        </w:rPr>
        <w:t>.</w:t>
      </w:r>
      <w:r w:rsidR="00AD1F2B" w:rsidRPr="00D11C74">
        <w:rPr>
          <w:rFonts w:ascii="Arial" w:eastAsia="Calibri" w:hAnsi="Arial" w:cs="Arial"/>
          <w:iCs/>
          <w:color w:val="000000" w:themeColor="text1"/>
          <w:lang w:val="en-GB"/>
        </w:rPr>
        <w:t xml:space="preserve"> </w:t>
      </w:r>
      <w:r w:rsidR="00AD1F2B">
        <w:rPr>
          <w:rFonts w:ascii="Arial" w:eastAsia="Calibri" w:hAnsi="Arial" w:cs="Arial"/>
          <w:lang w:val="en-GB"/>
        </w:rPr>
        <w:t xml:space="preserve">  </w:t>
      </w:r>
    </w:p>
    <w:p w14:paraId="3E79F0D3" w14:textId="77777777" w:rsidR="00AD1F2B" w:rsidRPr="00D11C74" w:rsidRDefault="00AD1F2B" w:rsidP="00AD1F2B">
      <w:pPr>
        <w:autoSpaceDE w:val="0"/>
        <w:autoSpaceDN w:val="0"/>
        <w:adjustRightInd w:val="0"/>
        <w:spacing w:after="0" w:line="240" w:lineRule="auto"/>
        <w:jc w:val="both"/>
        <w:rPr>
          <w:rFonts w:ascii="Arial" w:hAnsi="Arial" w:cs="Arial"/>
        </w:rPr>
      </w:pPr>
    </w:p>
    <w:p w14:paraId="4FC533B8" w14:textId="3CC921B3" w:rsidR="00AD1F2B" w:rsidRPr="00AD1F2B" w:rsidRDefault="00AD1F2B" w:rsidP="00AD1F2B">
      <w:pPr>
        <w:spacing w:after="0" w:line="240" w:lineRule="auto"/>
        <w:jc w:val="both"/>
        <w:rPr>
          <w:rFonts w:ascii="Arial" w:hAnsi="Arial" w:cs="Arial"/>
          <w:iCs/>
          <w:color w:val="000000" w:themeColor="text1"/>
        </w:rPr>
      </w:pPr>
      <w:r w:rsidRPr="00AD1F2B">
        <w:rPr>
          <w:rFonts w:ascii="Arial" w:hAnsi="Arial" w:cs="Arial"/>
          <w:iCs/>
          <w:color w:val="000000" w:themeColor="text1"/>
        </w:rPr>
        <w:t xml:space="preserve">Once the dose is prepared, the cells are </w:t>
      </w:r>
      <w:r w:rsidR="002C2331">
        <w:rPr>
          <w:rFonts w:ascii="Arial" w:hAnsi="Arial" w:cs="Arial"/>
          <w:iCs/>
          <w:color w:val="000000" w:themeColor="text1"/>
        </w:rPr>
        <w:t>cryopreserved and stored in the vapor phase of liquid nitrogen</w:t>
      </w:r>
      <w:r w:rsidRPr="00AD1F2B">
        <w:rPr>
          <w:rFonts w:ascii="Arial" w:hAnsi="Arial" w:cs="Arial"/>
          <w:iCs/>
          <w:color w:val="000000" w:themeColor="text1"/>
        </w:rPr>
        <w:t xml:space="preserve"> until release</w:t>
      </w:r>
      <w:r w:rsidR="006C4F60">
        <w:rPr>
          <w:rFonts w:ascii="Arial" w:hAnsi="Arial" w:cs="Arial"/>
          <w:iCs/>
          <w:color w:val="000000" w:themeColor="text1"/>
        </w:rPr>
        <w:t xml:space="preserve"> for approximately one week</w:t>
      </w:r>
      <w:r w:rsidRPr="00AD1F2B">
        <w:rPr>
          <w:rFonts w:ascii="Arial" w:hAnsi="Arial" w:cs="Arial"/>
          <w:iCs/>
          <w:color w:val="000000" w:themeColor="text1"/>
        </w:rPr>
        <w:t xml:space="preserve">. Cells are transported </w:t>
      </w:r>
      <w:r w:rsidR="00A279FE">
        <w:rPr>
          <w:rFonts w:ascii="Arial" w:hAnsi="Arial" w:cs="Arial"/>
          <w:iCs/>
          <w:color w:val="000000" w:themeColor="text1"/>
        </w:rPr>
        <w:t>from</w:t>
      </w:r>
      <w:r w:rsidRPr="00AD1F2B">
        <w:rPr>
          <w:rFonts w:ascii="Arial" w:hAnsi="Arial" w:cs="Arial"/>
          <w:iCs/>
          <w:color w:val="000000" w:themeColor="text1"/>
        </w:rPr>
        <w:t xml:space="preserve"> the Cell Therapy Laboratory </w:t>
      </w:r>
      <w:r w:rsidR="00A279FE">
        <w:rPr>
          <w:rFonts w:ascii="Arial" w:hAnsi="Arial" w:cs="Arial"/>
          <w:iCs/>
          <w:color w:val="000000" w:themeColor="text1"/>
        </w:rPr>
        <w:t>to the patient bedside</w:t>
      </w:r>
      <w:r w:rsidRPr="00AD1F2B">
        <w:rPr>
          <w:rFonts w:ascii="Arial" w:hAnsi="Arial" w:cs="Arial"/>
          <w:iCs/>
          <w:color w:val="000000" w:themeColor="text1"/>
        </w:rPr>
        <w:t xml:space="preserve"> and transport takes place in </w:t>
      </w:r>
      <w:r w:rsidR="002C2331">
        <w:rPr>
          <w:rFonts w:ascii="Arial" w:hAnsi="Arial" w:cs="Arial"/>
          <w:iCs/>
          <w:color w:val="000000" w:themeColor="text1"/>
        </w:rPr>
        <w:t>qualified dry shipper</w:t>
      </w:r>
      <w:r w:rsidRPr="00AD1F2B">
        <w:rPr>
          <w:rFonts w:ascii="Arial" w:hAnsi="Arial" w:cs="Arial"/>
          <w:iCs/>
          <w:color w:val="000000" w:themeColor="text1"/>
        </w:rPr>
        <w:t>.</w:t>
      </w:r>
      <w:r w:rsidR="002C2331">
        <w:rPr>
          <w:rFonts w:ascii="Arial" w:hAnsi="Arial" w:cs="Arial"/>
          <w:iCs/>
          <w:color w:val="000000" w:themeColor="text1"/>
        </w:rPr>
        <w:t xml:space="preserve"> The final product is thawed at the patient bedside.</w:t>
      </w:r>
    </w:p>
    <w:p w14:paraId="52D7A212" w14:textId="77777777" w:rsidR="001815AC" w:rsidRPr="00D11C74" w:rsidRDefault="003B510A" w:rsidP="00BA4B5A">
      <w:pPr>
        <w:spacing w:after="0" w:line="240" w:lineRule="auto"/>
        <w:jc w:val="both"/>
        <w:rPr>
          <w:rFonts w:ascii="Arial" w:hAnsi="Arial" w:cs="Arial"/>
        </w:rPr>
      </w:pPr>
      <w:r w:rsidRPr="00D11C74">
        <w:rPr>
          <w:rFonts w:ascii="Arial" w:hAnsi="Arial" w:cs="Arial"/>
        </w:rPr>
        <w:tab/>
      </w:r>
      <w:r w:rsidRPr="00D11C74">
        <w:rPr>
          <w:rFonts w:ascii="Arial" w:hAnsi="Arial" w:cs="Arial"/>
        </w:rPr>
        <w:tab/>
      </w:r>
    </w:p>
    <w:p w14:paraId="6B18721B" w14:textId="24079B25" w:rsidR="003B510A" w:rsidRPr="00D11C74" w:rsidRDefault="003B510A" w:rsidP="00BA4B5A">
      <w:pPr>
        <w:spacing w:after="0" w:line="240" w:lineRule="auto"/>
        <w:jc w:val="both"/>
        <w:rPr>
          <w:rFonts w:ascii="Arial" w:hAnsi="Arial" w:cs="Arial"/>
          <w:b/>
          <w:bCs/>
        </w:rPr>
      </w:pPr>
      <w:bookmarkStart w:id="0" w:name="_Hlk152247082"/>
      <w:r w:rsidRPr="00D11C74">
        <w:rPr>
          <w:rFonts w:ascii="Arial" w:hAnsi="Arial" w:cs="Arial"/>
          <w:b/>
          <w:bCs/>
        </w:rPr>
        <w:t>Final Formulation</w:t>
      </w:r>
    </w:p>
    <w:p w14:paraId="6B9FCA9D" w14:textId="43DDFE1A" w:rsidR="001F1BD0" w:rsidRDefault="001F1BD0" w:rsidP="00BA4B5A">
      <w:pPr>
        <w:spacing w:after="0" w:line="240" w:lineRule="auto"/>
        <w:jc w:val="both"/>
        <w:rPr>
          <w:rFonts w:ascii="Arial" w:hAnsi="Arial" w:cs="Arial"/>
        </w:rPr>
      </w:pPr>
      <w:r>
        <w:rPr>
          <w:rFonts w:ascii="Arial" w:hAnsi="Arial" w:cs="Arial"/>
          <w:iCs/>
          <w:color w:val="000000" w:themeColor="text1"/>
        </w:rPr>
        <w:t xml:space="preserve">The patient will receive </w:t>
      </w:r>
      <w:r w:rsidR="00A279FE">
        <w:rPr>
          <w:rFonts w:ascii="Arial" w:hAnsi="Arial" w:cs="Arial"/>
          <w:iCs/>
          <w:color w:val="000000" w:themeColor="text1"/>
        </w:rPr>
        <w:t>a target dose of 10</w:t>
      </w:r>
      <w:r>
        <w:rPr>
          <w:rFonts w:ascii="Arial" w:hAnsi="Arial" w:cs="Arial"/>
          <w:iCs/>
          <w:color w:val="000000" w:themeColor="text1"/>
        </w:rPr>
        <w:t xml:space="preserve"> x 10^</w:t>
      </w:r>
      <w:r w:rsidR="00A279FE">
        <w:rPr>
          <w:rFonts w:ascii="Arial" w:hAnsi="Arial" w:cs="Arial"/>
          <w:iCs/>
          <w:color w:val="000000" w:themeColor="text1"/>
        </w:rPr>
        <w:t>6</w:t>
      </w:r>
      <w:r>
        <w:rPr>
          <w:rFonts w:ascii="Arial" w:hAnsi="Arial" w:cs="Arial"/>
          <w:iCs/>
          <w:color w:val="000000" w:themeColor="text1"/>
        </w:rPr>
        <w:t xml:space="preserve"> CD3</w:t>
      </w:r>
      <w:r w:rsidR="00A279FE">
        <w:rPr>
          <w:rFonts w:ascii="Arial" w:hAnsi="Arial" w:cs="Arial"/>
          <w:iCs/>
          <w:color w:val="000000" w:themeColor="text1"/>
        </w:rPr>
        <w:t>4</w:t>
      </w:r>
      <w:r>
        <w:rPr>
          <w:rFonts w:ascii="Arial" w:hAnsi="Arial" w:cs="Arial"/>
          <w:iCs/>
          <w:color w:val="000000" w:themeColor="text1"/>
        </w:rPr>
        <w:t xml:space="preserve"> cells/kg body weight</w:t>
      </w:r>
      <w:r w:rsidR="00A279FE">
        <w:rPr>
          <w:rFonts w:ascii="Arial" w:hAnsi="Arial" w:cs="Arial"/>
          <w:iCs/>
          <w:color w:val="000000" w:themeColor="text1"/>
        </w:rPr>
        <w:t xml:space="preserve"> (minimum of 2</w:t>
      </w:r>
      <w:r w:rsidR="00100BAE">
        <w:rPr>
          <w:rFonts w:ascii="Arial" w:hAnsi="Arial" w:cs="Arial"/>
          <w:iCs/>
          <w:color w:val="000000" w:themeColor="text1"/>
        </w:rPr>
        <w:t xml:space="preserve"> x 10^6 CD34 cells/kg body weight)</w:t>
      </w:r>
      <w:r>
        <w:rPr>
          <w:rFonts w:ascii="Arial" w:hAnsi="Arial" w:cs="Arial"/>
          <w:iCs/>
          <w:color w:val="000000" w:themeColor="text1"/>
        </w:rPr>
        <w:t xml:space="preserve">. Patients </w:t>
      </w:r>
      <w:r w:rsidRPr="00D11C74">
        <w:rPr>
          <w:rFonts w:ascii="Arial" w:eastAsia="Calibri" w:hAnsi="Arial" w:cs="Arial"/>
          <w:iCs/>
          <w:color w:val="000000" w:themeColor="text1"/>
          <w:lang w:val="en-GB"/>
        </w:rPr>
        <w:t>will receive ≤5 EU/kg body weight/hour</w:t>
      </w:r>
      <w:r>
        <w:rPr>
          <w:rFonts w:ascii="Arial" w:eastAsia="Calibri" w:hAnsi="Arial" w:cs="Arial"/>
          <w:iCs/>
          <w:color w:val="000000" w:themeColor="text1"/>
          <w:lang w:val="en-GB"/>
        </w:rPr>
        <w:t>.</w:t>
      </w:r>
      <w:r w:rsidRPr="00D11C74">
        <w:rPr>
          <w:rFonts w:ascii="Arial" w:hAnsi="Arial" w:cs="Arial"/>
        </w:rPr>
        <w:t xml:space="preserve"> </w:t>
      </w:r>
    </w:p>
    <w:p w14:paraId="366A07FC" w14:textId="1CC10E8A" w:rsidR="00100BAE" w:rsidRDefault="00100BAE" w:rsidP="00BA4B5A">
      <w:pPr>
        <w:spacing w:after="0" w:line="240" w:lineRule="auto"/>
        <w:jc w:val="both"/>
        <w:rPr>
          <w:rFonts w:ascii="Arial" w:hAnsi="Arial" w:cs="Arial"/>
        </w:rPr>
      </w:pPr>
    </w:p>
    <w:p w14:paraId="35577C41" w14:textId="121A52EF" w:rsidR="00100BAE" w:rsidRDefault="00100BAE" w:rsidP="00BA4B5A">
      <w:pPr>
        <w:spacing w:after="0" w:line="240" w:lineRule="auto"/>
        <w:jc w:val="both"/>
        <w:rPr>
          <w:rFonts w:ascii="Arial" w:hAnsi="Arial" w:cs="Arial"/>
        </w:rPr>
      </w:pPr>
      <w:r>
        <w:rPr>
          <w:rFonts w:ascii="Arial" w:hAnsi="Arial" w:cs="Arial"/>
        </w:rPr>
        <w:t xml:space="preserve">The target </w:t>
      </w:r>
      <w:r w:rsidR="00A1264E">
        <w:rPr>
          <w:rFonts w:ascii="Arial" w:hAnsi="Arial" w:cs="Arial"/>
        </w:rPr>
        <w:t xml:space="preserve">CD3+ </w:t>
      </w:r>
      <w:r>
        <w:rPr>
          <w:rFonts w:ascii="Arial" w:hAnsi="Arial" w:cs="Arial"/>
        </w:rPr>
        <w:t xml:space="preserve">cell dose will be ≤1.0 x 10^5 cells/kg body weight, with a maximum allowed of &lt;5.0 x 10^5 </w:t>
      </w:r>
      <w:r w:rsidR="00A1264E">
        <w:rPr>
          <w:rFonts w:ascii="Arial" w:hAnsi="Arial" w:cs="Arial"/>
        </w:rPr>
        <w:t>TCR</w:t>
      </w:r>
      <w:r w:rsidR="00A1264E" w:rsidRPr="00A1264E">
        <w:rPr>
          <w:rFonts w:ascii="Symbol" w:hAnsi="Symbol" w:cs="Arial"/>
        </w:rPr>
        <w:t xml:space="preserve">a/b </w:t>
      </w:r>
      <w:r>
        <w:rPr>
          <w:rFonts w:ascii="Arial" w:hAnsi="Arial" w:cs="Arial"/>
        </w:rPr>
        <w:t>cells/kg body weight if the CD34+ cell number is &lt;5.0 x 10^6 cells/kg.</w:t>
      </w:r>
    </w:p>
    <w:p w14:paraId="7E8C6C44" w14:textId="6C226303" w:rsidR="00100BAE" w:rsidRDefault="00100BAE" w:rsidP="00BA4B5A">
      <w:pPr>
        <w:spacing w:after="0" w:line="240" w:lineRule="auto"/>
        <w:jc w:val="both"/>
        <w:rPr>
          <w:rFonts w:ascii="Arial" w:hAnsi="Arial" w:cs="Arial"/>
        </w:rPr>
      </w:pPr>
    </w:p>
    <w:p w14:paraId="7E3D6318" w14:textId="27B52720" w:rsidR="00100BAE" w:rsidRDefault="00100BAE" w:rsidP="00BA4B5A">
      <w:pPr>
        <w:spacing w:after="0" w:line="240" w:lineRule="auto"/>
        <w:jc w:val="both"/>
        <w:rPr>
          <w:rFonts w:ascii="Arial" w:hAnsi="Arial" w:cs="Arial"/>
        </w:rPr>
      </w:pPr>
      <w:r>
        <w:rPr>
          <w:rFonts w:ascii="Arial" w:hAnsi="Arial" w:cs="Arial"/>
        </w:rPr>
        <w:t>The target CD19+ cell dose will be ≤1.0 x 10^5 cells/kg body weight</w:t>
      </w:r>
      <w:r w:rsidR="00BB4992">
        <w:rPr>
          <w:rFonts w:ascii="Arial" w:hAnsi="Arial" w:cs="Arial"/>
        </w:rPr>
        <w:t xml:space="preserve">. </w:t>
      </w:r>
      <w:r w:rsidR="00BB4992" w:rsidRPr="00BB4992">
        <w:rPr>
          <w:rFonts w:ascii="Arial" w:hAnsi="Arial" w:cs="Arial"/>
        </w:rPr>
        <w:t xml:space="preserve">Rituximab </w:t>
      </w:r>
      <w:r w:rsidR="00BB4992">
        <w:rPr>
          <w:rFonts w:ascii="Arial" w:hAnsi="Arial" w:cs="Arial"/>
        </w:rPr>
        <w:t xml:space="preserve">will be given </w:t>
      </w:r>
      <w:r w:rsidR="00BB4992" w:rsidRPr="00BB4992">
        <w:rPr>
          <w:rFonts w:ascii="Arial" w:hAnsi="Arial" w:cs="Arial"/>
        </w:rPr>
        <w:t>on Day -1 200mg/m^2 IV x 1 dose</w:t>
      </w:r>
      <w:r w:rsidR="00BB4992">
        <w:rPr>
          <w:rFonts w:ascii="Arial" w:hAnsi="Arial" w:cs="Arial"/>
        </w:rPr>
        <w:t>.</w:t>
      </w:r>
      <w:r w:rsidR="00A1264E">
        <w:rPr>
          <w:rFonts w:ascii="Arial" w:hAnsi="Arial" w:cs="Arial"/>
        </w:rPr>
        <w:t xml:space="preserve"> </w:t>
      </w:r>
    </w:p>
    <w:p w14:paraId="11E2BC26" w14:textId="77777777" w:rsidR="001F1BD0" w:rsidRDefault="001F1BD0" w:rsidP="00BA4B5A">
      <w:pPr>
        <w:spacing w:after="0" w:line="240" w:lineRule="auto"/>
        <w:jc w:val="both"/>
        <w:rPr>
          <w:rFonts w:ascii="Arial" w:hAnsi="Arial" w:cs="Arial"/>
        </w:rPr>
      </w:pPr>
    </w:p>
    <w:p w14:paraId="603573EF" w14:textId="1BEA19FD" w:rsidR="007258EF" w:rsidRPr="00D11C74" w:rsidRDefault="00DC2529" w:rsidP="00BA4B5A">
      <w:pPr>
        <w:spacing w:after="0" w:line="240" w:lineRule="auto"/>
        <w:jc w:val="both"/>
        <w:rPr>
          <w:rFonts w:ascii="Arial" w:hAnsi="Arial" w:cs="Arial"/>
        </w:rPr>
      </w:pPr>
      <w:r w:rsidRPr="00D11C74">
        <w:rPr>
          <w:rFonts w:ascii="Arial" w:hAnsi="Arial" w:cs="Arial"/>
        </w:rPr>
        <w:t xml:space="preserve">The required dose will be removed from the </w:t>
      </w:r>
      <w:r w:rsidR="007258EF" w:rsidRPr="00D11C74">
        <w:rPr>
          <w:rFonts w:ascii="Arial" w:hAnsi="Arial" w:cs="Arial"/>
        </w:rPr>
        <w:t>harvested product and suspended in</w:t>
      </w:r>
      <w:r w:rsidR="009C58BD">
        <w:rPr>
          <w:rFonts w:ascii="Arial" w:hAnsi="Arial" w:cs="Arial"/>
        </w:rPr>
        <w:t xml:space="preserve"> </w:t>
      </w:r>
      <w:r w:rsidR="009A004D">
        <w:rPr>
          <w:rFonts w:ascii="Arial" w:hAnsi="Arial" w:cs="Arial"/>
        </w:rPr>
        <w:t>5</w:t>
      </w:r>
      <w:r w:rsidR="007258EF" w:rsidRPr="00D11C74">
        <w:rPr>
          <w:rFonts w:ascii="Arial" w:hAnsi="Arial" w:cs="Arial"/>
        </w:rPr>
        <w:t xml:space="preserve">% </w:t>
      </w:r>
      <w:r w:rsidR="00A23AF2" w:rsidRPr="00D11C74">
        <w:rPr>
          <w:rFonts w:ascii="Arial" w:hAnsi="Arial" w:cs="Arial"/>
        </w:rPr>
        <w:t xml:space="preserve">v/v </w:t>
      </w:r>
      <w:r w:rsidR="002C2331">
        <w:rPr>
          <w:rFonts w:ascii="Arial" w:hAnsi="Arial" w:cs="Arial"/>
        </w:rPr>
        <w:t>HSA and cryopreserved after the addition of DMSO</w:t>
      </w:r>
      <w:r w:rsidR="00012F4D">
        <w:rPr>
          <w:rFonts w:ascii="Arial" w:hAnsi="Arial" w:cs="Arial"/>
        </w:rPr>
        <w:t xml:space="preserve">. </w:t>
      </w:r>
      <w:r w:rsidR="009A004D">
        <w:rPr>
          <w:rFonts w:ascii="Arial" w:hAnsi="Arial" w:cs="Arial"/>
        </w:rPr>
        <w:t xml:space="preserve">The </w:t>
      </w:r>
      <w:r w:rsidR="00012F4D">
        <w:rPr>
          <w:rFonts w:ascii="Arial" w:hAnsi="Arial" w:cs="Arial"/>
        </w:rPr>
        <w:t>final product is</w:t>
      </w:r>
      <w:r w:rsidR="009A004D">
        <w:rPr>
          <w:rFonts w:ascii="Arial" w:hAnsi="Arial" w:cs="Arial"/>
        </w:rPr>
        <w:t xml:space="preserve"> labeled according to ISBT128 labeling. </w:t>
      </w:r>
      <w:r w:rsidR="00595EE7" w:rsidRPr="00D11C74">
        <w:rPr>
          <w:rFonts w:ascii="Arial" w:hAnsi="Arial" w:cs="Arial"/>
        </w:rPr>
        <w:t xml:space="preserve">The final product will not be released until the Certificate of Analysis is completed and approved by the Technical team and the Quality Assurance team. Once approved for release, the CTL will </w:t>
      </w:r>
      <w:r w:rsidR="00A66B85">
        <w:rPr>
          <w:rFonts w:ascii="Arial" w:hAnsi="Arial" w:cs="Arial"/>
        </w:rPr>
        <w:t>transport patient</w:t>
      </w:r>
      <w:r w:rsidR="00595EE7" w:rsidRPr="00D11C74">
        <w:rPr>
          <w:rFonts w:ascii="Arial" w:hAnsi="Arial" w:cs="Arial"/>
        </w:rPr>
        <w:t xml:space="preserve"> products </w:t>
      </w:r>
      <w:r w:rsidR="00A66B85">
        <w:rPr>
          <w:rFonts w:ascii="Arial" w:hAnsi="Arial" w:cs="Arial"/>
        </w:rPr>
        <w:t xml:space="preserve">to the </w:t>
      </w:r>
      <w:r w:rsidR="009A004D">
        <w:rPr>
          <w:rFonts w:ascii="Arial" w:hAnsi="Arial" w:cs="Arial"/>
        </w:rPr>
        <w:t>Riley Hospital for Children</w:t>
      </w:r>
      <w:r w:rsidR="00A66B85">
        <w:rPr>
          <w:rFonts w:ascii="Arial" w:hAnsi="Arial" w:cs="Arial"/>
        </w:rPr>
        <w:t xml:space="preserve"> for infusion </w:t>
      </w:r>
      <w:r w:rsidR="00595EE7" w:rsidRPr="00D11C74">
        <w:rPr>
          <w:rFonts w:ascii="Arial" w:hAnsi="Arial" w:cs="Arial"/>
        </w:rPr>
        <w:t xml:space="preserve">according to their standard procedures. </w:t>
      </w:r>
    </w:p>
    <w:p w14:paraId="5D9A1AB3" w14:textId="77777777" w:rsidR="00A23AF2" w:rsidRPr="00D11C74" w:rsidRDefault="00A23AF2" w:rsidP="00BA4B5A">
      <w:pPr>
        <w:spacing w:after="0" w:line="240" w:lineRule="auto"/>
        <w:jc w:val="both"/>
        <w:rPr>
          <w:rFonts w:ascii="Arial" w:hAnsi="Arial" w:cs="Arial"/>
        </w:rPr>
      </w:pPr>
    </w:p>
    <w:p w14:paraId="2FE89257" w14:textId="0C15E098" w:rsidR="003B510A" w:rsidRPr="00D11C74" w:rsidRDefault="003B510A" w:rsidP="00BA4B5A">
      <w:pPr>
        <w:spacing w:after="0" w:line="240" w:lineRule="auto"/>
        <w:jc w:val="both"/>
        <w:rPr>
          <w:rFonts w:ascii="Arial" w:hAnsi="Arial" w:cs="Arial"/>
          <w:b/>
          <w:bCs/>
        </w:rPr>
      </w:pPr>
      <w:r w:rsidRPr="00D11C74">
        <w:rPr>
          <w:rFonts w:ascii="Arial" w:hAnsi="Arial" w:cs="Arial"/>
          <w:b/>
          <w:bCs/>
        </w:rPr>
        <w:t>Formulation/Infusion Buffer</w:t>
      </w:r>
    </w:p>
    <w:p w14:paraId="76B0C13E" w14:textId="4F4781AE" w:rsidR="007258EF" w:rsidRPr="00D11C74" w:rsidRDefault="007258EF" w:rsidP="00BA4B5A">
      <w:pPr>
        <w:spacing w:after="0" w:line="240" w:lineRule="auto"/>
        <w:jc w:val="both"/>
        <w:rPr>
          <w:rFonts w:ascii="Arial" w:hAnsi="Arial" w:cs="Arial"/>
        </w:rPr>
      </w:pPr>
      <w:r w:rsidRPr="00D11C74">
        <w:rPr>
          <w:rFonts w:ascii="Arial" w:hAnsi="Arial" w:cs="Arial"/>
        </w:rPr>
        <w:t xml:space="preserve">The infusion buffer consists of </w:t>
      </w:r>
      <w:r w:rsidR="002C2331">
        <w:rPr>
          <w:rFonts w:ascii="Arial" w:hAnsi="Arial" w:cs="Arial"/>
        </w:rPr>
        <w:t>0.9% saline with</w:t>
      </w:r>
      <w:r w:rsidR="009A004D">
        <w:rPr>
          <w:rFonts w:ascii="Arial" w:hAnsi="Arial" w:cs="Arial"/>
        </w:rPr>
        <w:t xml:space="preserve"> </w:t>
      </w:r>
      <w:r w:rsidR="009C58BD">
        <w:rPr>
          <w:rFonts w:ascii="Arial" w:hAnsi="Arial" w:cs="Arial"/>
        </w:rPr>
        <w:t>5</w:t>
      </w:r>
      <w:r w:rsidRPr="00D11C74">
        <w:rPr>
          <w:rFonts w:ascii="Arial" w:hAnsi="Arial" w:cs="Arial"/>
        </w:rPr>
        <w:t xml:space="preserve">% </w:t>
      </w:r>
      <w:r w:rsidR="00520294" w:rsidRPr="00D11C74">
        <w:rPr>
          <w:rFonts w:ascii="Arial" w:hAnsi="Arial" w:cs="Arial"/>
        </w:rPr>
        <w:t>v/v HSA</w:t>
      </w:r>
      <w:r w:rsidR="002C2331">
        <w:rPr>
          <w:rFonts w:ascii="Arial" w:hAnsi="Arial" w:cs="Arial"/>
        </w:rPr>
        <w:t xml:space="preserve"> and 10% DMSO.</w:t>
      </w:r>
    </w:p>
    <w:p w14:paraId="7D777E8F" w14:textId="77777777" w:rsidR="00520294" w:rsidRPr="00D11C74" w:rsidRDefault="00520294" w:rsidP="00BA4B5A">
      <w:pPr>
        <w:spacing w:after="0" w:line="240" w:lineRule="auto"/>
        <w:jc w:val="both"/>
        <w:rPr>
          <w:rFonts w:ascii="Arial" w:hAnsi="Arial" w:cs="Arial"/>
        </w:rPr>
      </w:pPr>
    </w:p>
    <w:p w14:paraId="65BC42A3" w14:textId="19A8E60A" w:rsidR="003B510A" w:rsidRPr="00D11C74" w:rsidRDefault="003B510A" w:rsidP="00BA4B5A">
      <w:pPr>
        <w:spacing w:after="0" w:line="240" w:lineRule="auto"/>
        <w:jc w:val="both"/>
        <w:rPr>
          <w:rFonts w:ascii="Arial" w:hAnsi="Arial" w:cs="Arial"/>
          <w:b/>
          <w:bCs/>
        </w:rPr>
      </w:pPr>
      <w:r w:rsidRPr="00D11C74">
        <w:rPr>
          <w:rFonts w:ascii="Arial" w:hAnsi="Arial" w:cs="Arial"/>
          <w:b/>
          <w:bCs/>
        </w:rPr>
        <w:t>Excipients</w:t>
      </w:r>
    </w:p>
    <w:p w14:paraId="4655E25B" w14:textId="5C289321" w:rsidR="007258EF" w:rsidRPr="00D11C74" w:rsidRDefault="007258EF" w:rsidP="00BA4B5A">
      <w:pPr>
        <w:spacing w:after="0" w:line="240" w:lineRule="auto"/>
        <w:jc w:val="both"/>
        <w:rPr>
          <w:rFonts w:ascii="Arial" w:hAnsi="Arial" w:cs="Arial"/>
        </w:rPr>
      </w:pPr>
      <w:r w:rsidRPr="00D11C74">
        <w:rPr>
          <w:rFonts w:ascii="Arial" w:hAnsi="Arial" w:cs="Arial"/>
        </w:rPr>
        <w:t xml:space="preserve">Excipients in the final product include </w:t>
      </w:r>
      <w:r w:rsidR="002C2331">
        <w:rPr>
          <w:rFonts w:ascii="Arial" w:hAnsi="Arial" w:cs="Arial"/>
        </w:rPr>
        <w:t xml:space="preserve">0.9% saline, </w:t>
      </w:r>
      <w:r w:rsidR="009C58BD">
        <w:rPr>
          <w:rFonts w:ascii="Arial" w:hAnsi="Arial" w:cs="Arial"/>
        </w:rPr>
        <w:t>5</w:t>
      </w:r>
      <w:r w:rsidR="009C58BD" w:rsidRPr="00D11C74">
        <w:rPr>
          <w:rFonts w:ascii="Arial" w:hAnsi="Arial" w:cs="Arial"/>
        </w:rPr>
        <w:t xml:space="preserve">% v/v </w:t>
      </w:r>
      <w:r w:rsidR="002C2331">
        <w:rPr>
          <w:rFonts w:ascii="Arial" w:hAnsi="Arial" w:cs="Arial"/>
        </w:rPr>
        <w:t>HSA, and 10% DMSO.</w:t>
      </w:r>
    </w:p>
    <w:p w14:paraId="706547B3" w14:textId="77777777" w:rsidR="00520294" w:rsidRPr="00D11C74" w:rsidRDefault="003B510A" w:rsidP="00BA4B5A">
      <w:pPr>
        <w:spacing w:after="0" w:line="240" w:lineRule="auto"/>
        <w:jc w:val="both"/>
        <w:rPr>
          <w:rFonts w:ascii="Arial" w:hAnsi="Arial" w:cs="Arial"/>
        </w:rPr>
      </w:pPr>
      <w:r w:rsidRPr="00D11C74">
        <w:rPr>
          <w:rFonts w:ascii="Arial" w:hAnsi="Arial" w:cs="Arial"/>
        </w:rPr>
        <w:tab/>
      </w:r>
      <w:r w:rsidRPr="00D11C74">
        <w:rPr>
          <w:rFonts w:ascii="Arial" w:hAnsi="Arial" w:cs="Arial"/>
        </w:rPr>
        <w:tab/>
      </w:r>
    </w:p>
    <w:p w14:paraId="7EEEC182" w14:textId="1D6CC243" w:rsidR="003B510A" w:rsidRPr="00D11C74" w:rsidRDefault="003B510A" w:rsidP="00BA4B5A">
      <w:pPr>
        <w:spacing w:after="0" w:line="240" w:lineRule="auto"/>
        <w:jc w:val="both"/>
        <w:rPr>
          <w:rFonts w:ascii="Arial" w:hAnsi="Arial" w:cs="Arial"/>
          <w:b/>
          <w:bCs/>
        </w:rPr>
      </w:pPr>
      <w:r w:rsidRPr="00D11C74">
        <w:rPr>
          <w:rFonts w:ascii="Arial" w:hAnsi="Arial" w:cs="Arial"/>
          <w:b/>
          <w:bCs/>
        </w:rPr>
        <w:t>Cell Density/Concentration in the Final Product</w:t>
      </w:r>
    </w:p>
    <w:p w14:paraId="7EA75FBB" w14:textId="4E5810F2" w:rsidR="003B510A" w:rsidRPr="00D11C74" w:rsidRDefault="007258EF" w:rsidP="00BA4B5A">
      <w:pPr>
        <w:spacing w:after="0" w:line="240" w:lineRule="auto"/>
        <w:jc w:val="both"/>
        <w:rPr>
          <w:rFonts w:ascii="Arial" w:hAnsi="Arial" w:cs="Arial"/>
        </w:rPr>
      </w:pPr>
      <w:r w:rsidRPr="00D11C74">
        <w:rPr>
          <w:rFonts w:ascii="Arial" w:hAnsi="Arial" w:cs="Arial"/>
        </w:rPr>
        <w:t xml:space="preserve">The cell density of the final product will vary based </w:t>
      </w:r>
      <w:r w:rsidR="009A004D">
        <w:rPr>
          <w:rFonts w:ascii="Arial" w:hAnsi="Arial" w:cs="Arial"/>
        </w:rPr>
        <w:t>on the total dose required for the patient weight</w:t>
      </w:r>
      <w:r w:rsidRPr="00D11C74">
        <w:rPr>
          <w:rFonts w:ascii="Arial" w:hAnsi="Arial" w:cs="Arial"/>
        </w:rPr>
        <w:t xml:space="preserve">. </w:t>
      </w:r>
    </w:p>
    <w:bookmarkEnd w:id="0"/>
    <w:p w14:paraId="4C9FA18D" w14:textId="77777777" w:rsidR="00674CAE" w:rsidRPr="00FB3558" w:rsidRDefault="00674CAE" w:rsidP="00BA4B5A">
      <w:pPr>
        <w:spacing w:after="0" w:line="240" w:lineRule="auto"/>
        <w:jc w:val="both"/>
        <w:rPr>
          <w:rFonts w:ascii="Arial" w:hAnsi="Arial" w:cs="Arial"/>
        </w:rPr>
      </w:pPr>
    </w:p>
    <w:p w14:paraId="414E67FB" w14:textId="46D376D5" w:rsidR="00674CAE" w:rsidRPr="00153163" w:rsidRDefault="00153163" w:rsidP="00BA4B5A">
      <w:pPr>
        <w:spacing w:after="0" w:line="240" w:lineRule="auto"/>
        <w:jc w:val="both"/>
        <w:rPr>
          <w:rFonts w:ascii="Arial" w:hAnsi="Arial" w:cs="Arial"/>
          <w:b/>
          <w:bCs/>
        </w:rPr>
      </w:pPr>
      <w:r>
        <w:rPr>
          <w:rFonts w:ascii="Arial" w:hAnsi="Arial" w:cs="Arial"/>
          <w:b/>
          <w:bCs/>
        </w:rPr>
        <w:t xml:space="preserve">Table 7.2 </w:t>
      </w:r>
      <w:r w:rsidR="007258EF" w:rsidRPr="00D11C74">
        <w:rPr>
          <w:rFonts w:ascii="Arial" w:hAnsi="Arial" w:cs="Arial"/>
          <w:b/>
          <w:bCs/>
        </w:rPr>
        <w:t>Storage Method Prior to Us</w:t>
      </w:r>
      <w:r>
        <w:rPr>
          <w:rFonts w:ascii="Arial" w:hAnsi="Arial" w:cs="Arial"/>
          <w:b/>
          <w:bCs/>
        </w:rPr>
        <w:t xml:space="preserve">e </w:t>
      </w:r>
      <w:r w:rsidR="007D003B" w:rsidRPr="00D11C74">
        <w:rPr>
          <w:rFonts w:ascii="Arial" w:hAnsi="Arial" w:cs="Arial"/>
        </w:rPr>
        <w:t xml:space="preserve">Cells will be stored using a variety of methods depending on the stage of the process. </w:t>
      </w:r>
    </w:p>
    <w:p w14:paraId="262532A1" w14:textId="132659C4" w:rsidR="007D003B" w:rsidRPr="00FB3558" w:rsidRDefault="00595EE7" w:rsidP="00BA4B5A">
      <w:pPr>
        <w:spacing w:after="0" w:line="240" w:lineRule="auto"/>
        <w:jc w:val="both"/>
        <w:rPr>
          <w:rFonts w:ascii="Arial" w:hAnsi="Arial" w:cs="Arial"/>
        </w:rPr>
      </w:pPr>
      <w:r w:rsidRPr="00FB3558">
        <w:rPr>
          <w:rFonts w:ascii="Arial" w:hAnsi="Arial" w:cs="Arial"/>
        </w:rPr>
        <w:t xml:space="preserve"> </w:t>
      </w:r>
    </w:p>
    <w:tbl>
      <w:tblPr>
        <w:tblStyle w:val="TableGrid"/>
        <w:tblW w:w="0" w:type="auto"/>
        <w:tblInd w:w="108" w:type="dxa"/>
        <w:tblLook w:val="04A0" w:firstRow="1" w:lastRow="0" w:firstColumn="1" w:lastColumn="0" w:noHBand="0" w:noVBand="1"/>
      </w:tblPr>
      <w:tblGrid>
        <w:gridCol w:w="2587"/>
        <w:gridCol w:w="3960"/>
        <w:gridCol w:w="3376"/>
      </w:tblGrid>
      <w:tr w:rsidR="007D003B" w:rsidRPr="00D11C74" w14:paraId="01C4FD9C" w14:textId="257F4311" w:rsidTr="00FB3558">
        <w:tc>
          <w:tcPr>
            <w:tcW w:w="2587" w:type="dxa"/>
          </w:tcPr>
          <w:p w14:paraId="2D0EA180" w14:textId="5F621B1D" w:rsidR="007D003B" w:rsidRPr="00FB3558" w:rsidRDefault="007D003B" w:rsidP="00BA4B5A">
            <w:pPr>
              <w:jc w:val="both"/>
              <w:rPr>
                <w:rFonts w:ascii="Arial" w:hAnsi="Arial" w:cs="Arial"/>
                <w:b/>
                <w:bCs/>
              </w:rPr>
            </w:pPr>
            <w:r w:rsidRPr="00FB3558">
              <w:rPr>
                <w:rFonts w:ascii="Arial" w:hAnsi="Arial" w:cs="Arial"/>
                <w:b/>
                <w:bCs/>
              </w:rPr>
              <w:t>Step</w:t>
            </w:r>
          </w:p>
        </w:tc>
        <w:tc>
          <w:tcPr>
            <w:tcW w:w="3960" w:type="dxa"/>
          </w:tcPr>
          <w:p w14:paraId="25567B4D" w14:textId="1BA9E9CD" w:rsidR="007D003B" w:rsidRPr="00FB3558" w:rsidRDefault="007D003B" w:rsidP="00BA4B5A">
            <w:pPr>
              <w:jc w:val="both"/>
              <w:rPr>
                <w:rFonts w:ascii="Arial" w:hAnsi="Arial" w:cs="Arial"/>
                <w:b/>
                <w:bCs/>
              </w:rPr>
            </w:pPr>
            <w:r w:rsidRPr="00FB3558">
              <w:rPr>
                <w:rFonts w:ascii="Arial" w:hAnsi="Arial" w:cs="Arial"/>
                <w:b/>
                <w:bCs/>
              </w:rPr>
              <w:t>Storage conditions</w:t>
            </w:r>
          </w:p>
        </w:tc>
        <w:tc>
          <w:tcPr>
            <w:tcW w:w="3376" w:type="dxa"/>
          </w:tcPr>
          <w:p w14:paraId="1E3CB90C" w14:textId="1D2C4E7F" w:rsidR="007D003B" w:rsidRPr="00FB3558" w:rsidRDefault="007D003B" w:rsidP="00BA4B5A">
            <w:pPr>
              <w:jc w:val="both"/>
              <w:rPr>
                <w:rFonts w:ascii="Arial" w:hAnsi="Arial" w:cs="Arial"/>
                <w:b/>
                <w:bCs/>
              </w:rPr>
            </w:pPr>
            <w:r w:rsidRPr="00FB3558">
              <w:rPr>
                <w:rFonts w:ascii="Arial" w:hAnsi="Arial" w:cs="Arial"/>
                <w:b/>
                <w:bCs/>
              </w:rPr>
              <w:t>Timing</w:t>
            </w:r>
          </w:p>
        </w:tc>
      </w:tr>
      <w:tr w:rsidR="007D003B" w:rsidRPr="00D11C74" w14:paraId="71CC875B" w14:textId="1A93BAFB" w:rsidTr="00FB3558">
        <w:tc>
          <w:tcPr>
            <w:tcW w:w="2587" w:type="dxa"/>
          </w:tcPr>
          <w:p w14:paraId="7D420BD5" w14:textId="28DC869C" w:rsidR="007D003B" w:rsidRPr="00D11C74" w:rsidRDefault="007D003B" w:rsidP="00FB3558">
            <w:pPr>
              <w:rPr>
                <w:rFonts w:ascii="Arial" w:hAnsi="Arial" w:cs="Arial"/>
              </w:rPr>
            </w:pPr>
            <w:r w:rsidRPr="00D11C74">
              <w:rPr>
                <w:rFonts w:ascii="Arial" w:hAnsi="Arial" w:cs="Arial"/>
              </w:rPr>
              <w:t>Receipt of starting material</w:t>
            </w:r>
          </w:p>
        </w:tc>
        <w:tc>
          <w:tcPr>
            <w:tcW w:w="3960" w:type="dxa"/>
          </w:tcPr>
          <w:p w14:paraId="69CCD321" w14:textId="2329D5DC" w:rsidR="007D003B" w:rsidRPr="00D11C74" w:rsidRDefault="007D003B" w:rsidP="00FB3558">
            <w:pPr>
              <w:rPr>
                <w:rFonts w:ascii="Arial" w:hAnsi="Arial" w:cs="Arial"/>
              </w:rPr>
            </w:pPr>
            <w:r w:rsidRPr="00D11C74">
              <w:rPr>
                <w:rFonts w:ascii="Arial" w:hAnsi="Arial" w:cs="Arial"/>
              </w:rPr>
              <w:t>15 – 25</w:t>
            </w:r>
            <w:r w:rsidR="00520294" w:rsidRPr="00D11C74">
              <w:rPr>
                <w:rFonts w:ascii="Arial" w:hAnsi="Arial" w:cs="Arial"/>
                <w:vertAlign w:val="superscript"/>
              </w:rPr>
              <w:t>o</w:t>
            </w:r>
            <w:r w:rsidR="00520294" w:rsidRPr="00D11C74">
              <w:rPr>
                <w:rFonts w:ascii="Arial" w:hAnsi="Arial" w:cs="Arial"/>
              </w:rPr>
              <w:t xml:space="preserve">C </w:t>
            </w:r>
            <w:r w:rsidRPr="00D11C74">
              <w:rPr>
                <w:rFonts w:ascii="Arial" w:hAnsi="Arial" w:cs="Arial"/>
              </w:rPr>
              <w:t>in a monitored environment</w:t>
            </w:r>
          </w:p>
        </w:tc>
        <w:tc>
          <w:tcPr>
            <w:tcW w:w="3376" w:type="dxa"/>
          </w:tcPr>
          <w:p w14:paraId="3078FCD0" w14:textId="489BA7FE" w:rsidR="007D003B" w:rsidRPr="00D11C74" w:rsidRDefault="007D003B" w:rsidP="00FB3558">
            <w:pPr>
              <w:rPr>
                <w:rFonts w:ascii="Arial" w:hAnsi="Arial" w:cs="Arial"/>
              </w:rPr>
            </w:pPr>
            <w:r w:rsidRPr="00D11C74">
              <w:rPr>
                <w:rFonts w:ascii="Arial" w:hAnsi="Arial" w:cs="Arial"/>
              </w:rPr>
              <w:t>&lt;18 hours</w:t>
            </w:r>
          </w:p>
        </w:tc>
      </w:tr>
      <w:tr w:rsidR="007D003B" w:rsidRPr="00D11C74" w14:paraId="654AF14C" w14:textId="2C8771EF" w:rsidTr="00FB3558">
        <w:tc>
          <w:tcPr>
            <w:tcW w:w="2587" w:type="dxa"/>
          </w:tcPr>
          <w:p w14:paraId="4E719D40" w14:textId="33F48C29" w:rsidR="007D003B" w:rsidRPr="00D11C74" w:rsidRDefault="007D003B" w:rsidP="00FB3558">
            <w:pPr>
              <w:rPr>
                <w:rFonts w:ascii="Arial" w:hAnsi="Arial" w:cs="Arial"/>
              </w:rPr>
            </w:pPr>
            <w:r w:rsidRPr="00D11C74">
              <w:rPr>
                <w:rFonts w:ascii="Arial" w:hAnsi="Arial" w:cs="Arial"/>
              </w:rPr>
              <w:t xml:space="preserve">After </w:t>
            </w:r>
            <w:r w:rsidR="009A004D">
              <w:rPr>
                <w:rFonts w:ascii="Arial" w:hAnsi="Arial" w:cs="Arial"/>
              </w:rPr>
              <w:t>processing</w:t>
            </w:r>
          </w:p>
        </w:tc>
        <w:tc>
          <w:tcPr>
            <w:tcW w:w="3960" w:type="dxa"/>
          </w:tcPr>
          <w:p w14:paraId="77AA8F5E" w14:textId="4F413A57" w:rsidR="007D003B" w:rsidRPr="00D11C74" w:rsidRDefault="009A004D" w:rsidP="00FB3558">
            <w:pPr>
              <w:rPr>
                <w:rFonts w:ascii="Arial" w:hAnsi="Arial" w:cs="Arial"/>
              </w:rPr>
            </w:pPr>
            <w:r w:rsidRPr="00D11C74">
              <w:rPr>
                <w:rFonts w:ascii="Arial" w:hAnsi="Arial" w:cs="Arial"/>
              </w:rPr>
              <w:t>15 – 25</w:t>
            </w:r>
            <w:r w:rsidRPr="00D11C74">
              <w:rPr>
                <w:rFonts w:ascii="Arial" w:hAnsi="Arial" w:cs="Arial"/>
                <w:vertAlign w:val="superscript"/>
              </w:rPr>
              <w:t>o</w:t>
            </w:r>
            <w:r w:rsidRPr="00D11C74">
              <w:rPr>
                <w:rFonts w:ascii="Arial" w:hAnsi="Arial" w:cs="Arial"/>
              </w:rPr>
              <w:t>C in a monitored environment</w:t>
            </w:r>
          </w:p>
        </w:tc>
        <w:tc>
          <w:tcPr>
            <w:tcW w:w="3376" w:type="dxa"/>
          </w:tcPr>
          <w:p w14:paraId="632AA468" w14:textId="12C22839" w:rsidR="007D003B" w:rsidRPr="00D11C74" w:rsidRDefault="009A004D" w:rsidP="00FB3558">
            <w:pPr>
              <w:rPr>
                <w:rFonts w:ascii="Arial" w:hAnsi="Arial" w:cs="Arial"/>
              </w:rPr>
            </w:pPr>
            <w:r>
              <w:rPr>
                <w:rFonts w:ascii="Arial" w:hAnsi="Arial" w:cs="Arial"/>
              </w:rPr>
              <w:t>&lt;3 hours</w:t>
            </w:r>
          </w:p>
        </w:tc>
      </w:tr>
      <w:tr w:rsidR="007D003B" w:rsidRPr="00D11C74" w14:paraId="16FCFD0E" w14:textId="75F207AA" w:rsidTr="00FB3558">
        <w:tc>
          <w:tcPr>
            <w:tcW w:w="2587" w:type="dxa"/>
          </w:tcPr>
          <w:p w14:paraId="0717DD09" w14:textId="341BB7FE" w:rsidR="007D003B" w:rsidRPr="00D11C74" w:rsidRDefault="007D003B" w:rsidP="00FB3558">
            <w:pPr>
              <w:rPr>
                <w:rFonts w:ascii="Arial" w:hAnsi="Arial" w:cs="Arial"/>
              </w:rPr>
            </w:pPr>
            <w:r w:rsidRPr="00D11C74">
              <w:rPr>
                <w:rFonts w:ascii="Arial" w:hAnsi="Arial" w:cs="Arial"/>
              </w:rPr>
              <w:lastRenderedPageBreak/>
              <w:t>At final harvest</w:t>
            </w:r>
          </w:p>
        </w:tc>
        <w:tc>
          <w:tcPr>
            <w:tcW w:w="3960" w:type="dxa"/>
          </w:tcPr>
          <w:p w14:paraId="39874F61" w14:textId="74070C65" w:rsidR="007D003B" w:rsidRPr="00D11C74" w:rsidRDefault="00FB3558" w:rsidP="00FB3558">
            <w:pPr>
              <w:rPr>
                <w:rFonts w:ascii="Arial" w:hAnsi="Arial" w:cs="Arial"/>
              </w:rPr>
            </w:pPr>
            <w:r w:rsidRPr="00FB3558">
              <w:rPr>
                <w:rFonts w:ascii="Arial" w:hAnsi="Arial" w:cs="Arial"/>
              </w:rPr>
              <w:t>2 -</w:t>
            </w:r>
            <w:r>
              <w:rPr>
                <w:rFonts w:ascii="Arial" w:hAnsi="Arial" w:cs="Arial"/>
              </w:rPr>
              <w:t xml:space="preserve"> </w:t>
            </w:r>
            <w:r w:rsidRPr="00FB3558">
              <w:rPr>
                <w:rFonts w:ascii="Arial" w:hAnsi="Arial" w:cs="Arial"/>
              </w:rPr>
              <w:t>8</w:t>
            </w:r>
            <w:r w:rsidR="00520294" w:rsidRPr="00D11C74">
              <w:rPr>
                <w:rFonts w:ascii="Arial" w:hAnsi="Arial" w:cs="Arial"/>
                <w:vertAlign w:val="superscript"/>
              </w:rPr>
              <w:t>o</w:t>
            </w:r>
            <w:r w:rsidR="00520294" w:rsidRPr="00D11C74">
              <w:rPr>
                <w:rFonts w:ascii="Arial" w:hAnsi="Arial" w:cs="Arial"/>
              </w:rPr>
              <w:t>C</w:t>
            </w:r>
            <w:r w:rsidR="007D003B" w:rsidRPr="00D11C74">
              <w:rPr>
                <w:rFonts w:ascii="Arial" w:hAnsi="Arial" w:cs="Arial"/>
              </w:rPr>
              <w:t xml:space="preserve"> in a monitored environment</w:t>
            </w:r>
          </w:p>
        </w:tc>
        <w:tc>
          <w:tcPr>
            <w:tcW w:w="3376" w:type="dxa"/>
          </w:tcPr>
          <w:p w14:paraId="611CF573" w14:textId="167FD152" w:rsidR="007D003B" w:rsidRPr="00D11C74" w:rsidRDefault="007D003B" w:rsidP="00FB3558">
            <w:pPr>
              <w:rPr>
                <w:rFonts w:ascii="Arial" w:hAnsi="Arial" w:cs="Arial"/>
              </w:rPr>
            </w:pPr>
            <w:r w:rsidRPr="00D11C74">
              <w:rPr>
                <w:rFonts w:ascii="Arial" w:hAnsi="Arial" w:cs="Arial"/>
              </w:rPr>
              <w:t>&lt;</w:t>
            </w:r>
            <w:r w:rsidR="00012F4D">
              <w:rPr>
                <w:rFonts w:ascii="Arial" w:hAnsi="Arial" w:cs="Arial"/>
              </w:rPr>
              <w:t>4</w:t>
            </w:r>
            <w:r w:rsidR="009A004D">
              <w:rPr>
                <w:rFonts w:ascii="Arial" w:hAnsi="Arial" w:cs="Arial"/>
              </w:rPr>
              <w:t xml:space="preserve"> hours</w:t>
            </w:r>
          </w:p>
        </w:tc>
      </w:tr>
      <w:tr w:rsidR="002C2331" w:rsidRPr="00D11C74" w14:paraId="3907BDE1" w14:textId="77777777" w:rsidTr="003A04A0">
        <w:tc>
          <w:tcPr>
            <w:tcW w:w="2587" w:type="dxa"/>
          </w:tcPr>
          <w:p w14:paraId="61F073C3" w14:textId="614C75DC" w:rsidR="002C2331" w:rsidRDefault="002C2331">
            <w:pPr>
              <w:rPr>
                <w:rFonts w:ascii="Arial" w:hAnsi="Arial" w:cs="Arial"/>
              </w:rPr>
            </w:pPr>
            <w:r>
              <w:rPr>
                <w:rFonts w:ascii="Arial" w:hAnsi="Arial" w:cs="Arial"/>
              </w:rPr>
              <w:t>After dose preparation</w:t>
            </w:r>
          </w:p>
        </w:tc>
        <w:tc>
          <w:tcPr>
            <w:tcW w:w="3960" w:type="dxa"/>
          </w:tcPr>
          <w:p w14:paraId="6095EEA8" w14:textId="3542AB93" w:rsidR="002C2331" w:rsidRDefault="00BA0C5B">
            <w:pPr>
              <w:rPr>
                <w:rFonts w:ascii="Arial" w:hAnsi="Arial" w:cs="Arial"/>
              </w:rPr>
            </w:pPr>
            <w:r>
              <w:rPr>
                <w:rFonts w:ascii="Arial" w:hAnsi="Arial" w:cs="Arial"/>
              </w:rPr>
              <w:t>≤</w:t>
            </w:r>
            <w:r w:rsidR="002C2331">
              <w:rPr>
                <w:rFonts w:ascii="Arial" w:hAnsi="Arial" w:cs="Arial"/>
              </w:rPr>
              <w:t>-150</w:t>
            </w:r>
            <w:r w:rsidR="002C2331" w:rsidRPr="002C2331">
              <w:rPr>
                <w:rFonts w:ascii="Arial" w:hAnsi="Arial" w:cs="Arial"/>
                <w:vertAlign w:val="superscript"/>
              </w:rPr>
              <w:t>o</w:t>
            </w:r>
            <w:r w:rsidR="002C2331">
              <w:rPr>
                <w:rFonts w:ascii="Arial" w:hAnsi="Arial" w:cs="Arial"/>
              </w:rPr>
              <w:t>C in a monitored en</w:t>
            </w:r>
            <w:r>
              <w:rPr>
                <w:rFonts w:ascii="Arial" w:hAnsi="Arial" w:cs="Arial"/>
              </w:rPr>
              <w:t>v</w:t>
            </w:r>
            <w:r w:rsidR="002C2331">
              <w:rPr>
                <w:rFonts w:ascii="Arial" w:hAnsi="Arial" w:cs="Arial"/>
              </w:rPr>
              <w:t>ironment</w:t>
            </w:r>
          </w:p>
        </w:tc>
        <w:tc>
          <w:tcPr>
            <w:tcW w:w="3376" w:type="dxa"/>
          </w:tcPr>
          <w:p w14:paraId="72F195AB" w14:textId="1F2CF5A9" w:rsidR="002C2331" w:rsidRDefault="002C2331">
            <w:pPr>
              <w:rPr>
                <w:rFonts w:ascii="Arial" w:hAnsi="Arial" w:cs="Arial"/>
              </w:rPr>
            </w:pPr>
            <w:r>
              <w:rPr>
                <w:rFonts w:ascii="Arial" w:hAnsi="Arial" w:cs="Arial"/>
              </w:rPr>
              <w:t>Dependent on patient conditioning</w:t>
            </w:r>
            <w:r w:rsidR="006C4F60">
              <w:rPr>
                <w:rFonts w:ascii="Arial" w:hAnsi="Arial" w:cs="Arial"/>
              </w:rPr>
              <w:t>; approximately 1 week</w:t>
            </w:r>
          </w:p>
        </w:tc>
      </w:tr>
      <w:tr w:rsidR="00FB3558" w:rsidRPr="00D11C74" w14:paraId="3AC4F48E" w14:textId="77777777" w:rsidTr="003A04A0">
        <w:tc>
          <w:tcPr>
            <w:tcW w:w="2587" w:type="dxa"/>
          </w:tcPr>
          <w:p w14:paraId="0C92AB66" w14:textId="16A97266" w:rsidR="00FB3558" w:rsidRPr="00D11C74" w:rsidRDefault="00FB3558">
            <w:pPr>
              <w:rPr>
                <w:rFonts w:ascii="Arial" w:hAnsi="Arial" w:cs="Arial"/>
              </w:rPr>
            </w:pPr>
            <w:r>
              <w:rPr>
                <w:rFonts w:ascii="Arial" w:hAnsi="Arial" w:cs="Arial"/>
              </w:rPr>
              <w:t>At infusion</w:t>
            </w:r>
          </w:p>
        </w:tc>
        <w:tc>
          <w:tcPr>
            <w:tcW w:w="3960" w:type="dxa"/>
          </w:tcPr>
          <w:p w14:paraId="71C61A54" w14:textId="3E5B9CCE" w:rsidR="00FB3558" w:rsidRPr="00FB3558" w:rsidRDefault="00FB3558">
            <w:pPr>
              <w:rPr>
                <w:rFonts w:ascii="Arial" w:hAnsi="Arial" w:cs="Arial"/>
              </w:rPr>
            </w:pPr>
            <w:r>
              <w:rPr>
                <w:rFonts w:ascii="Arial" w:hAnsi="Arial" w:cs="Arial"/>
              </w:rPr>
              <w:t>Ambient temperature</w:t>
            </w:r>
          </w:p>
        </w:tc>
        <w:tc>
          <w:tcPr>
            <w:tcW w:w="3376" w:type="dxa"/>
          </w:tcPr>
          <w:p w14:paraId="57ED0425" w14:textId="6A1DBA89" w:rsidR="00FB3558" w:rsidRPr="00D11C74" w:rsidRDefault="00FB3558">
            <w:pPr>
              <w:rPr>
                <w:rFonts w:ascii="Arial" w:hAnsi="Arial" w:cs="Arial"/>
              </w:rPr>
            </w:pPr>
            <w:r>
              <w:rPr>
                <w:rFonts w:ascii="Arial" w:hAnsi="Arial" w:cs="Arial"/>
              </w:rPr>
              <w:t>&lt;</w:t>
            </w:r>
            <w:r w:rsidR="000969D1">
              <w:rPr>
                <w:rFonts w:ascii="Arial" w:hAnsi="Arial" w:cs="Arial"/>
              </w:rPr>
              <w:t>30</w:t>
            </w:r>
            <w:r w:rsidR="009A004D">
              <w:rPr>
                <w:rFonts w:ascii="Arial" w:hAnsi="Arial" w:cs="Arial"/>
              </w:rPr>
              <w:t xml:space="preserve"> minutes</w:t>
            </w:r>
          </w:p>
        </w:tc>
      </w:tr>
    </w:tbl>
    <w:p w14:paraId="7CF74472" w14:textId="77777777" w:rsidR="007D003B" w:rsidRPr="00D11C74" w:rsidRDefault="007D003B" w:rsidP="00BA4B5A">
      <w:pPr>
        <w:spacing w:after="0" w:line="240" w:lineRule="auto"/>
        <w:jc w:val="both"/>
        <w:rPr>
          <w:rFonts w:ascii="Arial" w:hAnsi="Arial" w:cs="Arial"/>
        </w:rPr>
      </w:pPr>
    </w:p>
    <w:p w14:paraId="38FB4626" w14:textId="77777777" w:rsidR="00544C47" w:rsidRDefault="00544C47" w:rsidP="00BA4B5A">
      <w:pPr>
        <w:pStyle w:val="Heading1"/>
        <w:spacing w:before="0" w:after="0" w:line="240" w:lineRule="auto"/>
        <w:jc w:val="both"/>
        <w:rPr>
          <w:rFonts w:ascii="Arial" w:eastAsiaTheme="minorHAnsi" w:hAnsi="Arial" w:cs="Arial"/>
          <w:bCs/>
          <w:caps w:val="0"/>
          <w:sz w:val="22"/>
          <w:szCs w:val="22"/>
        </w:rPr>
      </w:pPr>
    </w:p>
    <w:p w14:paraId="7E3D9CF9" w14:textId="18EC36B4" w:rsidR="003B510A" w:rsidRPr="00D11C74" w:rsidRDefault="00520294" w:rsidP="00BA4B5A">
      <w:pPr>
        <w:pStyle w:val="Heading1"/>
        <w:spacing w:before="0" w:after="0" w:line="240" w:lineRule="auto"/>
        <w:jc w:val="both"/>
        <w:rPr>
          <w:rFonts w:ascii="Arial" w:eastAsiaTheme="minorHAnsi" w:hAnsi="Arial" w:cs="Arial"/>
          <w:bCs/>
          <w:caps w:val="0"/>
          <w:sz w:val="22"/>
          <w:szCs w:val="22"/>
        </w:rPr>
      </w:pPr>
      <w:r w:rsidRPr="00D11C74">
        <w:rPr>
          <w:rFonts w:ascii="Arial" w:eastAsiaTheme="minorHAnsi" w:hAnsi="Arial" w:cs="Arial"/>
          <w:bCs/>
          <w:caps w:val="0"/>
          <w:sz w:val="22"/>
          <w:szCs w:val="22"/>
        </w:rPr>
        <w:t>PRODUCT TESTING</w:t>
      </w:r>
    </w:p>
    <w:p w14:paraId="1B32FB6B" w14:textId="3474D8BA" w:rsidR="003B510A" w:rsidRPr="00D11C74" w:rsidRDefault="003B510A" w:rsidP="00BA4B5A">
      <w:pPr>
        <w:pStyle w:val="Heading2"/>
        <w:spacing w:after="0" w:line="240" w:lineRule="auto"/>
        <w:jc w:val="both"/>
        <w:rPr>
          <w:rFonts w:ascii="Arial" w:hAnsi="Arial" w:cs="Arial"/>
        </w:rPr>
      </w:pPr>
      <w:r w:rsidRPr="00D11C74">
        <w:rPr>
          <w:rFonts w:ascii="Arial" w:hAnsi="Arial" w:cs="Arial"/>
        </w:rPr>
        <w:t>In-Process Testing and Criteria</w:t>
      </w:r>
    </w:p>
    <w:p w14:paraId="59F1605D" w14:textId="77777777" w:rsidR="00520294" w:rsidRPr="00D11C74" w:rsidRDefault="00520294" w:rsidP="00BA4B5A">
      <w:pPr>
        <w:spacing w:after="0" w:line="240" w:lineRule="auto"/>
        <w:jc w:val="both"/>
        <w:rPr>
          <w:rFonts w:ascii="Arial" w:hAnsi="Arial" w:cs="Arial"/>
        </w:rPr>
      </w:pPr>
    </w:p>
    <w:p w14:paraId="632F1BBD" w14:textId="7FC86052" w:rsidR="003B510A" w:rsidRPr="00D11C74" w:rsidRDefault="00153163" w:rsidP="00BA4B5A">
      <w:pPr>
        <w:spacing w:after="0" w:line="240" w:lineRule="auto"/>
        <w:jc w:val="both"/>
        <w:rPr>
          <w:rFonts w:ascii="Arial" w:hAnsi="Arial" w:cs="Arial"/>
          <w:b/>
          <w:bCs/>
        </w:rPr>
      </w:pPr>
      <w:r>
        <w:rPr>
          <w:rFonts w:ascii="Arial" w:hAnsi="Arial" w:cs="Arial"/>
          <w:b/>
          <w:bCs/>
        </w:rPr>
        <w:t xml:space="preserve">Table 7.3 </w:t>
      </w:r>
      <w:r w:rsidR="003B510A" w:rsidRPr="00D11C74">
        <w:rPr>
          <w:rFonts w:ascii="Arial" w:hAnsi="Arial" w:cs="Arial"/>
          <w:b/>
          <w:bCs/>
        </w:rPr>
        <w:t>Tabulation of Tests</w:t>
      </w:r>
    </w:p>
    <w:tbl>
      <w:tblPr>
        <w:tblStyle w:val="TableGrid"/>
        <w:tblW w:w="9923" w:type="dxa"/>
        <w:tblInd w:w="108" w:type="dxa"/>
        <w:tblLook w:val="04A0" w:firstRow="1" w:lastRow="0" w:firstColumn="1" w:lastColumn="0" w:noHBand="0" w:noVBand="1"/>
      </w:tblPr>
      <w:tblGrid>
        <w:gridCol w:w="2113"/>
        <w:gridCol w:w="2035"/>
        <w:gridCol w:w="2527"/>
        <w:gridCol w:w="3248"/>
      </w:tblGrid>
      <w:tr w:rsidR="000B7215" w:rsidRPr="00D11C74" w14:paraId="13BB921A" w14:textId="77777777" w:rsidTr="00A1264E">
        <w:trPr>
          <w:trHeight w:val="542"/>
        </w:trPr>
        <w:tc>
          <w:tcPr>
            <w:tcW w:w="2113" w:type="dxa"/>
          </w:tcPr>
          <w:p w14:paraId="25380887" w14:textId="6E8BB372" w:rsidR="000B7215" w:rsidRPr="00FB3558" w:rsidRDefault="000B7215" w:rsidP="00BA4B5A">
            <w:pPr>
              <w:jc w:val="both"/>
              <w:rPr>
                <w:rFonts w:ascii="Arial" w:hAnsi="Arial" w:cs="Arial"/>
                <w:b/>
                <w:bCs/>
              </w:rPr>
            </w:pPr>
            <w:r w:rsidRPr="00FB3558">
              <w:rPr>
                <w:rFonts w:ascii="Arial" w:hAnsi="Arial" w:cs="Arial"/>
                <w:b/>
                <w:bCs/>
              </w:rPr>
              <w:t>Test</w:t>
            </w:r>
          </w:p>
        </w:tc>
        <w:tc>
          <w:tcPr>
            <w:tcW w:w="2035" w:type="dxa"/>
          </w:tcPr>
          <w:p w14:paraId="103008E6" w14:textId="34A125E8" w:rsidR="000B7215" w:rsidRPr="00FB3558" w:rsidRDefault="000B7215" w:rsidP="00BA4B5A">
            <w:pPr>
              <w:jc w:val="both"/>
              <w:rPr>
                <w:rFonts w:ascii="Arial" w:hAnsi="Arial" w:cs="Arial"/>
                <w:b/>
                <w:bCs/>
              </w:rPr>
            </w:pPr>
            <w:r w:rsidRPr="00FB3558">
              <w:rPr>
                <w:rFonts w:ascii="Arial" w:hAnsi="Arial" w:cs="Arial"/>
                <w:b/>
                <w:bCs/>
              </w:rPr>
              <w:t>Manufacturing Step</w:t>
            </w:r>
          </w:p>
        </w:tc>
        <w:tc>
          <w:tcPr>
            <w:tcW w:w="2527" w:type="dxa"/>
          </w:tcPr>
          <w:p w14:paraId="1DD20FF6" w14:textId="669671BD" w:rsidR="000B7215" w:rsidRPr="00E20CB4" w:rsidRDefault="000B7215" w:rsidP="00BA4B5A">
            <w:pPr>
              <w:jc w:val="both"/>
              <w:rPr>
                <w:rFonts w:ascii="Arial" w:hAnsi="Arial" w:cs="Arial"/>
                <w:b/>
                <w:bCs/>
                <w:highlight w:val="yellow"/>
              </w:rPr>
            </w:pPr>
            <w:r w:rsidRPr="002C2331">
              <w:rPr>
                <w:rFonts w:ascii="Arial" w:hAnsi="Arial" w:cs="Arial"/>
                <w:b/>
                <w:bCs/>
              </w:rPr>
              <w:t>Test Method</w:t>
            </w:r>
          </w:p>
        </w:tc>
        <w:tc>
          <w:tcPr>
            <w:tcW w:w="3248" w:type="dxa"/>
          </w:tcPr>
          <w:p w14:paraId="1EBB10E2" w14:textId="76B2CE59" w:rsidR="000B7215" w:rsidRPr="00FB3558" w:rsidRDefault="000B7215" w:rsidP="00BA4B5A">
            <w:pPr>
              <w:jc w:val="both"/>
              <w:rPr>
                <w:rFonts w:ascii="Arial" w:hAnsi="Arial" w:cs="Arial"/>
                <w:b/>
                <w:bCs/>
              </w:rPr>
            </w:pPr>
            <w:r w:rsidRPr="00FB3558">
              <w:rPr>
                <w:rFonts w:ascii="Arial" w:hAnsi="Arial" w:cs="Arial"/>
                <w:b/>
                <w:bCs/>
              </w:rPr>
              <w:t>Criteria</w:t>
            </w:r>
          </w:p>
        </w:tc>
      </w:tr>
      <w:tr w:rsidR="000B7215" w:rsidRPr="00D11C74" w14:paraId="3D646FDE" w14:textId="77777777" w:rsidTr="00A1264E">
        <w:trPr>
          <w:trHeight w:val="812"/>
        </w:trPr>
        <w:tc>
          <w:tcPr>
            <w:tcW w:w="2113" w:type="dxa"/>
          </w:tcPr>
          <w:p w14:paraId="6CEEE8D5" w14:textId="665EEAEA" w:rsidR="000B7215" w:rsidRPr="00D11C74" w:rsidRDefault="000B7215" w:rsidP="00FB3558">
            <w:pPr>
              <w:rPr>
                <w:rFonts w:ascii="Arial" w:hAnsi="Arial" w:cs="Arial"/>
              </w:rPr>
            </w:pPr>
            <w:r w:rsidRPr="00D11C74">
              <w:rPr>
                <w:rFonts w:ascii="Arial" w:hAnsi="Arial" w:cs="Arial"/>
              </w:rPr>
              <w:t>Sterility</w:t>
            </w:r>
          </w:p>
        </w:tc>
        <w:tc>
          <w:tcPr>
            <w:tcW w:w="2035" w:type="dxa"/>
          </w:tcPr>
          <w:p w14:paraId="1DE0BC40" w14:textId="20FB6FE7" w:rsidR="000B7215" w:rsidRPr="00D11C74" w:rsidRDefault="000B7215" w:rsidP="00FB3558">
            <w:pPr>
              <w:rPr>
                <w:rFonts w:ascii="Arial" w:hAnsi="Arial" w:cs="Arial"/>
              </w:rPr>
            </w:pPr>
            <w:r w:rsidRPr="00D11C74">
              <w:rPr>
                <w:rFonts w:ascii="Arial" w:hAnsi="Arial" w:cs="Arial"/>
              </w:rPr>
              <w:t>Starting material, final harvest</w:t>
            </w:r>
          </w:p>
        </w:tc>
        <w:tc>
          <w:tcPr>
            <w:tcW w:w="2527" w:type="dxa"/>
          </w:tcPr>
          <w:p w14:paraId="51A29DB1" w14:textId="1BC4B5EC" w:rsidR="000B7215" w:rsidRPr="00E20CB4" w:rsidRDefault="009C58BD" w:rsidP="00FB3558">
            <w:pPr>
              <w:rPr>
                <w:rFonts w:ascii="Arial" w:hAnsi="Arial" w:cs="Arial"/>
                <w:highlight w:val="yellow"/>
              </w:rPr>
            </w:pPr>
            <w:r>
              <w:rPr>
                <w:rFonts w:ascii="Arial" w:hAnsi="Arial" w:cs="Arial"/>
              </w:rPr>
              <w:t>Internal</w:t>
            </w:r>
            <w:r w:rsidRPr="009C58BD">
              <w:rPr>
                <w:rFonts w:ascii="Arial" w:hAnsi="Arial" w:cs="Arial"/>
              </w:rPr>
              <w:t xml:space="preserve"> Qualified Method</w:t>
            </w:r>
            <w:r w:rsidR="00012F4D">
              <w:rPr>
                <w:rFonts w:ascii="Arial" w:hAnsi="Arial" w:cs="Arial"/>
              </w:rPr>
              <w:t xml:space="preserve"> </w:t>
            </w:r>
          </w:p>
        </w:tc>
        <w:tc>
          <w:tcPr>
            <w:tcW w:w="3248" w:type="dxa"/>
          </w:tcPr>
          <w:p w14:paraId="66888336" w14:textId="3FE22F5C" w:rsidR="000B7215" w:rsidRPr="00D11C74" w:rsidRDefault="000B7215" w:rsidP="00FB3558">
            <w:pPr>
              <w:rPr>
                <w:rFonts w:ascii="Arial" w:hAnsi="Arial" w:cs="Arial"/>
              </w:rPr>
            </w:pPr>
            <w:r w:rsidRPr="00D11C74">
              <w:rPr>
                <w:rFonts w:ascii="Arial" w:hAnsi="Arial" w:cs="Arial"/>
              </w:rPr>
              <w:t xml:space="preserve">Negative; </w:t>
            </w:r>
            <w:r w:rsidR="00520294" w:rsidRPr="00D11C74">
              <w:rPr>
                <w:rFonts w:ascii="Arial" w:hAnsi="Arial" w:cs="Arial"/>
              </w:rPr>
              <w:t xml:space="preserve">final product </w:t>
            </w:r>
            <w:r w:rsidRPr="00D11C74">
              <w:rPr>
                <w:rFonts w:ascii="Arial" w:hAnsi="Arial" w:cs="Arial"/>
              </w:rPr>
              <w:t>results not available prior to administration</w:t>
            </w:r>
          </w:p>
        </w:tc>
      </w:tr>
      <w:tr w:rsidR="000B7215" w:rsidRPr="00D11C74" w14:paraId="6BDFC473" w14:textId="77777777" w:rsidTr="00A1264E">
        <w:trPr>
          <w:trHeight w:val="566"/>
        </w:trPr>
        <w:tc>
          <w:tcPr>
            <w:tcW w:w="2113" w:type="dxa"/>
          </w:tcPr>
          <w:p w14:paraId="0C215EC7" w14:textId="2576EA89" w:rsidR="000B7215" w:rsidRPr="00D11C74" w:rsidRDefault="000B7215" w:rsidP="00FB3558">
            <w:pPr>
              <w:rPr>
                <w:rFonts w:ascii="Arial" w:hAnsi="Arial" w:cs="Arial"/>
              </w:rPr>
            </w:pPr>
            <w:r w:rsidRPr="00D11C74">
              <w:rPr>
                <w:rFonts w:ascii="Arial" w:hAnsi="Arial" w:cs="Arial"/>
              </w:rPr>
              <w:t>Purity (Endotoxin)</w:t>
            </w:r>
          </w:p>
        </w:tc>
        <w:tc>
          <w:tcPr>
            <w:tcW w:w="2035" w:type="dxa"/>
          </w:tcPr>
          <w:p w14:paraId="5CDCE4F1" w14:textId="54E96690" w:rsidR="000B7215" w:rsidRPr="00D11C74" w:rsidRDefault="000B7215" w:rsidP="00FB3558">
            <w:pPr>
              <w:rPr>
                <w:rFonts w:ascii="Arial" w:hAnsi="Arial" w:cs="Arial"/>
              </w:rPr>
            </w:pPr>
            <w:r w:rsidRPr="00D11C74">
              <w:rPr>
                <w:rFonts w:ascii="Arial" w:hAnsi="Arial" w:cs="Arial"/>
              </w:rPr>
              <w:t>Final harvest</w:t>
            </w:r>
          </w:p>
        </w:tc>
        <w:tc>
          <w:tcPr>
            <w:tcW w:w="2527" w:type="dxa"/>
          </w:tcPr>
          <w:p w14:paraId="2147D356" w14:textId="171CF4E1" w:rsidR="000B7215" w:rsidRPr="00E20CB4" w:rsidRDefault="000B7215" w:rsidP="00FB3558">
            <w:pPr>
              <w:rPr>
                <w:rFonts w:ascii="Arial" w:hAnsi="Arial" w:cs="Arial"/>
                <w:highlight w:val="yellow"/>
              </w:rPr>
            </w:pPr>
            <w:r w:rsidRPr="009C58BD">
              <w:rPr>
                <w:rFonts w:ascii="Arial" w:hAnsi="Arial" w:cs="Arial"/>
              </w:rPr>
              <w:t>Endosafe® nexgen-PTS</w:t>
            </w:r>
          </w:p>
        </w:tc>
        <w:tc>
          <w:tcPr>
            <w:tcW w:w="3248" w:type="dxa"/>
          </w:tcPr>
          <w:p w14:paraId="5B833F4A" w14:textId="70C30114" w:rsidR="000B7215" w:rsidRPr="00D11C74" w:rsidRDefault="000B7215" w:rsidP="00FB3558">
            <w:pPr>
              <w:rPr>
                <w:rFonts w:ascii="Arial" w:hAnsi="Arial" w:cs="Arial"/>
              </w:rPr>
            </w:pPr>
            <w:r w:rsidRPr="00D11C74">
              <w:rPr>
                <w:rFonts w:ascii="Arial" w:hAnsi="Arial" w:cs="Arial"/>
              </w:rPr>
              <w:t>Less than 5 EU / kg body weight / hour</w:t>
            </w:r>
          </w:p>
        </w:tc>
      </w:tr>
      <w:tr w:rsidR="0025453A" w:rsidRPr="00D11C74" w14:paraId="4B8FA1CD" w14:textId="77777777" w:rsidTr="00A1264E">
        <w:trPr>
          <w:trHeight w:val="542"/>
        </w:trPr>
        <w:tc>
          <w:tcPr>
            <w:tcW w:w="2113" w:type="dxa"/>
          </w:tcPr>
          <w:p w14:paraId="5349389E" w14:textId="2CFE2C45" w:rsidR="0025453A" w:rsidRPr="00D11C74" w:rsidRDefault="009C58BD" w:rsidP="00FB3558">
            <w:pPr>
              <w:rPr>
                <w:rFonts w:ascii="Arial" w:hAnsi="Arial" w:cs="Arial"/>
              </w:rPr>
            </w:pPr>
            <w:r>
              <w:rPr>
                <w:rFonts w:ascii="Arial" w:hAnsi="Arial" w:cs="Arial"/>
              </w:rPr>
              <w:t>Identity</w:t>
            </w:r>
          </w:p>
        </w:tc>
        <w:tc>
          <w:tcPr>
            <w:tcW w:w="2035" w:type="dxa"/>
          </w:tcPr>
          <w:p w14:paraId="3B0DDA11" w14:textId="58D52131" w:rsidR="0025453A" w:rsidRPr="009C58BD" w:rsidRDefault="0025453A" w:rsidP="00FB3558">
            <w:pPr>
              <w:rPr>
                <w:rFonts w:ascii="Arial" w:hAnsi="Arial" w:cs="Arial"/>
              </w:rPr>
            </w:pPr>
            <w:r w:rsidRPr="009C58BD">
              <w:rPr>
                <w:rFonts w:ascii="Arial" w:hAnsi="Arial" w:cs="Arial"/>
              </w:rPr>
              <w:t>Starting material</w:t>
            </w:r>
          </w:p>
        </w:tc>
        <w:tc>
          <w:tcPr>
            <w:tcW w:w="2527" w:type="dxa"/>
          </w:tcPr>
          <w:p w14:paraId="10CF01F0" w14:textId="77777777" w:rsidR="0025453A" w:rsidRPr="009C58BD" w:rsidRDefault="0025453A" w:rsidP="00FB3558">
            <w:pPr>
              <w:rPr>
                <w:rFonts w:ascii="Arial" w:hAnsi="Arial" w:cs="Arial"/>
              </w:rPr>
            </w:pPr>
            <w:r w:rsidRPr="009C58BD">
              <w:rPr>
                <w:rFonts w:ascii="Arial" w:hAnsi="Arial" w:cs="Arial"/>
              </w:rPr>
              <w:t>Flow cytometry</w:t>
            </w:r>
            <w:r w:rsidR="009A004D" w:rsidRPr="009C58BD">
              <w:rPr>
                <w:rFonts w:ascii="Arial" w:hAnsi="Arial" w:cs="Arial"/>
              </w:rPr>
              <w:t xml:space="preserve">, </w:t>
            </w:r>
            <w:r w:rsidR="009C58BD" w:rsidRPr="009C58BD">
              <w:rPr>
                <w:rFonts w:ascii="Arial" w:hAnsi="Arial" w:cs="Arial"/>
              </w:rPr>
              <w:t xml:space="preserve">TCRαβ/CD45/CD19 </w:t>
            </w:r>
          </w:p>
          <w:p w14:paraId="1D73A1C2" w14:textId="273BA33D" w:rsidR="009C58BD" w:rsidRPr="009C58BD" w:rsidRDefault="009C58BD" w:rsidP="00FB3558">
            <w:pPr>
              <w:rPr>
                <w:rFonts w:ascii="Arial" w:hAnsi="Arial" w:cs="Arial"/>
              </w:rPr>
            </w:pPr>
            <w:r w:rsidRPr="009C58BD">
              <w:rPr>
                <w:rFonts w:ascii="Arial" w:hAnsi="Arial" w:cs="Arial"/>
              </w:rPr>
              <w:t>CD34/CD45/7-AAD</w:t>
            </w:r>
          </w:p>
        </w:tc>
        <w:tc>
          <w:tcPr>
            <w:tcW w:w="3248" w:type="dxa"/>
          </w:tcPr>
          <w:p w14:paraId="7811524F" w14:textId="44AC372F" w:rsidR="0025453A" w:rsidRPr="00D11C74" w:rsidRDefault="009A004D" w:rsidP="00FB3558">
            <w:pPr>
              <w:rPr>
                <w:rFonts w:ascii="Arial" w:hAnsi="Arial" w:cs="Arial"/>
              </w:rPr>
            </w:pPr>
            <w:r>
              <w:rPr>
                <w:rFonts w:ascii="Arial" w:hAnsi="Arial" w:cs="Arial"/>
              </w:rPr>
              <w:t xml:space="preserve">For </w:t>
            </w:r>
            <w:r w:rsidR="009C58BD">
              <w:rPr>
                <w:rFonts w:ascii="Arial" w:hAnsi="Arial" w:cs="Arial"/>
              </w:rPr>
              <w:t>depletion antibody labeling information</w:t>
            </w:r>
          </w:p>
        </w:tc>
      </w:tr>
      <w:tr w:rsidR="009C58BD" w:rsidRPr="00D11C74" w14:paraId="4D3D9125" w14:textId="77777777" w:rsidTr="00A1264E">
        <w:trPr>
          <w:trHeight w:val="271"/>
        </w:trPr>
        <w:tc>
          <w:tcPr>
            <w:tcW w:w="2113" w:type="dxa"/>
          </w:tcPr>
          <w:p w14:paraId="5285790C" w14:textId="5BCE06D7" w:rsidR="009C58BD" w:rsidRPr="00D11C74" w:rsidRDefault="009C58BD" w:rsidP="00FB3558">
            <w:pPr>
              <w:rPr>
                <w:rFonts w:ascii="Arial" w:hAnsi="Arial" w:cs="Arial"/>
              </w:rPr>
            </w:pPr>
            <w:r>
              <w:rPr>
                <w:rFonts w:ascii="Arial" w:hAnsi="Arial" w:cs="Arial"/>
              </w:rPr>
              <w:t>Identity</w:t>
            </w:r>
          </w:p>
        </w:tc>
        <w:tc>
          <w:tcPr>
            <w:tcW w:w="2035" w:type="dxa"/>
          </w:tcPr>
          <w:p w14:paraId="6581B4E6" w14:textId="7CA946B4" w:rsidR="009C58BD" w:rsidRPr="00D11C74" w:rsidRDefault="009C58BD" w:rsidP="00FB3558">
            <w:pPr>
              <w:rPr>
                <w:rFonts w:ascii="Arial" w:hAnsi="Arial" w:cs="Arial"/>
              </w:rPr>
            </w:pPr>
            <w:r>
              <w:rPr>
                <w:rFonts w:ascii="Arial" w:hAnsi="Arial" w:cs="Arial"/>
              </w:rPr>
              <w:t>Pre-column assessment</w:t>
            </w:r>
          </w:p>
        </w:tc>
        <w:tc>
          <w:tcPr>
            <w:tcW w:w="2527" w:type="dxa"/>
          </w:tcPr>
          <w:p w14:paraId="39FACF7F" w14:textId="77777777" w:rsidR="009C58BD" w:rsidRDefault="009C58BD" w:rsidP="00FB3558">
            <w:pPr>
              <w:rPr>
                <w:rFonts w:ascii="Arial" w:hAnsi="Arial" w:cs="Arial"/>
              </w:rPr>
            </w:pPr>
            <w:r w:rsidRPr="009C58BD">
              <w:rPr>
                <w:rFonts w:ascii="Arial" w:hAnsi="Arial" w:cs="Arial"/>
              </w:rPr>
              <w:t>Flow cytometry</w:t>
            </w:r>
            <w:r>
              <w:rPr>
                <w:rFonts w:ascii="Arial" w:hAnsi="Arial" w:cs="Arial"/>
              </w:rPr>
              <w:t xml:space="preserve">, </w:t>
            </w:r>
          </w:p>
          <w:p w14:paraId="0AFDC368" w14:textId="77777777" w:rsidR="009C58BD" w:rsidRDefault="009C58BD" w:rsidP="00FB3558">
            <w:pPr>
              <w:rPr>
                <w:rFonts w:ascii="Arial" w:hAnsi="Arial" w:cs="Arial"/>
              </w:rPr>
            </w:pPr>
            <w:r>
              <w:rPr>
                <w:rFonts w:ascii="Arial" w:hAnsi="Arial" w:cs="Arial"/>
              </w:rPr>
              <w:t>CD3/CD16/CD56/CD45</w:t>
            </w:r>
          </w:p>
          <w:p w14:paraId="14DECEDE" w14:textId="77777777" w:rsidR="009C58BD" w:rsidRDefault="009C58BD" w:rsidP="00FB3558">
            <w:pPr>
              <w:rPr>
                <w:rFonts w:ascii="Arial" w:hAnsi="Arial" w:cs="Arial"/>
              </w:rPr>
            </w:pPr>
            <w:r>
              <w:rPr>
                <w:rFonts w:ascii="Arial" w:hAnsi="Arial" w:cs="Arial"/>
              </w:rPr>
              <w:t>CD20/CD45/CD3</w:t>
            </w:r>
          </w:p>
          <w:p w14:paraId="0CAA7194" w14:textId="77777777" w:rsidR="009C58BD" w:rsidRDefault="009C58BD" w:rsidP="00FB3558">
            <w:pPr>
              <w:rPr>
                <w:rFonts w:ascii="Arial" w:hAnsi="Arial" w:cs="Arial"/>
              </w:rPr>
            </w:pPr>
            <w:r>
              <w:rPr>
                <w:rFonts w:ascii="Arial" w:hAnsi="Arial" w:cs="Arial"/>
              </w:rPr>
              <w:t>TCR</w:t>
            </w:r>
            <w:r w:rsidRPr="00A1264E">
              <w:rPr>
                <w:rFonts w:ascii="Symbol" w:hAnsi="Symbol" w:cs="Arial"/>
              </w:rPr>
              <w:t>gd</w:t>
            </w:r>
            <w:r>
              <w:rPr>
                <w:rFonts w:ascii="Arial" w:hAnsi="Arial" w:cs="Arial"/>
              </w:rPr>
              <w:t>/TCR</w:t>
            </w:r>
            <w:r w:rsidRPr="00A1264E">
              <w:rPr>
                <w:rFonts w:ascii="Symbol" w:hAnsi="Symbol" w:cs="Arial"/>
              </w:rPr>
              <w:t>ab</w:t>
            </w:r>
            <w:r>
              <w:rPr>
                <w:rFonts w:ascii="Arial" w:hAnsi="Arial" w:cs="Arial"/>
              </w:rPr>
              <w:t>/CD3/7-AAD</w:t>
            </w:r>
          </w:p>
          <w:p w14:paraId="3C05B8D7" w14:textId="5A636F8C" w:rsidR="009C58BD" w:rsidRPr="009C58BD" w:rsidRDefault="00A1264E" w:rsidP="00FB3558">
            <w:pPr>
              <w:rPr>
                <w:rFonts w:ascii="Arial" w:hAnsi="Arial" w:cs="Arial"/>
              </w:rPr>
            </w:pPr>
            <w:r>
              <w:rPr>
                <w:rFonts w:ascii="Arial" w:hAnsi="Arial" w:cs="Arial"/>
              </w:rPr>
              <w:t>CD45/CD34/7-AAD</w:t>
            </w:r>
          </w:p>
        </w:tc>
        <w:tc>
          <w:tcPr>
            <w:tcW w:w="3248" w:type="dxa"/>
          </w:tcPr>
          <w:p w14:paraId="4290EF6A" w14:textId="1C2587EA" w:rsidR="009C58BD" w:rsidRPr="00D11C74" w:rsidRDefault="00A1264E" w:rsidP="00FB3558">
            <w:pPr>
              <w:rPr>
                <w:rFonts w:ascii="Arial" w:hAnsi="Arial" w:cs="Arial"/>
              </w:rPr>
            </w:pPr>
            <w:r>
              <w:rPr>
                <w:rFonts w:ascii="Arial" w:hAnsi="Arial" w:cs="Arial"/>
              </w:rPr>
              <w:t>For internal information only</w:t>
            </w:r>
          </w:p>
        </w:tc>
      </w:tr>
      <w:tr w:rsidR="000B7215" w:rsidRPr="00D11C74" w14:paraId="142277F1" w14:textId="77777777" w:rsidTr="00A1264E">
        <w:trPr>
          <w:trHeight w:val="542"/>
        </w:trPr>
        <w:tc>
          <w:tcPr>
            <w:tcW w:w="2113" w:type="dxa"/>
          </w:tcPr>
          <w:p w14:paraId="3BEC2564" w14:textId="459839CF" w:rsidR="000B7215" w:rsidRPr="00D11C74" w:rsidRDefault="009C58BD" w:rsidP="00FB3558">
            <w:pPr>
              <w:rPr>
                <w:rFonts w:ascii="Arial" w:hAnsi="Arial" w:cs="Arial"/>
              </w:rPr>
            </w:pPr>
            <w:r>
              <w:rPr>
                <w:rFonts w:ascii="Arial" w:hAnsi="Arial" w:cs="Arial"/>
              </w:rPr>
              <w:t>Cell dose and identity</w:t>
            </w:r>
          </w:p>
        </w:tc>
        <w:tc>
          <w:tcPr>
            <w:tcW w:w="2035" w:type="dxa"/>
          </w:tcPr>
          <w:p w14:paraId="6D633209" w14:textId="4ADAB98E" w:rsidR="000B7215" w:rsidRPr="00D11C74" w:rsidRDefault="000B7215" w:rsidP="00FB3558">
            <w:pPr>
              <w:rPr>
                <w:rFonts w:ascii="Arial" w:hAnsi="Arial" w:cs="Arial"/>
              </w:rPr>
            </w:pPr>
            <w:r w:rsidRPr="00D11C74">
              <w:rPr>
                <w:rFonts w:ascii="Arial" w:hAnsi="Arial" w:cs="Arial"/>
              </w:rPr>
              <w:t>Final harvest</w:t>
            </w:r>
          </w:p>
        </w:tc>
        <w:tc>
          <w:tcPr>
            <w:tcW w:w="2527" w:type="dxa"/>
          </w:tcPr>
          <w:p w14:paraId="118372C4" w14:textId="33D9BA86" w:rsidR="000B7215" w:rsidRPr="009C58BD" w:rsidRDefault="000B7215" w:rsidP="00FB3558">
            <w:pPr>
              <w:rPr>
                <w:rFonts w:ascii="Arial" w:hAnsi="Arial" w:cs="Arial"/>
              </w:rPr>
            </w:pPr>
            <w:r w:rsidRPr="009C58BD">
              <w:rPr>
                <w:rFonts w:ascii="Arial" w:hAnsi="Arial" w:cs="Arial"/>
              </w:rPr>
              <w:t>Flow cytometry</w:t>
            </w:r>
            <w:r w:rsidR="00A1264E">
              <w:rPr>
                <w:rFonts w:ascii="Arial" w:hAnsi="Arial" w:cs="Arial"/>
              </w:rPr>
              <w:t>*</w:t>
            </w:r>
          </w:p>
        </w:tc>
        <w:tc>
          <w:tcPr>
            <w:tcW w:w="3248" w:type="dxa"/>
          </w:tcPr>
          <w:p w14:paraId="74DE83AC" w14:textId="77777777" w:rsidR="000B7215" w:rsidRDefault="009C58BD" w:rsidP="00FB3558">
            <w:pPr>
              <w:rPr>
                <w:rFonts w:ascii="Arial" w:hAnsi="Arial" w:cs="Arial"/>
              </w:rPr>
            </w:pPr>
            <w:r>
              <w:rPr>
                <w:rFonts w:ascii="Arial" w:hAnsi="Arial" w:cs="Arial"/>
              </w:rPr>
              <w:t>CD45/CD34/7-AAD; 2.0 x 10^5 – 10.0 x 10^5 CD34+/kg</w:t>
            </w:r>
          </w:p>
          <w:p w14:paraId="7CFC3E10" w14:textId="77777777" w:rsidR="00A1264E" w:rsidRDefault="00A1264E" w:rsidP="00FB3558">
            <w:pPr>
              <w:rPr>
                <w:rFonts w:ascii="Arial" w:hAnsi="Arial" w:cs="Arial"/>
              </w:rPr>
            </w:pPr>
          </w:p>
          <w:p w14:paraId="7AD68777" w14:textId="0A85389E" w:rsidR="00A1264E" w:rsidRPr="00D11C74" w:rsidRDefault="00A1264E" w:rsidP="00FB3558">
            <w:pPr>
              <w:rPr>
                <w:rFonts w:ascii="Arial" w:hAnsi="Arial" w:cs="Arial"/>
              </w:rPr>
            </w:pPr>
            <w:r>
              <w:rPr>
                <w:rFonts w:ascii="Arial" w:hAnsi="Arial" w:cs="Arial"/>
              </w:rPr>
              <w:t>CD45/CD20/CD3; ≤1.0 x 10^5 CD20+/kg and ≤1.0 x 10^5 CD3+/kg</w:t>
            </w:r>
          </w:p>
        </w:tc>
      </w:tr>
      <w:tr w:rsidR="00A1264E" w:rsidRPr="00D11C74" w14:paraId="1D643760" w14:textId="77777777" w:rsidTr="00A1264E">
        <w:trPr>
          <w:trHeight w:val="542"/>
        </w:trPr>
        <w:tc>
          <w:tcPr>
            <w:tcW w:w="2113" w:type="dxa"/>
          </w:tcPr>
          <w:p w14:paraId="51A5FE01" w14:textId="0F7934C7" w:rsidR="00A1264E" w:rsidRDefault="00A1264E" w:rsidP="00FB3558">
            <w:pPr>
              <w:rPr>
                <w:rFonts w:ascii="Arial" w:hAnsi="Arial" w:cs="Arial"/>
              </w:rPr>
            </w:pPr>
            <w:r>
              <w:rPr>
                <w:rFonts w:ascii="Arial" w:hAnsi="Arial" w:cs="Arial"/>
              </w:rPr>
              <w:t>Purity (other contaminants)</w:t>
            </w:r>
          </w:p>
        </w:tc>
        <w:tc>
          <w:tcPr>
            <w:tcW w:w="2035" w:type="dxa"/>
          </w:tcPr>
          <w:p w14:paraId="680E4500" w14:textId="66776CA8" w:rsidR="00A1264E" w:rsidRPr="00D11C74" w:rsidRDefault="00A1264E" w:rsidP="00FB3558">
            <w:pPr>
              <w:rPr>
                <w:rFonts w:ascii="Arial" w:hAnsi="Arial" w:cs="Arial"/>
              </w:rPr>
            </w:pPr>
            <w:r>
              <w:rPr>
                <w:rFonts w:ascii="Arial" w:hAnsi="Arial" w:cs="Arial"/>
              </w:rPr>
              <w:t>Final harvest</w:t>
            </w:r>
          </w:p>
        </w:tc>
        <w:tc>
          <w:tcPr>
            <w:tcW w:w="2527" w:type="dxa"/>
          </w:tcPr>
          <w:p w14:paraId="067A0CA3" w14:textId="49E8D403" w:rsidR="00A1264E" w:rsidRPr="009C58BD" w:rsidRDefault="00A1264E" w:rsidP="00FB3558">
            <w:pPr>
              <w:rPr>
                <w:rFonts w:ascii="Arial" w:hAnsi="Arial" w:cs="Arial"/>
              </w:rPr>
            </w:pPr>
            <w:r>
              <w:rPr>
                <w:rFonts w:ascii="Arial" w:hAnsi="Arial" w:cs="Arial"/>
              </w:rPr>
              <w:t>Flow cytometry</w:t>
            </w:r>
          </w:p>
        </w:tc>
        <w:tc>
          <w:tcPr>
            <w:tcW w:w="3248" w:type="dxa"/>
          </w:tcPr>
          <w:p w14:paraId="7E8EA3ED" w14:textId="4B6943B9" w:rsidR="00A1264E" w:rsidRDefault="00A1264E" w:rsidP="00A1264E">
            <w:pPr>
              <w:rPr>
                <w:rFonts w:ascii="Arial" w:hAnsi="Arial" w:cs="Arial"/>
              </w:rPr>
            </w:pPr>
            <w:r>
              <w:rPr>
                <w:rFonts w:ascii="Arial" w:hAnsi="Arial" w:cs="Arial"/>
              </w:rPr>
              <w:t>CD3/CD16/CD56/CD45; information only</w:t>
            </w:r>
          </w:p>
          <w:p w14:paraId="13437174" w14:textId="77777777" w:rsidR="00A1264E" w:rsidRDefault="00A1264E" w:rsidP="00FB3558">
            <w:pPr>
              <w:rPr>
                <w:rFonts w:ascii="Arial" w:hAnsi="Arial" w:cs="Arial"/>
              </w:rPr>
            </w:pPr>
          </w:p>
        </w:tc>
      </w:tr>
      <w:tr w:rsidR="000B7215" w:rsidRPr="00D11C74" w14:paraId="7DE174AE" w14:textId="77777777" w:rsidTr="00A1264E">
        <w:trPr>
          <w:trHeight w:val="890"/>
        </w:trPr>
        <w:tc>
          <w:tcPr>
            <w:tcW w:w="2113" w:type="dxa"/>
          </w:tcPr>
          <w:p w14:paraId="096013AC" w14:textId="59D44153" w:rsidR="000B7215" w:rsidRPr="00D11C74" w:rsidRDefault="000B7215" w:rsidP="00FB3558">
            <w:pPr>
              <w:rPr>
                <w:rFonts w:ascii="Arial" w:hAnsi="Arial" w:cs="Arial"/>
              </w:rPr>
            </w:pPr>
            <w:r w:rsidRPr="00D11C74">
              <w:rPr>
                <w:rFonts w:ascii="Arial" w:hAnsi="Arial" w:cs="Arial"/>
              </w:rPr>
              <w:t>Others (cell viability)</w:t>
            </w:r>
          </w:p>
        </w:tc>
        <w:tc>
          <w:tcPr>
            <w:tcW w:w="2035" w:type="dxa"/>
          </w:tcPr>
          <w:p w14:paraId="45DF6D06" w14:textId="285598D6" w:rsidR="000B7215" w:rsidRPr="00D11C74" w:rsidRDefault="000B7215" w:rsidP="00FB3558">
            <w:pPr>
              <w:rPr>
                <w:rFonts w:ascii="Arial" w:hAnsi="Arial" w:cs="Arial"/>
              </w:rPr>
            </w:pPr>
            <w:r w:rsidRPr="00D11C74">
              <w:rPr>
                <w:rFonts w:ascii="Arial" w:hAnsi="Arial" w:cs="Arial"/>
              </w:rPr>
              <w:t>Starting material</w:t>
            </w:r>
            <w:r w:rsidR="009A004D">
              <w:rPr>
                <w:rFonts w:ascii="Arial" w:hAnsi="Arial" w:cs="Arial"/>
              </w:rPr>
              <w:t>, Final harvest</w:t>
            </w:r>
          </w:p>
        </w:tc>
        <w:tc>
          <w:tcPr>
            <w:tcW w:w="2527" w:type="dxa"/>
          </w:tcPr>
          <w:p w14:paraId="27665A38" w14:textId="5F519F4E" w:rsidR="000B7215" w:rsidRPr="00E20CB4" w:rsidRDefault="00A1264E" w:rsidP="00FB3558">
            <w:pPr>
              <w:rPr>
                <w:rFonts w:ascii="Arial" w:hAnsi="Arial" w:cs="Arial"/>
                <w:highlight w:val="yellow"/>
              </w:rPr>
            </w:pPr>
            <w:r w:rsidRPr="00A1264E">
              <w:rPr>
                <w:rFonts w:ascii="Arial" w:hAnsi="Arial" w:cs="Arial"/>
              </w:rPr>
              <w:t>Flow cytometry, 7-AAD</w:t>
            </w:r>
          </w:p>
        </w:tc>
        <w:tc>
          <w:tcPr>
            <w:tcW w:w="3248" w:type="dxa"/>
          </w:tcPr>
          <w:p w14:paraId="1C9FE46C" w14:textId="48264171" w:rsidR="000B7215" w:rsidRPr="00D11C74" w:rsidRDefault="00FC5AD8" w:rsidP="00FB3558">
            <w:pPr>
              <w:rPr>
                <w:rFonts w:ascii="Arial" w:hAnsi="Arial" w:cs="Arial"/>
              </w:rPr>
            </w:pPr>
            <w:r w:rsidRPr="00D11C74">
              <w:rPr>
                <w:rFonts w:ascii="Arial" w:hAnsi="Arial" w:cs="Arial"/>
              </w:rPr>
              <w:t xml:space="preserve">Report result; Final harvest </w:t>
            </w:r>
            <w:r w:rsidR="00DE57DC">
              <w:rPr>
                <w:rFonts w:ascii="Arial" w:hAnsi="Arial" w:cs="Arial"/>
              </w:rPr>
              <w:t>≥</w:t>
            </w:r>
            <w:r w:rsidRPr="00D11C74">
              <w:rPr>
                <w:rFonts w:ascii="Arial" w:hAnsi="Arial" w:cs="Arial"/>
              </w:rPr>
              <w:t>70%</w:t>
            </w:r>
            <w:r w:rsidR="009A004D">
              <w:rPr>
                <w:rFonts w:ascii="Arial" w:hAnsi="Arial" w:cs="Arial"/>
              </w:rPr>
              <w:t xml:space="preserve"> viable CD3</w:t>
            </w:r>
            <w:r w:rsidR="00A1264E">
              <w:rPr>
                <w:rFonts w:ascii="Arial" w:hAnsi="Arial" w:cs="Arial"/>
              </w:rPr>
              <w:t>4</w:t>
            </w:r>
            <w:r w:rsidR="009A004D">
              <w:rPr>
                <w:rFonts w:ascii="Arial" w:hAnsi="Arial" w:cs="Arial"/>
              </w:rPr>
              <w:t>+ cells</w:t>
            </w:r>
          </w:p>
        </w:tc>
      </w:tr>
    </w:tbl>
    <w:p w14:paraId="4027FE91" w14:textId="59F8A572" w:rsidR="003A04A0" w:rsidRPr="00D11C74" w:rsidRDefault="00A1264E" w:rsidP="00FB3558">
      <w:pPr>
        <w:spacing w:after="0" w:line="240" w:lineRule="auto"/>
        <w:rPr>
          <w:rFonts w:ascii="Arial" w:hAnsi="Arial" w:cs="Arial"/>
        </w:rPr>
      </w:pPr>
      <w:r>
        <w:rPr>
          <w:rFonts w:ascii="Arial" w:hAnsi="Arial" w:cs="Arial"/>
        </w:rPr>
        <w:t xml:space="preserve">*Refer to Final Formulation section for steps allowed if CD19 and CD3 numbers are higher than recommended. </w:t>
      </w:r>
    </w:p>
    <w:p w14:paraId="4F58BFA4" w14:textId="77777777" w:rsidR="00331766" w:rsidRDefault="00331766" w:rsidP="00BA4B5A">
      <w:pPr>
        <w:pStyle w:val="Heading1"/>
        <w:spacing w:before="0" w:after="0" w:line="240" w:lineRule="auto"/>
        <w:jc w:val="both"/>
        <w:rPr>
          <w:rFonts w:ascii="Arial" w:eastAsiaTheme="minorHAnsi" w:hAnsi="Arial" w:cs="Arial"/>
          <w:bCs/>
          <w:caps w:val="0"/>
          <w:sz w:val="22"/>
          <w:szCs w:val="22"/>
        </w:rPr>
      </w:pPr>
    </w:p>
    <w:p w14:paraId="43FE2DD7" w14:textId="77777777" w:rsidR="00BA0C5B" w:rsidRDefault="00BA0C5B" w:rsidP="00BA4B5A">
      <w:pPr>
        <w:pStyle w:val="Heading1"/>
        <w:spacing w:before="0" w:after="0" w:line="240" w:lineRule="auto"/>
        <w:jc w:val="both"/>
        <w:rPr>
          <w:rFonts w:ascii="Arial" w:eastAsiaTheme="minorHAnsi" w:hAnsi="Arial" w:cs="Arial"/>
          <w:bCs/>
          <w:caps w:val="0"/>
          <w:sz w:val="22"/>
          <w:szCs w:val="22"/>
        </w:rPr>
      </w:pPr>
      <w:bookmarkStart w:id="1" w:name="_Hlk152245122"/>
    </w:p>
    <w:p w14:paraId="4303EBB8" w14:textId="0876D607" w:rsidR="00BA0C5B" w:rsidRDefault="00BA0C5B" w:rsidP="00BA4B5A">
      <w:pPr>
        <w:pStyle w:val="Heading1"/>
        <w:spacing w:before="0" w:after="0" w:line="240" w:lineRule="auto"/>
        <w:jc w:val="both"/>
        <w:rPr>
          <w:rFonts w:ascii="Arial" w:eastAsiaTheme="minorHAnsi" w:hAnsi="Arial" w:cs="Arial"/>
          <w:bCs/>
          <w:caps w:val="0"/>
          <w:sz w:val="22"/>
          <w:szCs w:val="22"/>
        </w:rPr>
      </w:pPr>
    </w:p>
    <w:p w14:paraId="51FD7866" w14:textId="77777777" w:rsidR="00BA0C5B" w:rsidRPr="00BA0C5B" w:rsidRDefault="00BA0C5B" w:rsidP="00BA0C5B"/>
    <w:p w14:paraId="23D5D028" w14:textId="7DF1DEF9" w:rsidR="003B510A" w:rsidRPr="00D11C74" w:rsidRDefault="00520294" w:rsidP="00BA4B5A">
      <w:pPr>
        <w:pStyle w:val="Heading1"/>
        <w:spacing w:before="0" w:after="0" w:line="240" w:lineRule="auto"/>
        <w:jc w:val="both"/>
        <w:rPr>
          <w:rFonts w:ascii="Arial" w:eastAsiaTheme="minorHAnsi" w:hAnsi="Arial" w:cs="Arial"/>
          <w:bCs/>
          <w:caps w:val="0"/>
          <w:sz w:val="22"/>
          <w:szCs w:val="22"/>
        </w:rPr>
      </w:pPr>
      <w:r w:rsidRPr="00D11C74">
        <w:rPr>
          <w:rFonts w:ascii="Arial" w:eastAsiaTheme="minorHAnsi" w:hAnsi="Arial" w:cs="Arial"/>
          <w:bCs/>
          <w:caps w:val="0"/>
          <w:sz w:val="22"/>
          <w:szCs w:val="22"/>
        </w:rPr>
        <w:t>FINAL PRODUCT RELEASE CRITERIA/SPECIFICATIONS</w:t>
      </w:r>
    </w:p>
    <w:p w14:paraId="74C5BDA3" w14:textId="77777777" w:rsidR="00153163" w:rsidRDefault="00153163" w:rsidP="00FB3558">
      <w:pPr>
        <w:spacing w:after="0" w:line="240" w:lineRule="auto"/>
        <w:rPr>
          <w:rFonts w:ascii="Arial" w:hAnsi="Arial" w:cs="Arial"/>
        </w:rPr>
      </w:pPr>
    </w:p>
    <w:p w14:paraId="52C6B018" w14:textId="5E4AC072" w:rsidR="003A04A0" w:rsidRPr="00153163" w:rsidRDefault="00153163" w:rsidP="00FB3558">
      <w:pPr>
        <w:spacing w:after="0" w:line="240" w:lineRule="auto"/>
        <w:rPr>
          <w:rFonts w:ascii="Arial" w:hAnsi="Arial" w:cs="Arial"/>
          <w:b/>
          <w:bCs/>
        </w:rPr>
      </w:pPr>
      <w:r w:rsidRPr="00153163">
        <w:rPr>
          <w:rFonts w:ascii="Arial" w:hAnsi="Arial" w:cs="Arial"/>
          <w:b/>
          <w:bCs/>
        </w:rPr>
        <w:t>Table 7.4 Final product release criteria and specifications</w:t>
      </w:r>
    </w:p>
    <w:tbl>
      <w:tblPr>
        <w:tblStyle w:val="TableGrid"/>
        <w:tblW w:w="10085" w:type="dxa"/>
        <w:tblLook w:val="04A0" w:firstRow="1" w:lastRow="0" w:firstColumn="1" w:lastColumn="0" w:noHBand="0" w:noVBand="1"/>
      </w:tblPr>
      <w:tblGrid>
        <w:gridCol w:w="2057"/>
        <w:gridCol w:w="2355"/>
        <w:gridCol w:w="3634"/>
        <w:gridCol w:w="2039"/>
      </w:tblGrid>
      <w:tr w:rsidR="0025453A" w:rsidRPr="00D11C74" w14:paraId="43F52EE5" w14:textId="77777777" w:rsidTr="00A60938">
        <w:trPr>
          <w:trHeight w:val="610"/>
        </w:trPr>
        <w:tc>
          <w:tcPr>
            <w:tcW w:w="2057" w:type="dxa"/>
          </w:tcPr>
          <w:p w14:paraId="4F86BB91" w14:textId="77777777" w:rsidR="0025453A" w:rsidRPr="00FB3558" w:rsidRDefault="0025453A" w:rsidP="00BA4B5A">
            <w:pPr>
              <w:jc w:val="both"/>
              <w:rPr>
                <w:rFonts w:ascii="Arial" w:hAnsi="Arial" w:cs="Arial"/>
                <w:b/>
                <w:bCs/>
              </w:rPr>
            </w:pPr>
            <w:r w:rsidRPr="00FB3558">
              <w:rPr>
                <w:rFonts w:ascii="Arial" w:hAnsi="Arial" w:cs="Arial"/>
                <w:b/>
                <w:bCs/>
              </w:rPr>
              <w:lastRenderedPageBreak/>
              <w:t>Test</w:t>
            </w:r>
          </w:p>
        </w:tc>
        <w:tc>
          <w:tcPr>
            <w:tcW w:w="2355" w:type="dxa"/>
          </w:tcPr>
          <w:p w14:paraId="7ED69019" w14:textId="39232C4E" w:rsidR="0025453A" w:rsidRPr="00FB3558" w:rsidRDefault="0025453A" w:rsidP="00BA4B5A">
            <w:pPr>
              <w:jc w:val="both"/>
              <w:rPr>
                <w:rFonts w:ascii="Arial" w:hAnsi="Arial" w:cs="Arial"/>
                <w:b/>
                <w:bCs/>
              </w:rPr>
            </w:pPr>
            <w:r w:rsidRPr="00FB3558">
              <w:rPr>
                <w:rFonts w:ascii="Arial" w:hAnsi="Arial" w:cs="Arial"/>
                <w:b/>
                <w:bCs/>
              </w:rPr>
              <w:t>Method</w:t>
            </w:r>
          </w:p>
        </w:tc>
        <w:tc>
          <w:tcPr>
            <w:tcW w:w="3634" w:type="dxa"/>
          </w:tcPr>
          <w:p w14:paraId="08631AE7" w14:textId="06331BE4" w:rsidR="0025453A" w:rsidRPr="00FB3558" w:rsidRDefault="0025453A" w:rsidP="00BA4B5A">
            <w:pPr>
              <w:jc w:val="both"/>
              <w:rPr>
                <w:rFonts w:ascii="Arial" w:hAnsi="Arial" w:cs="Arial"/>
                <w:b/>
                <w:bCs/>
              </w:rPr>
            </w:pPr>
            <w:r w:rsidRPr="00FB3558">
              <w:rPr>
                <w:rFonts w:ascii="Arial" w:hAnsi="Arial" w:cs="Arial"/>
                <w:b/>
                <w:bCs/>
              </w:rPr>
              <w:t>Criteria</w:t>
            </w:r>
          </w:p>
        </w:tc>
        <w:tc>
          <w:tcPr>
            <w:tcW w:w="2039" w:type="dxa"/>
          </w:tcPr>
          <w:p w14:paraId="44F9F33C" w14:textId="6CA0B9C6" w:rsidR="0025453A" w:rsidRPr="00FB3558" w:rsidRDefault="0025453A" w:rsidP="00FB3558">
            <w:pPr>
              <w:rPr>
                <w:rFonts w:ascii="Arial" w:hAnsi="Arial" w:cs="Arial"/>
                <w:b/>
                <w:bCs/>
              </w:rPr>
            </w:pPr>
            <w:r w:rsidRPr="00FB3558">
              <w:rPr>
                <w:rFonts w:ascii="Arial" w:hAnsi="Arial" w:cs="Arial"/>
                <w:b/>
                <w:bCs/>
              </w:rPr>
              <w:t>Results Available prior to Release</w:t>
            </w:r>
          </w:p>
        </w:tc>
      </w:tr>
      <w:tr w:rsidR="0025453A" w:rsidRPr="00D11C74" w14:paraId="1E499218" w14:textId="77777777" w:rsidTr="00A60938">
        <w:trPr>
          <w:trHeight w:val="282"/>
        </w:trPr>
        <w:tc>
          <w:tcPr>
            <w:tcW w:w="2057" w:type="dxa"/>
          </w:tcPr>
          <w:p w14:paraId="3014E8D3" w14:textId="77777777" w:rsidR="0025453A" w:rsidRPr="00D11C74" w:rsidRDefault="0025453A" w:rsidP="00FB3558">
            <w:pPr>
              <w:rPr>
                <w:rFonts w:ascii="Arial" w:hAnsi="Arial" w:cs="Arial"/>
              </w:rPr>
            </w:pPr>
            <w:r w:rsidRPr="00D11C74">
              <w:rPr>
                <w:rFonts w:ascii="Arial" w:hAnsi="Arial" w:cs="Arial"/>
              </w:rPr>
              <w:t>Sterility</w:t>
            </w:r>
          </w:p>
        </w:tc>
        <w:tc>
          <w:tcPr>
            <w:tcW w:w="2355" w:type="dxa"/>
          </w:tcPr>
          <w:p w14:paraId="2D34B421" w14:textId="22FFDA3E" w:rsidR="0025453A" w:rsidRPr="00D11C74" w:rsidRDefault="00DE57DC" w:rsidP="00FB3558">
            <w:pPr>
              <w:rPr>
                <w:rFonts w:ascii="Arial" w:hAnsi="Arial" w:cs="Arial"/>
              </w:rPr>
            </w:pPr>
            <w:r>
              <w:rPr>
                <w:rFonts w:ascii="Arial" w:hAnsi="Arial" w:cs="Arial"/>
              </w:rPr>
              <w:t>Internal Qualified Method</w:t>
            </w:r>
          </w:p>
        </w:tc>
        <w:tc>
          <w:tcPr>
            <w:tcW w:w="3634" w:type="dxa"/>
          </w:tcPr>
          <w:p w14:paraId="59EF28C8" w14:textId="29582617" w:rsidR="0025453A" w:rsidRPr="00D11C74" w:rsidRDefault="0025453A" w:rsidP="00FB3558">
            <w:pPr>
              <w:rPr>
                <w:rFonts w:ascii="Arial" w:hAnsi="Arial" w:cs="Arial"/>
              </w:rPr>
            </w:pPr>
            <w:r w:rsidRPr="00D11C74">
              <w:rPr>
                <w:rFonts w:ascii="Arial" w:hAnsi="Arial" w:cs="Arial"/>
              </w:rPr>
              <w:t>Negative</w:t>
            </w:r>
          </w:p>
        </w:tc>
        <w:tc>
          <w:tcPr>
            <w:tcW w:w="2039" w:type="dxa"/>
          </w:tcPr>
          <w:p w14:paraId="1AED57AF" w14:textId="1264489A" w:rsidR="0025453A" w:rsidRPr="00D11C74" w:rsidRDefault="0025453A" w:rsidP="00A60938">
            <w:pPr>
              <w:jc w:val="center"/>
              <w:rPr>
                <w:rFonts w:ascii="Arial" w:hAnsi="Arial" w:cs="Arial"/>
              </w:rPr>
            </w:pPr>
            <w:r w:rsidRPr="00D11C74">
              <w:rPr>
                <w:rFonts w:ascii="Arial" w:hAnsi="Arial" w:cs="Arial"/>
              </w:rPr>
              <w:t>No</w:t>
            </w:r>
          </w:p>
        </w:tc>
      </w:tr>
      <w:tr w:rsidR="0025453A" w:rsidRPr="00D11C74" w14:paraId="43E92CD7" w14:textId="77777777" w:rsidTr="00A60938">
        <w:trPr>
          <w:trHeight w:val="576"/>
        </w:trPr>
        <w:tc>
          <w:tcPr>
            <w:tcW w:w="2057" w:type="dxa"/>
          </w:tcPr>
          <w:p w14:paraId="25399583" w14:textId="77777777" w:rsidR="0025453A" w:rsidRPr="00AD1F2B" w:rsidRDefault="0025453A" w:rsidP="00FB3558">
            <w:pPr>
              <w:rPr>
                <w:rFonts w:ascii="Arial" w:hAnsi="Arial" w:cs="Arial"/>
              </w:rPr>
            </w:pPr>
            <w:r w:rsidRPr="00AD1F2B">
              <w:rPr>
                <w:rFonts w:ascii="Arial" w:hAnsi="Arial" w:cs="Arial"/>
              </w:rPr>
              <w:t>Purity (Endotoxin)</w:t>
            </w:r>
          </w:p>
        </w:tc>
        <w:tc>
          <w:tcPr>
            <w:tcW w:w="2355" w:type="dxa"/>
          </w:tcPr>
          <w:p w14:paraId="2D2982CE" w14:textId="23B4CD22" w:rsidR="0025453A" w:rsidRPr="00AD1F2B" w:rsidRDefault="0025453A" w:rsidP="00FB3558">
            <w:pPr>
              <w:rPr>
                <w:rFonts w:ascii="Arial" w:hAnsi="Arial" w:cs="Arial"/>
              </w:rPr>
            </w:pPr>
            <w:r w:rsidRPr="00AD1F2B">
              <w:rPr>
                <w:rFonts w:ascii="Arial" w:hAnsi="Arial" w:cs="Arial"/>
              </w:rPr>
              <w:t>Endosafe nexgen-PTS</w:t>
            </w:r>
          </w:p>
        </w:tc>
        <w:tc>
          <w:tcPr>
            <w:tcW w:w="3634" w:type="dxa"/>
          </w:tcPr>
          <w:p w14:paraId="2C8BE5DD" w14:textId="4F3A45C0" w:rsidR="0025453A" w:rsidRPr="00AD1F2B" w:rsidRDefault="0025453A" w:rsidP="00FB3558">
            <w:pPr>
              <w:rPr>
                <w:rFonts w:ascii="Arial" w:hAnsi="Arial" w:cs="Arial"/>
              </w:rPr>
            </w:pPr>
            <w:r w:rsidRPr="00AD1F2B">
              <w:rPr>
                <w:rFonts w:ascii="Arial" w:hAnsi="Arial" w:cs="Arial"/>
              </w:rPr>
              <w:t>&lt; 5 EU/ kg body weight / hour</w:t>
            </w:r>
          </w:p>
        </w:tc>
        <w:tc>
          <w:tcPr>
            <w:tcW w:w="2039" w:type="dxa"/>
          </w:tcPr>
          <w:p w14:paraId="771D8E4E" w14:textId="390B5A95" w:rsidR="0025453A" w:rsidRPr="00AD1F2B" w:rsidRDefault="0025453A" w:rsidP="00A60938">
            <w:pPr>
              <w:jc w:val="center"/>
              <w:rPr>
                <w:rFonts w:ascii="Arial" w:hAnsi="Arial" w:cs="Arial"/>
              </w:rPr>
            </w:pPr>
            <w:r w:rsidRPr="00AD1F2B">
              <w:rPr>
                <w:rFonts w:ascii="Arial" w:hAnsi="Arial" w:cs="Arial"/>
              </w:rPr>
              <w:t>Yes</w:t>
            </w:r>
          </w:p>
        </w:tc>
      </w:tr>
      <w:tr w:rsidR="0025453A" w:rsidRPr="00D11C74" w14:paraId="166A67E1" w14:textId="77777777" w:rsidTr="00A60938">
        <w:trPr>
          <w:trHeight w:val="647"/>
        </w:trPr>
        <w:tc>
          <w:tcPr>
            <w:tcW w:w="2057" w:type="dxa"/>
          </w:tcPr>
          <w:p w14:paraId="289CCF2B" w14:textId="5444C2DE" w:rsidR="0025453A" w:rsidRPr="00AD1F2B" w:rsidRDefault="0025453A" w:rsidP="00FB3558">
            <w:pPr>
              <w:rPr>
                <w:rFonts w:ascii="Arial" w:hAnsi="Arial" w:cs="Arial"/>
              </w:rPr>
            </w:pPr>
            <w:r w:rsidRPr="00AD1F2B">
              <w:rPr>
                <w:rFonts w:ascii="Arial" w:hAnsi="Arial" w:cs="Arial"/>
              </w:rPr>
              <w:t>Identity</w:t>
            </w:r>
          </w:p>
        </w:tc>
        <w:tc>
          <w:tcPr>
            <w:tcW w:w="2355" w:type="dxa"/>
          </w:tcPr>
          <w:p w14:paraId="22C47459" w14:textId="687E2B9B" w:rsidR="0025453A" w:rsidRPr="00AD1F2B" w:rsidRDefault="0025453A" w:rsidP="00FB3558">
            <w:pPr>
              <w:rPr>
                <w:rFonts w:ascii="Arial" w:hAnsi="Arial" w:cs="Arial"/>
              </w:rPr>
            </w:pPr>
            <w:r w:rsidRPr="00AD1F2B">
              <w:rPr>
                <w:rFonts w:ascii="Arial" w:hAnsi="Arial" w:cs="Arial"/>
              </w:rPr>
              <w:t>Flow cytometry</w:t>
            </w:r>
          </w:p>
        </w:tc>
        <w:tc>
          <w:tcPr>
            <w:tcW w:w="3634" w:type="dxa"/>
          </w:tcPr>
          <w:p w14:paraId="495C6501" w14:textId="77777777" w:rsidR="00DE57DC" w:rsidRDefault="00DE57DC" w:rsidP="00DE57DC">
            <w:pPr>
              <w:rPr>
                <w:rFonts w:ascii="Arial" w:hAnsi="Arial" w:cs="Arial"/>
              </w:rPr>
            </w:pPr>
            <w:r>
              <w:rPr>
                <w:rFonts w:ascii="Arial" w:hAnsi="Arial" w:cs="Arial"/>
              </w:rPr>
              <w:t>CD45/CD34/7-AAD; 2.0 x 10^5 – 10.0 x 10^5 CD34+/kg</w:t>
            </w:r>
          </w:p>
          <w:p w14:paraId="789BB83E" w14:textId="77777777" w:rsidR="00DE57DC" w:rsidRDefault="00DE57DC" w:rsidP="00DE57DC">
            <w:pPr>
              <w:rPr>
                <w:rFonts w:ascii="Arial" w:hAnsi="Arial" w:cs="Arial"/>
              </w:rPr>
            </w:pPr>
          </w:p>
          <w:p w14:paraId="65B037FF" w14:textId="08F81D69" w:rsidR="0025453A" w:rsidRPr="00AD1F2B" w:rsidRDefault="00DE57DC" w:rsidP="00DE57DC">
            <w:pPr>
              <w:rPr>
                <w:rFonts w:ascii="Arial" w:hAnsi="Arial" w:cs="Arial"/>
              </w:rPr>
            </w:pPr>
            <w:r>
              <w:rPr>
                <w:rFonts w:ascii="Arial" w:hAnsi="Arial" w:cs="Arial"/>
              </w:rPr>
              <w:t>CD45/CD20/CD3; ≤1.0 x 10^5 CD20+/kg and ≤1.0 x 10^5 CD3+/kg</w:t>
            </w:r>
          </w:p>
        </w:tc>
        <w:tc>
          <w:tcPr>
            <w:tcW w:w="2039" w:type="dxa"/>
          </w:tcPr>
          <w:p w14:paraId="2C8F7439" w14:textId="1C7592FE" w:rsidR="0025453A" w:rsidRPr="00AD1F2B" w:rsidRDefault="0025453A" w:rsidP="00A60938">
            <w:pPr>
              <w:jc w:val="center"/>
              <w:rPr>
                <w:rFonts w:ascii="Arial" w:hAnsi="Arial" w:cs="Arial"/>
              </w:rPr>
            </w:pPr>
            <w:r w:rsidRPr="00AD1F2B">
              <w:rPr>
                <w:rFonts w:ascii="Arial" w:hAnsi="Arial" w:cs="Arial"/>
              </w:rPr>
              <w:t>Yes</w:t>
            </w:r>
          </w:p>
        </w:tc>
      </w:tr>
      <w:tr w:rsidR="0025453A" w:rsidRPr="00D11C74" w14:paraId="2B239A53" w14:textId="77777777" w:rsidTr="00A60938">
        <w:trPr>
          <w:trHeight w:val="282"/>
        </w:trPr>
        <w:tc>
          <w:tcPr>
            <w:tcW w:w="2057" w:type="dxa"/>
          </w:tcPr>
          <w:p w14:paraId="5A675C2D" w14:textId="424F5BC4" w:rsidR="0025453A" w:rsidRPr="00AD1F2B" w:rsidRDefault="0025453A" w:rsidP="00FB3558">
            <w:pPr>
              <w:rPr>
                <w:rFonts w:ascii="Arial" w:hAnsi="Arial" w:cs="Arial"/>
              </w:rPr>
            </w:pPr>
            <w:r w:rsidRPr="00AD1F2B">
              <w:rPr>
                <w:rFonts w:ascii="Arial" w:hAnsi="Arial" w:cs="Arial"/>
              </w:rPr>
              <w:t>Cell viability</w:t>
            </w:r>
          </w:p>
        </w:tc>
        <w:tc>
          <w:tcPr>
            <w:tcW w:w="2355" w:type="dxa"/>
          </w:tcPr>
          <w:p w14:paraId="4A481EB6" w14:textId="44271187" w:rsidR="0025453A" w:rsidRPr="00AD1F2B" w:rsidRDefault="0025453A" w:rsidP="00FB3558">
            <w:pPr>
              <w:rPr>
                <w:rFonts w:ascii="Arial" w:hAnsi="Arial" w:cs="Arial"/>
              </w:rPr>
            </w:pPr>
            <w:r w:rsidRPr="00AD1F2B">
              <w:rPr>
                <w:rFonts w:ascii="Arial" w:hAnsi="Arial" w:cs="Arial"/>
              </w:rPr>
              <w:t>Flow cytometry</w:t>
            </w:r>
          </w:p>
        </w:tc>
        <w:tc>
          <w:tcPr>
            <w:tcW w:w="3634" w:type="dxa"/>
          </w:tcPr>
          <w:p w14:paraId="4BCF0954" w14:textId="464BCFC1" w:rsidR="0025453A" w:rsidRPr="00AD1F2B" w:rsidRDefault="00DE57DC" w:rsidP="00FB3558">
            <w:pPr>
              <w:rPr>
                <w:rFonts w:ascii="Arial" w:hAnsi="Arial" w:cs="Arial"/>
              </w:rPr>
            </w:pPr>
            <w:r>
              <w:rPr>
                <w:rFonts w:ascii="Arial" w:hAnsi="Arial" w:cs="Arial"/>
              </w:rPr>
              <w:t>≥</w:t>
            </w:r>
            <w:r w:rsidRPr="00D11C74">
              <w:rPr>
                <w:rFonts w:ascii="Arial" w:hAnsi="Arial" w:cs="Arial"/>
              </w:rPr>
              <w:t>70%</w:t>
            </w:r>
            <w:r>
              <w:rPr>
                <w:rFonts w:ascii="Arial" w:hAnsi="Arial" w:cs="Arial"/>
              </w:rPr>
              <w:t xml:space="preserve"> viable CD34+ cells</w:t>
            </w:r>
          </w:p>
        </w:tc>
        <w:tc>
          <w:tcPr>
            <w:tcW w:w="2039" w:type="dxa"/>
          </w:tcPr>
          <w:p w14:paraId="0738DA83" w14:textId="2391F657" w:rsidR="0025453A" w:rsidRPr="00AD1F2B" w:rsidRDefault="0025453A" w:rsidP="00A60938">
            <w:pPr>
              <w:jc w:val="center"/>
              <w:rPr>
                <w:rFonts w:ascii="Arial" w:hAnsi="Arial" w:cs="Arial"/>
              </w:rPr>
            </w:pPr>
            <w:r w:rsidRPr="00AD1F2B">
              <w:rPr>
                <w:rFonts w:ascii="Arial" w:hAnsi="Arial" w:cs="Arial"/>
              </w:rPr>
              <w:t>Yes</w:t>
            </w:r>
          </w:p>
        </w:tc>
      </w:tr>
      <w:bookmarkEnd w:id="1"/>
    </w:tbl>
    <w:p w14:paraId="79DA4C4D" w14:textId="6D03C8B4" w:rsidR="003B510A" w:rsidRPr="00D11C74" w:rsidRDefault="003B510A" w:rsidP="00BA4B5A">
      <w:pPr>
        <w:spacing w:after="0" w:line="240" w:lineRule="auto"/>
        <w:jc w:val="both"/>
        <w:rPr>
          <w:rFonts w:ascii="Arial" w:hAnsi="Arial" w:cs="Arial"/>
        </w:rPr>
      </w:pPr>
    </w:p>
    <w:p w14:paraId="45379142" w14:textId="6E2E6CDE" w:rsidR="003B510A" w:rsidRPr="00D11C74" w:rsidRDefault="003B510A" w:rsidP="00BA4B5A">
      <w:pPr>
        <w:spacing w:after="0" w:line="240" w:lineRule="auto"/>
        <w:jc w:val="both"/>
        <w:rPr>
          <w:rFonts w:ascii="Arial" w:hAnsi="Arial" w:cs="Arial"/>
          <w:b/>
          <w:bCs/>
        </w:rPr>
      </w:pPr>
      <w:r w:rsidRPr="00D11C74">
        <w:rPr>
          <w:rFonts w:ascii="Arial" w:hAnsi="Arial" w:cs="Arial"/>
          <w:b/>
          <w:bCs/>
        </w:rPr>
        <w:t>Description of Test Methods</w:t>
      </w:r>
    </w:p>
    <w:p w14:paraId="34A4E3FB" w14:textId="77777777" w:rsidR="006A4992" w:rsidRPr="00FB3558" w:rsidRDefault="006A4992" w:rsidP="00BA4B5A">
      <w:pPr>
        <w:spacing w:after="0" w:line="240" w:lineRule="auto"/>
        <w:jc w:val="both"/>
        <w:rPr>
          <w:rFonts w:ascii="Arial" w:hAnsi="Arial" w:cs="Arial"/>
          <w:b/>
          <w:bCs/>
          <w:sz w:val="10"/>
          <w:szCs w:val="10"/>
        </w:rPr>
      </w:pPr>
    </w:p>
    <w:p w14:paraId="46D06DE3" w14:textId="2054482F" w:rsidR="00B30437" w:rsidRDefault="00B30437" w:rsidP="00BA4B5A">
      <w:pPr>
        <w:spacing w:after="0" w:line="240" w:lineRule="auto"/>
        <w:jc w:val="both"/>
        <w:rPr>
          <w:rFonts w:ascii="Arial" w:hAnsi="Arial" w:cs="Arial"/>
          <w:b/>
          <w:bCs/>
        </w:rPr>
      </w:pPr>
      <w:r w:rsidRPr="00D11C74">
        <w:rPr>
          <w:rFonts w:ascii="Arial" w:hAnsi="Arial" w:cs="Arial"/>
          <w:b/>
          <w:bCs/>
        </w:rPr>
        <w:t>Microbiological Testing</w:t>
      </w:r>
    </w:p>
    <w:p w14:paraId="5C61F1A3" w14:textId="77777777" w:rsidR="00D26652" w:rsidRPr="00D26652" w:rsidRDefault="00D26652" w:rsidP="00BA4B5A">
      <w:pPr>
        <w:spacing w:after="0" w:line="240" w:lineRule="auto"/>
        <w:jc w:val="both"/>
        <w:rPr>
          <w:rFonts w:ascii="Arial" w:hAnsi="Arial" w:cs="Arial"/>
          <w:b/>
          <w:bCs/>
          <w:sz w:val="10"/>
          <w:szCs w:val="10"/>
        </w:rPr>
      </w:pPr>
    </w:p>
    <w:p w14:paraId="06A08822" w14:textId="5D55FCCF" w:rsidR="003B510A" w:rsidRPr="00D11C74" w:rsidRDefault="00B30437" w:rsidP="00BA4B5A">
      <w:pPr>
        <w:spacing w:after="0" w:line="240" w:lineRule="auto"/>
        <w:jc w:val="both"/>
        <w:rPr>
          <w:rFonts w:ascii="Arial" w:hAnsi="Arial" w:cs="Arial"/>
          <w:b/>
          <w:bCs/>
          <w:i/>
          <w:iCs/>
        </w:rPr>
      </w:pPr>
      <w:bookmarkStart w:id="2" w:name="_Hlk152245166"/>
      <w:r w:rsidRPr="00D11C74">
        <w:rPr>
          <w:rFonts w:ascii="Arial" w:hAnsi="Arial" w:cs="Arial"/>
          <w:b/>
          <w:bCs/>
          <w:i/>
          <w:iCs/>
        </w:rPr>
        <w:t>Sterility Testing (Bacterial and Fungal Testing)</w:t>
      </w:r>
    </w:p>
    <w:p w14:paraId="62B454B0" w14:textId="4B667D12" w:rsidR="00B30437" w:rsidRPr="00D11C74" w:rsidRDefault="00B30437" w:rsidP="00BA4B5A">
      <w:pPr>
        <w:spacing w:after="0" w:line="240" w:lineRule="auto"/>
        <w:jc w:val="both"/>
        <w:rPr>
          <w:rFonts w:ascii="Arial" w:hAnsi="Arial" w:cs="Arial"/>
        </w:rPr>
      </w:pPr>
      <w:r w:rsidRPr="00D11C74">
        <w:rPr>
          <w:rFonts w:ascii="Arial" w:hAnsi="Arial" w:cs="Arial"/>
        </w:rPr>
        <w:t xml:space="preserve">Samples will be removed as described in the manufacturing workflow. Samples will be </w:t>
      </w:r>
      <w:r w:rsidR="00DE57DC">
        <w:rPr>
          <w:rFonts w:ascii="Arial" w:hAnsi="Arial" w:cs="Arial"/>
        </w:rPr>
        <w:t xml:space="preserve">inoculated in thioglycolate broth </w:t>
      </w:r>
      <w:r w:rsidR="00012F4D">
        <w:rPr>
          <w:rFonts w:ascii="Arial" w:hAnsi="Arial" w:cs="Arial"/>
        </w:rPr>
        <w:t xml:space="preserve">for bacterial cultures and a sterile tube for fungal cultures </w:t>
      </w:r>
      <w:r w:rsidR="00DE57DC">
        <w:rPr>
          <w:rFonts w:ascii="Arial" w:hAnsi="Arial" w:cs="Arial"/>
        </w:rPr>
        <w:t>and submitted to the IU Health Clinical Microbiology Laboratory for culture.</w:t>
      </w:r>
      <w:r w:rsidR="00124549">
        <w:rPr>
          <w:rFonts w:ascii="Arial" w:hAnsi="Arial" w:cs="Arial"/>
        </w:rPr>
        <w:t xml:space="preserve"> </w:t>
      </w:r>
      <w:r w:rsidR="003D0422">
        <w:rPr>
          <w:rFonts w:ascii="Arial" w:hAnsi="Arial" w:cs="Arial"/>
        </w:rPr>
        <w:t xml:space="preserve">Bacterial cultures are incubated for 7 days. </w:t>
      </w:r>
      <w:r w:rsidR="00124549">
        <w:rPr>
          <w:rFonts w:ascii="Arial" w:hAnsi="Arial" w:cs="Arial"/>
        </w:rPr>
        <w:t xml:space="preserve">Samples tested for fungal contaminants are incubated for 14 days. </w:t>
      </w:r>
      <w:r w:rsidR="00595EE7" w:rsidRPr="00D11C74">
        <w:rPr>
          <w:rFonts w:ascii="Arial" w:hAnsi="Arial" w:cs="Arial"/>
        </w:rPr>
        <w:t xml:space="preserve">In the event of a positive sterility culture discovered after administration, the </w:t>
      </w:r>
      <w:r w:rsidR="00DE57DC">
        <w:rPr>
          <w:rFonts w:ascii="Arial" w:hAnsi="Arial" w:cs="Arial"/>
        </w:rPr>
        <w:t xml:space="preserve">CTL </w:t>
      </w:r>
      <w:r w:rsidR="00595EE7" w:rsidRPr="00D11C74">
        <w:rPr>
          <w:rFonts w:ascii="Arial" w:hAnsi="Arial" w:cs="Arial"/>
        </w:rPr>
        <w:t>Medical Director and the Principal Investigator will be notified immediately to determine the appropriate treatment plan</w:t>
      </w:r>
      <w:bookmarkEnd w:id="2"/>
      <w:r w:rsidR="00595EE7" w:rsidRPr="00D11C74">
        <w:rPr>
          <w:rFonts w:ascii="Arial" w:hAnsi="Arial" w:cs="Arial"/>
        </w:rPr>
        <w:t>.</w:t>
      </w:r>
    </w:p>
    <w:p w14:paraId="303DF6F9" w14:textId="5438751D" w:rsidR="006A4992" w:rsidRPr="00D11C74" w:rsidRDefault="006A4992" w:rsidP="00BA4B5A">
      <w:pPr>
        <w:spacing w:after="0" w:line="240" w:lineRule="auto"/>
        <w:jc w:val="both"/>
        <w:rPr>
          <w:rFonts w:ascii="Arial" w:hAnsi="Arial" w:cs="Arial"/>
        </w:rPr>
      </w:pPr>
    </w:p>
    <w:p w14:paraId="14F1BE64" w14:textId="2ACAB912" w:rsidR="006A4992" w:rsidRPr="00D11C74" w:rsidRDefault="006A4992" w:rsidP="00BA4B5A">
      <w:pPr>
        <w:spacing w:after="0" w:line="240" w:lineRule="auto"/>
        <w:jc w:val="both"/>
        <w:rPr>
          <w:rFonts w:ascii="Arial" w:hAnsi="Arial" w:cs="Arial"/>
          <w:b/>
          <w:bCs/>
        </w:rPr>
      </w:pPr>
      <w:r w:rsidRPr="00D11C74">
        <w:rPr>
          <w:rFonts w:ascii="Arial" w:hAnsi="Arial" w:cs="Arial"/>
          <w:b/>
          <w:bCs/>
          <w:i/>
          <w:iCs/>
        </w:rPr>
        <w:t>Gram Stain</w:t>
      </w:r>
    </w:p>
    <w:p w14:paraId="3E2ABD2F" w14:textId="38FB4945" w:rsidR="006A4992" w:rsidRPr="00D11C74" w:rsidRDefault="006A4992" w:rsidP="00BA4B5A">
      <w:pPr>
        <w:spacing w:after="0" w:line="240" w:lineRule="auto"/>
        <w:jc w:val="both"/>
        <w:rPr>
          <w:rFonts w:ascii="Arial" w:hAnsi="Arial" w:cs="Arial"/>
        </w:rPr>
      </w:pPr>
      <w:r w:rsidRPr="00D11C74">
        <w:rPr>
          <w:rFonts w:ascii="Arial" w:hAnsi="Arial" w:cs="Arial"/>
        </w:rPr>
        <w:t xml:space="preserve">Samples will be stained to assess the presence of gross bacterial contaminants according to standard </w:t>
      </w:r>
      <w:r w:rsidR="00FB3558">
        <w:rPr>
          <w:rFonts w:ascii="Arial" w:hAnsi="Arial" w:cs="Arial"/>
        </w:rPr>
        <w:t xml:space="preserve">operating </w:t>
      </w:r>
      <w:r w:rsidRPr="00D11C74">
        <w:rPr>
          <w:rFonts w:ascii="Arial" w:hAnsi="Arial" w:cs="Arial"/>
        </w:rPr>
        <w:t>procedure. In the event of a potential positive result, a sample will be sent to the IU Health Microbiology laboratory for confirmation.</w:t>
      </w:r>
    </w:p>
    <w:p w14:paraId="61A47FCD" w14:textId="7EC7BC47" w:rsidR="00B30437" w:rsidRPr="00D11C74" w:rsidRDefault="00B30437" w:rsidP="00BA4B5A">
      <w:pPr>
        <w:spacing w:after="0" w:line="240" w:lineRule="auto"/>
        <w:jc w:val="both"/>
        <w:rPr>
          <w:rFonts w:ascii="Arial" w:hAnsi="Arial" w:cs="Arial"/>
        </w:rPr>
      </w:pPr>
    </w:p>
    <w:p w14:paraId="4F8EE3B5" w14:textId="19D773C9" w:rsidR="00B30437" w:rsidRPr="00D11C74" w:rsidRDefault="00B30437" w:rsidP="00BA4B5A">
      <w:pPr>
        <w:spacing w:after="0" w:line="240" w:lineRule="auto"/>
        <w:jc w:val="both"/>
        <w:rPr>
          <w:rFonts w:ascii="Arial" w:hAnsi="Arial" w:cs="Arial"/>
          <w:b/>
          <w:bCs/>
        </w:rPr>
      </w:pPr>
      <w:r w:rsidRPr="00D11C74">
        <w:rPr>
          <w:rFonts w:ascii="Arial" w:hAnsi="Arial" w:cs="Arial"/>
          <w:b/>
          <w:bCs/>
        </w:rPr>
        <w:t>Identity Testing</w:t>
      </w:r>
    </w:p>
    <w:p w14:paraId="798192F9" w14:textId="77777777" w:rsidR="008C574C" w:rsidRPr="00FB3558" w:rsidRDefault="008C574C" w:rsidP="00BA4B5A">
      <w:pPr>
        <w:spacing w:after="0" w:line="240" w:lineRule="auto"/>
        <w:jc w:val="both"/>
        <w:rPr>
          <w:rFonts w:ascii="Arial" w:hAnsi="Arial" w:cs="Arial"/>
          <w:b/>
          <w:bCs/>
          <w:sz w:val="10"/>
          <w:szCs w:val="10"/>
        </w:rPr>
      </w:pPr>
    </w:p>
    <w:p w14:paraId="0B391FCC" w14:textId="3E2963FF" w:rsidR="00B30437" w:rsidRPr="00D11C74" w:rsidRDefault="00B30437" w:rsidP="00BA4B5A">
      <w:pPr>
        <w:spacing w:after="0" w:line="240" w:lineRule="auto"/>
        <w:jc w:val="both"/>
        <w:rPr>
          <w:rFonts w:ascii="Arial" w:hAnsi="Arial" w:cs="Arial"/>
          <w:b/>
          <w:bCs/>
          <w:i/>
          <w:iCs/>
        </w:rPr>
      </w:pPr>
      <w:r w:rsidRPr="00D11C74">
        <w:rPr>
          <w:rFonts w:ascii="Arial" w:hAnsi="Arial" w:cs="Arial"/>
          <w:b/>
          <w:bCs/>
          <w:i/>
          <w:iCs/>
        </w:rPr>
        <w:t>Phenotype by flow cytometry</w:t>
      </w:r>
    </w:p>
    <w:p w14:paraId="54EE0B99" w14:textId="05750319" w:rsidR="00B30437" w:rsidRDefault="00B30437" w:rsidP="00BA4B5A">
      <w:pPr>
        <w:spacing w:after="0" w:line="240" w:lineRule="auto"/>
        <w:jc w:val="both"/>
        <w:rPr>
          <w:rFonts w:ascii="Arial" w:hAnsi="Arial" w:cs="Arial"/>
        </w:rPr>
      </w:pPr>
      <w:r w:rsidRPr="00D11C74">
        <w:rPr>
          <w:rFonts w:ascii="Arial" w:hAnsi="Arial" w:cs="Arial"/>
        </w:rPr>
        <w:t xml:space="preserve">Samples from the final harvest will be tested by flow cytometry. The cells will be assessed for viability and </w:t>
      </w:r>
      <w:r w:rsidR="007056DF" w:rsidRPr="00D11C74">
        <w:rPr>
          <w:rFonts w:ascii="Arial" w:hAnsi="Arial" w:cs="Arial"/>
        </w:rPr>
        <w:t xml:space="preserve">phenotype </w:t>
      </w:r>
      <w:r w:rsidR="00DE57DC">
        <w:rPr>
          <w:rFonts w:ascii="Arial" w:hAnsi="Arial" w:cs="Arial"/>
        </w:rPr>
        <w:t>according to the matrix below.</w:t>
      </w:r>
    </w:p>
    <w:p w14:paraId="40474458" w14:textId="77777777" w:rsidR="00DE57DC" w:rsidRDefault="00DE57DC" w:rsidP="00BA4B5A">
      <w:pPr>
        <w:spacing w:after="0" w:line="240" w:lineRule="auto"/>
        <w:jc w:val="both"/>
        <w:rPr>
          <w:rFonts w:ascii="Arial" w:hAnsi="Arial" w:cs="Arial"/>
          <w:b/>
          <w:bCs/>
        </w:rPr>
      </w:pPr>
    </w:p>
    <w:p w14:paraId="75049372" w14:textId="13A51C9C" w:rsidR="00DE57DC" w:rsidRPr="00DE57DC" w:rsidRDefault="00DE57DC" w:rsidP="00BA4B5A">
      <w:pPr>
        <w:spacing w:after="0" w:line="240" w:lineRule="auto"/>
        <w:jc w:val="both"/>
        <w:rPr>
          <w:rFonts w:ascii="Arial" w:hAnsi="Arial" w:cs="Arial"/>
          <w:b/>
          <w:bCs/>
        </w:rPr>
      </w:pPr>
      <w:r>
        <w:rPr>
          <w:rFonts w:ascii="Arial" w:hAnsi="Arial" w:cs="Arial"/>
          <w:b/>
          <w:bCs/>
        </w:rPr>
        <w:t>Table 7.5 Flow cytometry timing and panel</w:t>
      </w:r>
    </w:p>
    <w:tbl>
      <w:tblPr>
        <w:tblStyle w:val="TableGrid"/>
        <w:tblW w:w="0" w:type="auto"/>
        <w:tblLook w:val="04A0" w:firstRow="1" w:lastRow="0" w:firstColumn="1" w:lastColumn="0" w:noHBand="0" w:noVBand="1"/>
      </w:tblPr>
      <w:tblGrid>
        <w:gridCol w:w="2515"/>
        <w:gridCol w:w="1980"/>
      </w:tblGrid>
      <w:tr w:rsidR="00DE57DC" w:rsidRPr="00DE57DC" w14:paraId="7718A3E4" w14:textId="77777777" w:rsidTr="009A329E">
        <w:tc>
          <w:tcPr>
            <w:tcW w:w="2515" w:type="dxa"/>
            <w:shd w:val="clear" w:color="auto" w:fill="BFBFBF" w:themeFill="background1" w:themeFillShade="BF"/>
            <w:vAlign w:val="center"/>
          </w:tcPr>
          <w:p w14:paraId="38694D76" w14:textId="77777777" w:rsidR="00DE57DC" w:rsidRDefault="00DE57DC" w:rsidP="009A329E">
            <w:pPr>
              <w:rPr>
                <w:rFonts w:ascii="Arial" w:hAnsi="Arial" w:cs="Arial"/>
              </w:rPr>
            </w:pPr>
            <w:r>
              <w:rPr>
                <w:rFonts w:ascii="Arial" w:hAnsi="Arial" w:cs="Arial"/>
              </w:rPr>
              <w:t>Part of Process</w:t>
            </w:r>
          </w:p>
        </w:tc>
        <w:tc>
          <w:tcPr>
            <w:tcW w:w="1980" w:type="dxa"/>
            <w:shd w:val="clear" w:color="auto" w:fill="BFBFBF" w:themeFill="background1" w:themeFillShade="BF"/>
            <w:vAlign w:val="center"/>
          </w:tcPr>
          <w:p w14:paraId="3ACD7545" w14:textId="77777777" w:rsidR="00DE57DC" w:rsidRDefault="00DE57DC" w:rsidP="009A329E">
            <w:pPr>
              <w:rPr>
                <w:rFonts w:ascii="Arial" w:hAnsi="Arial" w:cs="Arial"/>
              </w:rPr>
            </w:pPr>
            <w:r>
              <w:rPr>
                <w:rFonts w:ascii="Arial" w:hAnsi="Arial" w:cs="Arial"/>
              </w:rPr>
              <w:t>Tube Number</w:t>
            </w:r>
          </w:p>
        </w:tc>
      </w:tr>
      <w:tr w:rsidR="00DE57DC" w:rsidRPr="00DE57DC" w14:paraId="0E223F17" w14:textId="77777777" w:rsidTr="009A329E">
        <w:tc>
          <w:tcPr>
            <w:tcW w:w="2515" w:type="dxa"/>
            <w:vAlign w:val="center"/>
          </w:tcPr>
          <w:p w14:paraId="07545B24" w14:textId="77777777" w:rsidR="00DE57DC" w:rsidRDefault="00DE57DC" w:rsidP="009A329E">
            <w:pPr>
              <w:rPr>
                <w:rFonts w:ascii="Arial" w:hAnsi="Arial" w:cs="Arial"/>
              </w:rPr>
            </w:pPr>
            <w:r>
              <w:rPr>
                <w:rFonts w:ascii="Arial" w:hAnsi="Arial" w:cs="Arial"/>
              </w:rPr>
              <w:t>Day of Collection</w:t>
            </w:r>
          </w:p>
        </w:tc>
        <w:tc>
          <w:tcPr>
            <w:tcW w:w="1980" w:type="dxa"/>
            <w:vAlign w:val="center"/>
          </w:tcPr>
          <w:p w14:paraId="4A392A8D" w14:textId="77777777" w:rsidR="00DE57DC" w:rsidRDefault="00DE57DC" w:rsidP="009A329E">
            <w:pPr>
              <w:rPr>
                <w:rFonts w:ascii="Arial" w:hAnsi="Arial" w:cs="Arial"/>
              </w:rPr>
            </w:pPr>
            <w:r>
              <w:rPr>
                <w:rFonts w:ascii="Arial" w:hAnsi="Arial" w:cs="Arial"/>
              </w:rPr>
              <w:t>Tubes 1 and 5</w:t>
            </w:r>
          </w:p>
        </w:tc>
      </w:tr>
      <w:tr w:rsidR="00DE57DC" w:rsidRPr="00DE57DC" w14:paraId="49C96263" w14:textId="77777777" w:rsidTr="009A329E">
        <w:tc>
          <w:tcPr>
            <w:tcW w:w="2515" w:type="dxa"/>
            <w:vAlign w:val="center"/>
          </w:tcPr>
          <w:p w14:paraId="52DAFCFE" w14:textId="77777777" w:rsidR="00DE57DC" w:rsidRDefault="00DE57DC" w:rsidP="009A329E">
            <w:pPr>
              <w:rPr>
                <w:rFonts w:ascii="Arial" w:hAnsi="Arial" w:cs="Arial"/>
              </w:rPr>
            </w:pPr>
            <w:r>
              <w:rPr>
                <w:rFonts w:ascii="Arial" w:hAnsi="Arial" w:cs="Arial"/>
              </w:rPr>
              <w:t xml:space="preserve">Pre-Processing </w:t>
            </w:r>
          </w:p>
        </w:tc>
        <w:tc>
          <w:tcPr>
            <w:tcW w:w="1980" w:type="dxa"/>
            <w:vAlign w:val="center"/>
          </w:tcPr>
          <w:p w14:paraId="3628797C" w14:textId="77777777" w:rsidR="00DE57DC" w:rsidRDefault="00DE57DC" w:rsidP="009A329E">
            <w:pPr>
              <w:rPr>
                <w:rFonts w:ascii="Arial" w:hAnsi="Arial" w:cs="Arial"/>
              </w:rPr>
            </w:pPr>
            <w:r>
              <w:rPr>
                <w:rFonts w:ascii="Arial" w:hAnsi="Arial" w:cs="Arial"/>
              </w:rPr>
              <w:t>Tubes 1 and 5</w:t>
            </w:r>
          </w:p>
        </w:tc>
      </w:tr>
      <w:tr w:rsidR="00DE57DC" w:rsidRPr="00DE57DC" w14:paraId="534842FA" w14:textId="77777777" w:rsidTr="009A329E">
        <w:tc>
          <w:tcPr>
            <w:tcW w:w="2515" w:type="dxa"/>
            <w:vAlign w:val="center"/>
          </w:tcPr>
          <w:p w14:paraId="4DD04FB9" w14:textId="77777777" w:rsidR="00DE57DC" w:rsidRDefault="00DE57DC" w:rsidP="009A329E">
            <w:pPr>
              <w:rPr>
                <w:rFonts w:ascii="Arial" w:hAnsi="Arial" w:cs="Arial"/>
              </w:rPr>
            </w:pPr>
            <w:r>
              <w:rPr>
                <w:rFonts w:ascii="Arial" w:hAnsi="Arial" w:cs="Arial"/>
              </w:rPr>
              <w:t>Post Platelet Depletion</w:t>
            </w:r>
          </w:p>
        </w:tc>
        <w:tc>
          <w:tcPr>
            <w:tcW w:w="1980" w:type="dxa"/>
            <w:vAlign w:val="center"/>
          </w:tcPr>
          <w:p w14:paraId="4B8F4B4A" w14:textId="77777777" w:rsidR="00DE57DC" w:rsidRDefault="00DE57DC" w:rsidP="009A329E">
            <w:pPr>
              <w:rPr>
                <w:rFonts w:ascii="Arial" w:hAnsi="Arial" w:cs="Arial"/>
              </w:rPr>
            </w:pPr>
            <w:r>
              <w:rPr>
                <w:rFonts w:ascii="Arial" w:hAnsi="Arial" w:cs="Arial"/>
              </w:rPr>
              <w:t>Tube 1</w:t>
            </w:r>
          </w:p>
        </w:tc>
      </w:tr>
      <w:tr w:rsidR="00DE57DC" w:rsidRPr="00DE57DC" w14:paraId="2CF63653" w14:textId="77777777" w:rsidTr="009A329E">
        <w:tc>
          <w:tcPr>
            <w:tcW w:w="2515" w:type="dxa"/>
            <w:vAlign w:val="center"/>
          </w:tcPr>
          <w:p w14:paraId="163E5CA5" w14:textId="77777777" w:rsidR="00DE57DC" w:rsidRDefault="00DE57DC" w:rsidP="009A329E">
            <w:pPr>
              <w:rPr>
                <w:rFonts w:ascii="Arial" w:hAnsi="Arial" w:cs="Arial"/>
              </w:rPr>
            </w:pPr>
            <w:r>
              <w:rPr>
                <w:rFonts w:ascii="Arial" w:hAnsi="Arial" w:cs="Arial"/>
              </w:rPr>
              <w:t>Pre-Column</w:t>
            </w:r>
          </w:p>
        </w:tc>
        <w:tc>
          <w:tcPr>
            <w:tcW w:w="1980" w:type="dxa"/>
            <w:vAlign w:val="center"/>
          </w:tcPr>
          <w:p w14:paraId="7174E807" w14:textId="77777777" w:rsidR="00DE57DC" w:rsidRDefault="00DE57DC" w:rsidP="009A329E">
            <w:pPr>
              <w:rPr>
                <w:rFonts w:ascii="Arial" w:hAnsi="Arial" w:cs="Arial"/>
              </w:rPr>
            </w:pPr>
            <w:r>
              <w:rPr>
                <w:rFonts w:ascii="Arial" w:hAnsi="Arial" w:cs="Arial"/>
              </w:rPr>
              <w:t xml:space="preserve">Tubes 2, 3, 4, 5 </w:t>
            </w:r>
          </w:p>
        </w:tc>
      </w:tr>
      <w:tr w:rsidR="00DE57DC" w:rsidRPr="00DE57DC" w14:paraId="29DE52E6" w14:textId="77777777" w:rsidTr="009A329E">
        <w:tc>
          <w:tcPr>
            <w:tcW w:w="2515" w:type="dxa"/>
            <w:vAlign w:val="center"/>
          </w:tcPr>
          <w:p w14:paraId="7C8EE9A3" w14:textId="77777777" w:rsidR="00DE57DC" w:rsidRDefault="00DE57DC" w:rsidP="009A329E">
            <w:pPr>
              <w:rPr>
                <w:rFonts w:ascii="Arial" w:hAnsi="Arial" w:cs="Arial"/>
              </w:rPr>
            </w:pPr>
            <w:r>
              <w:rPr>
                <w:rFonts w:ascii="Arial" w:hAnsi="Arial" w:cs="Arial"/>
              </w:rPr>
              <w:t>Target/Non-Target</w:t>
            </w:r>
          </w:p>
        </w:tc>
        <w:tc>
          <w:tcPr>
            <w:tcW w:w="1980" w:type="dxa"/>
            <w:vAlign w:val="center"/>
          </w:tcPr>
          <w:p w14:paraId="11A60A1A" w14:textId="77777777" w:rsidR="00DE57DC" w:rsidRDefault="00DE57DC" w:rsidP="009A329E">
            <w:pPr>
              <w:rPr>
                <w:rFonts w:ascii="Arial" w:hAnsi="Arial" w:cs="Arial"/>
              </w:rPr>
            </w:pPr>
            <w:r>
              <w:rPr>
                <w:rFonts w:ascii="Arial" w:hAnsi="Arial" w:cs="Arial"/>
              </w:rPr>
              <w:t>Tubes 2, 3, 4, 5</w:t>
            </w:r>
          </w:p>
        </w:tc>
      </w:tr>
    </w:tbl>
    <w:p w14:paraId="5853B165" w14:textId="21E32297" w:rsidR="0085422A" w:rsidRDefault="0085422A" w:rsidP="00BA4B5A">
      <w:pPr>
        <w:spacing w:after="0" w:line="240" w:lineRule="auto"/>
        <w:jc w:val="both"/>
        <w:rPr>
          <w:rFonts w:ascii="Arial" w:hAnsi="Arial" w:cs="Arial"/>
        </w:rPr>
      </w:pPr>
    </w:p>
    <w:p w14:paraId="603E1462" w14:textId="1D86FD52" w:rsidR="00DE57DC" w:rsidRPr="00DE57DC" w:rsidRDefault="00DE57DC" w:rsidP="00DE57DC">
      <w:pPr>
        <w:spacing w:after="0" w:line="240" w:lineRule="auto"/>
        <w:jc w:val="both"/>
        <w:rPr>
          <w:rFonts w:ascii="Arial" w:hAnsi="Arial" w:cs="Arial"/>
          <w:b/>
          <w:bCs/>
        </w:rPr>
      </w:pPr>
      <w:r>
        <w:rPr>
          <w:rFonts w:ascii="Arial" w:hAnsi="Arial" w:cs="Arial"/>
          <w:b/>
          <w:bCs/>
        </w:rPr>
        <w:t>Table 7.6 Flow cytometry phenotyping</w:t>
      </w:r>
    </w:p>
    <w:tbl>
      <w:tblPr>
        <w:tblStyle w:val="TableGrid"/>
        <w:tblW w:w="0" w:type="auto"/>
        <w:tblLook w:val="04A0" w:firstRow="1" w:lastRow="0" w:firstColumn="1" w:lastColumn="0" w:noHBand="0" w:noVBand="1"/>
      </w:tblPr>
      <w:tblGrid>
        <w:gridCol w:w="5485"/>
      </w:tblGrid>
      <w:tr w:rsidR="00DE57DC" w:rsidRPr="00DE57DC" w14:paraId="170EFF1A" w14:textId="77777777" w:rsidTr="009A329E">
        <w:tc>
          <w:tcPr>
            <w:tcW w:w="5485" w:type="dxa"/>
            <w:shd w:val="clear" w:color="auto" w:fill="BFBFBF" w:themeFill="background1" w:themeFillShade="BF"/>
            <w:vAlign w:val="center"/>
          </w:tcPr>
          <w:p w14:paraId="6D95634A" w14:textId="77777777" w:rsidR="00DE57DC" w:rsidRPr="00AE5F52" w:rsidRDefault="00DE57DC" w:rsidP="009A329E">
            <w:pPr>
              <w:rPr>
                <w:rFonts w:ascii="Arial" w:hAnsi="Arial" w:cs="Arial"/>
              </w:rPr>
            </w:pPr>
            <w:r>
              <w:rPr>
                <w:rFonts w:ascii="Arial" w:hAnsi="Arial" w:cs="Arial"/>
              </w:rPr>
              <w:t>Markers Being Testing in Each Tube</w:t>
            </w:r>
          </w:p>
        </w:tc>
      </w:tr>
      <w:tr w:rsidR="00DE57DC" w:rsidRPr="00DE57DC" w14:paraId="5776FFE2" w14:textId="77777777" w:rsidTr="009A329E">
        <w:tc>
          <w:tcPr>
            <w:tcW w:w="5485" w:type="dxa"/>
            <w:vAlign w:val="center"/>
          </w:tcPr>
          <w:p w14:paraId="355D4D9B" w14:textId="0938093D" w:rsidR="00DE57DC" w:rsidRDefault="00DE57DC" w:rsidP="009A329E">
            <w:pPr>
              <w:rPr>
                <w:rFonts w:ascii="Arial" w:hAnsi="Arial" w:cs="Arial"/>
              </w:rPr>
            </w:pPr>
            <w:r w:rsidRPr="00AE5F52">
              <w:rPr>
                <w:rFonts w:ascii="Arial" w:hAnsi="Arial" w:cs="Arial"/>
              </w:rPr>
              <w:t xml:space="preserve">Tube 1: </w:t>
            </w:r>
            <w:r>
              <w:rPr>
                <w:rFonts w:ascii="Arial" w:hAnsi="Arial" w:cs="Arial"/>
              </w:rPr>
              <w:t>TCR</w:t>
            </w:r>
            <w:r w:rsidRPr="00AE5F52">
              <w:rPr>
                <w:rFonts w:ascii="Arial" w:hAnsi="Arial" w:cs="Arial"/>
              </w:rPr>
              <w:t>αβ/</w:t>
            </w:r>
            <w:r>
              <w:rPr>
                <w:rFonts w:ascii="Arial" w:hAnsi="Arial" w:cs="Arial"/>
              </w:rPr>
              <w:t>CD</w:t>
            </w:r>
            <w:r w:rsidRPr="00AE5F52">
              <w:rPr>
                <w:rFonts w:ascii="Arial" w:hAnsi="Arial" w:cs="Arial"/>
              </w:rPr>
              <w:t>45/CD19</w:t>
            </w:r>
          </w:p>
        </w:tc>
      </w:tr>
      <w:tr w:rsidR="00DE57DC" w:rsidRPr="00DE57DC" w14:paraId="35ADB710" w14:textId="77777777" w:rsidTr="009A329E">
        <w:tc>
          <w:tcPr>
            <w:tcW w:w="5485" w:type="dxa"/>
            <w:vAlign w:val="center"/>
          </w:tcPr>
          <w:p w14:paraId="0B43735F" w14:textId="73DBA089" w:rsidR="00DE57DC" w:rsidRDefault="00DE57DC" w:rsidP="009A329E">
            <w:pPr>
              <w:rPr>
                <w:rFonts w:ascii="Arial" w:hAnsi="Arial" w:cs="Arial"/>
              </w:rPr>
            </w:pPr>
            <w:r w:rsidRPr="00AE5F52">
              <w:rPr>
                <w:rFonts w:ascii="Arial" w:hAnsi="Arial" w:cs="Arial"/>
              </w:rPr>
              <w:t xml:space="preserve">Tube 2: CD3/CD16+56/CD45 </w:t>
            </w:r>
          </w:p>
        </w:tc>
      </w:tr>
      <w:tr w:rsidR="00DE57DC" w:rsidRPr="00DE57DC" w14:paraId="215B6C69" w14:textId="77777777" w:rsidTr="009A329E">
        <w:tc>
          <w:tcPr>
            <w:tcW w:w="5485" w:type="dxa"/>
            <w:vAlign w:val="center"/>
          </w:tcPr>
          <w:p w14:paraId="6454B973" w14:textId="4AC4C7C3" w:rsidR="00DE57DC" w:rsidRDefault="00DE57DC" w:rsidP="009A329E">
            <w:pPr>
              <w:rPr>
                <w:rFonts w:ascii="Arial" w:hAnsi="Arial" w:cs="Arial"/>
              </w:rPr>
            </w:pPr>
            <w:r w:rsidRPr="00AE5F52">
              <w:rPr>
                <w:rFonts w:ascii="Arial" w:hAnsi="Arial" w:cs="Arial"/>
              </w:rPr>
              <w:t xml:space="preserve">Tube 3: CD20/CD45/CD3 </w:t>
            </w:r>
          </w:p>
        </w:tc>
      </w:tr>
      <w:tr w:rsidR="00DE57DC" w:rsidRPr="00DE57DC" w14:paraId="7487559D" w14:textId="77777777" w:rsidTr="009A329E">
        <w:tc>
          <w:tcPr>
            <w:tcW w:w="5485" w:type="dxa"/>
            <w:vAlign w:val="center"/>
          </w:tcPr>
          <w:p w14:paraId="4B5AC6BE" w14:textId="0B56E97C" w:rsidR="00DE57DC" w:rsidRDefault="00DE57DC" w:rsidP="009A329E">
            <w:pPr>
              <w:rPr>
                <w:rFonts w:ascii="Arial" w:hAnsi="Arial" w:cs="Arial"/>
              </w:rPr>
            </w:pPr>
            <w:r w:rsidRPr="00AE5F52">
              <w:rPr>
                <w:rFonts w:ascii="Arial" w:hAnsi="Arial" w:cs="Arial"/>
              </w:rPr>
              <w:t>Tube 4:</w:t>
            </w:r>
            <w:r>
              <w:rPr>
                <w:rFonts w:ascii="Arial" w:hAnsi="Arial" w:cs="Arial"/>
              </w:rPr>
              <w:t>TCR</w:t>
            </w:r>
            <w:r w:rsidRPr="00AE5F52">
              <w:rPr>
                <w:rFonts w:ascii="Arial" w:hAnsi="Arial" w:cs="Arial"/>
              </w:rPr>
              <w:t>γδ/</w:t>
            </w:r>
            <w:r>
              <w:rPr>
                <w:rFonts w:ascii="Arial" w:hAnsi="Arial" w:cs="Arial"/>
              </w:rPr>
              <w:t>TCR</w:t>
            </w:r>
            <w:r w:rsidRPr="00AE5F52">
              <w:rPr>
                <w:rFonts w:ascii="Arial" w:hAnsi="Arial" w:cs="Arial"/>
              </w:rPr>
              <w:t>αβ/CD3</w:t>
            </w:r>
            <w:r>
              <w:rPr>
                <w:rFonts w:ascii="Arial" w:hAnsi="Arial" w:cs="Arial"/>
              </w:rPr>
              <w:t>/</w:t>
            </w:r>
            <w:r w:rsidRPr="00AE5F52">
              <w:rPr>
                <w:rFonts w:ascii="Arial" w:hAnsi="Arial" w:cs="Arial"/>
              </w:rPr>
              <w:t>7-AAD</w:t>
            </w:r>
          </w:p>
        </w:tc>
      </w:tr>
      <w:tr w:rsidR="00DE57DC" w:rsidRPr="00DE57DC" w14:paraId="36FD372F" w14:textId="77777777" w:rsidTr="009A329E">
        <w:tc>
          <w:tcPr>
            <w:tcW w:w="5485" w:type="dxa"/>
            <w:vAlign w:val="center"/>
          </w:tcPr>
          <w:p w14:paraId="06EC6C23" w14:textId="74335A02" w:rsidR="00DE57DC" w:rsidRDefault="00DE57DC" w:rsidP="009A329E">
            <w:pPr>
              <w:rPr>
                <w:rFonts w:ascii="Arial" w:hAnsi="Arial" w:cs="Arial"/>
              </w:rPr>
            </w:pPr>
            <w:r w:rsidRPr="00AE5F52">
              <w:rPr>
                <w:rFonts w:ascii="Arial" w:hAnsi="Arial" w:cs="Arial"/>
              </w:rPr>
              <w:lastRenderedPageBreak/>
              <w:t xml:space="preserve">Tube 5: CD45/CD34/7-AAD </w:t>
            </w:r>
          </w:p>
        </w:tc>
      </w:tr>
    </w:tbl>
    <w:p w14:paraId="46600B11" w14:textId="77777777" w:rsidR="00DE57DC" w:rsidRPr="00D11C74" w:rsidRDefault="00DE57DC" w:rsidP="00BA4B5A">
      <w:pPr>
        <w:spacing w:after="0" w:line="240" w:lineRule="auto"/>
        <w:jc w:val="both"/>
        <w:rPr>
          <w:rFonts w:ascii="Arial" w:hAnsi="Arial" w:cs="Arial"/>
        </w:rPr>
      </w:pPr>
    </w:p>
    <w:p w14:paraId="1FF29E6D" w14:textId="77777777" w:rsidR="006A4992" w:rsidRPr="00D11C74" w:rsidRDefault="006A4992" w:rsidP="00BA4B5A">
      <w:pPr>
        <w:spacing w:after="0" w:line="240" w:lineRule="auto"/>
        <w:jc w:val="both"/>
        <w:rPr>
          <w:rFonts w:ascii="Arial" w:hAnsi="Arial" w:cs="Arial"/>
        </w:rPr>
      </w:pPr>
    </w:p>
    <w:p w14:paraId="51988063" w14:textId="207B41DA" w:rsidR="00BF6305" w:rsidRDefault="00BF6305" w:rsidP="00BA4B5A">
      <w:pPr>
        <w:spacing w:after="0" w:line="240" w:lineRule="auto"/>
        <w:jc w:val="both"/>
        <w:rPr>
          <w:rFonts w:ascii="Arial" w:hAnsi="Arial" w:cs="Arial"/>
          <w:b/>
          <w:bCs/>
        </w:rPr>
      </w:pPr>
      <w:r w:rsidRPr="00D11C74">
        <w:rPr>
          <w:rFonts w:ascii="Arial" w:hAnsi="Arial" w:cs="Arial"/>
          <w:b/>
          <w:bCs/>
        </w:rPr>
        <w:t>Purity Tes</w:t>
      </w:r>
      <w:r w:rsidR="006A4992" w:rsidRPr="00D11C74">
        <w:rPr>
          <w:rFonts w:ascii="Arial" w:hAnsi="Arial" w:cs="Arial"/>
          <w:b/>
          <w:bCs/>
        </w:rPr>
        <w:t>ting</w:t>
      </w:r>
    </w:p>
    <w:p w14:paraId="339A1E37" w14:textId="77777777" w:rsidR="00D26652" w:rsidRPr="00D26652" w:rsidRDefault="00D26652" w:rsidP="00BA4B5A">
      <w:pPr>
        <w:spacing w:after="0" w:line="240" w:lineRule="auto"/>
        <w:jc w:val="both"/>
        <w:rPr>
          <w:rFonts w:ascii="Arial" w:hAnsi="Arial" w:cs="Arial"/>
          <w:b/>
          <w:bCs/>
          <w:sz w:val="10"/>
          <w:szCs w:val="10"/>
        </w:rPr>
      </w:pPr>
    </w:p>
    <w:p w14:paraId="2E2391FF" w14:textId="02B39785" w:rsidR="00BF6305" w:rsidRPr="00D11C74" w:rsidRDefault="00BF6305" w:rsidP="00BA4B5A">
      <w:pPr>
        <w:spacing w:after="0" w:line="240" w:lineRule="auto"/>
        <w:jc w:val="both"/>
        <w:rPr>
          <w:rFonts w:ascii="Arial" w:hAnsi="Arial" w:cs="Arial"/>
          <w:b/>
          <w:bCs/>
        </w:rPr>
      </w:pPr>
      <w:r w:rsidRPr="00D11C74">
        <w:rPr>
          <w:rFonts w:ascii="Arial" w:hAnsi="Arial" w:cs="Arial"/>
          <w:b/>
          <w:bCs/>
          <w:i/>
          <w:iCs/>
        </w:rPr>
        <w:t>Endotoxin</w:t>
      </w:r>
    </w:p>
    <w:p w14:paraId="3EC881AA" w14:textId="6C9F45A5" w:rsidR="007056DF" w:rsidRPr="00D11C74" w:rsidRDefault="007056DF" w:rsidP="00BA4B5A">
      <w:pPr>
        <w:spacing w:after="0" w:line="240" w:lineRule="auto"/>
        <w:jc w:val="both"/>
        <w:rPr>
          <w:rFonts w:ascii="Arial" w:hAnsi="Arial" w:cs="Arial"/>
        </w:rPr>
      </w:pPr>
      <w:r w:rsidRPr="00D11C74">
        <w:rPr>
          <w:rFonts w:ascii="Arial" w:hAnsi="Arial" w:cs="Arial"/>
        </w:rPr>
        <w:t xml:space="preserve">An aliquot of the final product will be tested for Endotoxin using the </w:t>
      </w:r>
      <w:r w:rsidR="00A13F16" w:rsidRPr="00D11C74">
        <w:rPr>
          <w:rFonts w:ascii="Arial" w:hAnsi="Arial" w:cs="Arial"/>
        </w:rPr>
        <w:t xml:space="preserve">Endosafe® nexgen-PTS. </w:t>
      </w:r>
    </w:p>
    <w:p w14:paraId="5BF607FA" w14:textId="77777777" w:rsidR="006A4992" w:rsidRPr="00D11C74" w:rsidRDefault="006A4992" w:rsidP="00BA4B5A">
      <w:pPr>
        <w:spacing w:after="0" w:line="240" w:lineRule="auto"/>
        <w:jc w:val="both"/>
        <w:rPr>
          <w:rFonts w:ascii="Arial" w:hAnsi="Arial" w:cs="Arial"/>
          <w:i/>
          <w:iCs/>
        </w:rPr>
      </w:pPr>
    </w:p>
    <w:p w14:paraId="6D879AEC" w14:textId="39B47B96" w:rsidR="00A13F16" w:rsidRPr="00D11C74" w:rsidRDefault="00A13F16" w:rsidP="00BA4B5A">
      <w:pPr>
        <w:spacing w:after="0" w:line="240" w:lineRule="auto"/>
        <w:jc w:val="both"/>
        <w:rPr>
          <w:rFonts w:ascii="Arial" w:hAnsi="Arial" w:cs="Arial"/>
          <w:b/>
          <w:bCs/>
        </w:rPr>
      </w:pPr>
      <w:r w:rsidRPr="00D11C74">
        <w:rPr>
          <w:rFonts w:ascii="Arial" w:hAnsi="Arial" w:cs="Arial"/>
          <w:b/>
          <w:bCs/>
          <w:i/>
          <w:iCs/>
        </w:rPr>
        <w:t>Viability</w:t>
      </w:r>
    </w:p>
    <w:p w14:paraId="1170387D" w14:textId="353FAD9F" w:rsidR="00A13F16" w:rsidRPr="00D11C74" w:rsidRDefault="00A13F16" w:rsidP="00BA4B5A">
      <w:pPr>
        <w:spacing w:after="0" w:line="240" w:lineRule="auto"/>
        <w:jc w:val="both"/>
        <w:rPr>
          <w:rFonts w:ascii="Arial" w:hAnsi="Arial" w:cs="Arial"/>
        </w:rPr>
      </w:pPr>
      <w:r w:rsidRPr="00D11C74">
        <w:rPr>
          <w:rFonts w:ascii="Arial" w:hAnsi="Arial" w:cs="Arial"/>
        </w:rPr>
        <w:t xml:space="preserve">Viability of the </w:t>
      </w:r>
      <w:r w:rsidR="0085422A">
        <w:rPr>
          <w:rFonts w:ascii="Arial" w:hAnsi="Arial" w:cs="Arial"/>
        </w:rPr>
        <w:t>starting material</w:t>
      </w:r>
      <w:r w:rsidRPr="00D11C74">
        <w:rPr>
          <w:rFonts w:ascii="Arial" w:hAnsi="Arial" w:cs="Arial"/>
        </w:rPr>
        <w:t xml:space="preserve"> will be </w:t>
      </w:r>
      <w:r w:rsidR="0085422A">
        <w:rPr>
          <w:rFonts w:ascii="Arial" w:hAnsi="Arial" w:cs="Arial"/>
        </w:rPr>
        <w:t xml:space="preserve">determined using 7-AAD via flow cytometry. </w:t>
      </w:r>
      <w:r w:rsidRPr="00D11C74">
        <w:rPr>
          <w:rFonts w:ascii="Arial" w:hAnsi="Arial" w:cs="Arial"/>
        </w:rPr>
        <w:t xml:space="preserve"> </w:t>
      </w:r>
    </w:p>
    <w:p w14:paraId="04EB90D6" w14:textId="637E3F99" w:rsidR="006A4992" w:rsidRDefault="006A4992" w:rsidP="00BA4B5A">
      <w:pPr>
        <w:spacing w:after="0" w:line="240" w:lineRule="auto"/>
        <w:jc w:val="both"/>
        <w:rPr>
          <w:rFonts w:ascii="Arial" w:hAnsi="Arial" w:cs="Arial"/>
        </w:rPr>
      </w:pPr>
    </w:p>
    <w:p w14:paraId="7D5AB043" w14:textId="0EE70DD8" w:rsidR="005D3E83" w:rsidRDefault="005D3E83" w:rsidP="00BA4B5A">
      <w:pPr>
        <w:spacing w:after="0" w:line="240" w:lineRule="auto"/>
        <w:jc w:val="both"/>
        <w:rPr>
          <w:rFonts w:ascii="Arial" w:hAnsi="Arial" w:cs="Arial"/>
          <w:b/>
          <w:bCs/>
        </w:rPr>
      </w:pPr>
      <w:r>
        <w:rPr>
          <w:rFonts w:ascii="Arial" w:hAnsi="Arial" w:cs="Arial"/>
          <w:b/>
          <w:bCs/>
        </w:rPr>
        <w:t>CD19/TCR</w:t>
      </w:r>
      <w:r w:rsidRPr="00BA0C5B">
        <w:rPr>
          <w:rFonts w:ascii="Symbol" w:hAnsi="Symbol" w:cs="Arial"/>
          <w:b/>
          <w:bCs/>
        </w:rPr>
        <w:t xml:space="preserve">a/b </w:t>
      </w:r>
      <w:r>
        <w:rPr>
          <w:rFonts w:ascii="Arial" w:hAnsi="Arial" w:cs="Arial"/>
          <w:b/>
          <w:bCs/>
        </w:rPr>
        <w:t>Depletion Experience</w:t>
      </w:r>
    </w:p>
    <w:p w14:paraId="510AD9C8" w14:textId="28519DFB" w:rsidR="005D3E83" w:rsidRDefault="005D3E83" w:rsidP="00BA4B5A">
      <w:pPr>
        <w:spacing w:after="0" w:line="240" w:lineRule="auto"/>
        <w:jc w:val="both"/>
        <w:rPr>
          <w:rFonts w:ascii="Arial" w:hAnsi="Arial" w:cs="Arial"/>
          <w:b/>
          <w:bCs/>
        </w:rPr>
      </w:pPr>
    </w:p>
    <w:p w14:paraId="5E26753B" w14:textId="17669701" w:rsidR="005D3E83" w:rsidRDefault="005D3E83" w:rsidP="00BA4B5A">
      <w:pPr>
        <w:spacing w:after="0" w:line="240" w:lineRule="auto"/>
        <w:jc w:val="both"/>
        <w:rPr>
          <w:rFonts w:ascii="Arial" w:hAnsi="Arial" w:cs="Arial"/>
        </w:rPr>
      </w:pPr>
      <w:r>
        <w:rPr>
          <w:rFonts w:ascii="Arial" w:hAnsi="Arial" w:cs="Arial"/>
        </w:rPr>
        <w:t xml:space="preserve">Two engineering runs have been performed using this process to show a decrease in </w:t>
      </w:r>
      <w:r w:rsidRPr="00BA0C5B">
        <w:rPr>
          <w:rFonts w:ascii="Symbol" w:hAnsi="Symbol" w:cs="Arial"/>
        </w:rPr>
        <w:t>a/b</w:t>
      </w:r>
      <w:r>
        <w:rPr>
          <w:rFonts w:ascii="Arial" w:hAnsi="Arial" w:cs="Arial"/>
        </w:rPr>
        <w:t xml:space="preserve"> CD3+ cells and CD19+ cells. </w:t>
      </w:r>
      <w:r w:rsidR="00517C64">
        <w:rPr>
          <w:rFonts w:ascii="Arial" w:hAnsi="Arial" w:cs="Arial"/>
        </w:rPr>
        <w:t xml:space="preserve">Mobilized normal donor cells collected by apheresis were purchased from a commercial vendor and received fresh. </w:t>
      </w:r>
      <w:r>
        <w:rPr>
          <w:rFonts w:ascii="Arial" w:hAnsi="Arial" w:cs="Arial"/>
        </w:rPr>
        <w:t xml:space="preserve">The results of these runs are provided in the table below. </w:t>
      </w:r>
    </w:p>
    <w:p w14:paraId="105BE951" w14:textId="3112815F" w:rsidR="005D3E83" w:rsidRDefault="005D3E83" w:rsidP="00BA4B5A">
      <w:pPr>
        <w:spacing w:after="0" w:line="240" w:lineRule="auto"/>
        <w:jc w:val="both"/>
        <w:rPr>
          <w:rFonts w:ascii="Arial" w:hAnsi="Arial" w:cs="Arial"/>
        </w:rPr>
      </w:pPr>
    </w:p>
    <w:p w14:paraId="2DF9F527" w14:textId="6F57895E" w:rsidR="005D3E83" w:rsidRPr="00BA0C5B" w:rsidRDefault="005D3E83" w:rsidP="00BA4B5A">
      <w:pPr>
        <w:spacing w:after="0" w:line="240" w:lineRule="auto"/>
        <w:jc w:val="both"/>
        <w:rPr>
          <w:rFonts w:ascii="Arial" w:hAnsi="Arial" w:cs="Arial"/>
          <w:b/>
          <w:bCs/>
        </w:rPr>
      </w:pPr>
      <w:r w:rsidRPr="00BA0C5B">
        <w:rPr>
          <w:rFonts w:ascii="Arial" w:hAnsi="Arial" w:cs="Arial"/>
          <w:b/>
          <w:bCs/>
        </w:rPr>
        <w:t>Table 7.7 Results from CD19+ and TCR</w:t>
      </w:r>
      <w:r w:rsidRPr="00BA0C5B">
        <w:rPr>
          <w:rFonts w:ascii="Symbol" w:hAnsi="Symbol" w:cs="Arial"/>
          <w:b/>
          <w:bCs/>
        </w:rPr>
        <w:t>a/b</w:t>
      </w:r>
      <w:r w:rsidRPr="00BA0C5B">
        <w:rPr>
          <w:rFonts w:ascii="Arial" w:hAnsi="Arial" w:cs="Arial"/>
          <w:b/>
          <w:bCs/>
        </w:rPr>
        <w:t>+ depletion.</w:t>
      </w:r>
    </w:p>
    <w:p w14:paraId="0C3DBF55" w14:textId="37E1CDD0" w:rsidR="005D3E83" w:rsidRDefault="005D3E83" w:rsidP="00BA4B5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5D3E83" w14:paraId="34348711" w14:textId="77777777" w:rsidTr="004949DD">
        <w:tc>
          <w:tcPr>
            <w:tcW w:w="1438" w:type="dxa"/>
          </w:tcPr>
          <w:p w14:paraId="06B8126B" w14:textId="2F42EAD2" w:rsidR="005D3E83" w:rsidRDefault="005D3E83" w:rsidP="004949DD">
            <w:pPr>
              <w:jc w:val="both"/>
              <w:rPr>
                <w:rFonts w:ascii="Arial" w:hAnsi="Arial" w:cs="Arial"/>
              </w:rPr>
            </w:pPr>
            <w:bookmarkStart w:id="3" w:name="_Hlk181874731"/>
          </w:p>
        </w:tc>
        <w:tc>
          <w:tcPr>
            <w:tcW w:w="4315" w:type="dxa"/>
            <w:gridSpan w:val="3"/>
          </w:tcPr>
          <w:p w14:paraId="5EA74572" w14:textId="77777777" w:rsidR="005D3E83" w:rsidRDefault="005D3E83" w:rsidP="004949DD">
            <w:pPr>
              <w:jc w:val="center"/>
              <w:rPr>
                <w:rFonts w:ascii="Arial" w:hAnsi="Arial" w:cs="Arial"/>
              </w:rPr>
            </w:pPr>
            <w:r>
              <w:rPr>
                <w:rFonts w:ascii="Arial" w:hAnsi="Arial" w:cs="Arial"/>
              </w:rPr>
              <w:t>Run 1 (2024-OCT-11)</w:t>
            </w:r>
          </w:p>
        </w:tc>
        <w:tc>
          <w:tcPr>
            <w:tcW w:w="4317" w:type="dxa"/>
            <w:gridSpan w:val="3"/>
          </w:tcPr>
          <w:p w14:paraId="5220178E" w14:textId="77777777" w:rsidR="005D3E83" w:rsidRDefault="005D3E83" w:rsidP="004949DD">
            <w:pPr>
              <w:jc w:val="center"/>
              <w:rPr>
                <w:rFonts w:ascii="Arial" w:hAnsi="Arial" w:cs="Arial"/>
              </w:rPr>
            </w:pPr>
            <w:r>
              <w:rPr>
                <w:rFonts w:ascii="Arial" w:hAnsi="Arial" w:cs="Arial"/>
              </w:rPr>
              <w:t>Run 2 (2024-OCT-31)</w:t>
            </w:r>
          </w:p>
        </w:tc>
      </w:tr>
      <w:tr w:rsidR="005D3E83" w14:paraId="04757445" w14:textId="77777777" w:rsidTr="004949DD">
        <w:tc>
          <w:tcPr>
            <w:tcW w:w="1438" w:type="dxa"/>
          </w:tcPr>
          <w:p w14:paraId="5E2E60E7" w14:textId="353736C2" w:rsidR="005D3E83" w:rsidRDefault="005D3E83" w:rsidP="005D3E83">
            <w:pPr>
              <w:jc w:val="both"/>
              <w:rPr>
                <w:rFonts w:ascii="Arial" w:hAnsi="Arial" w:cs="Arial"/>
              </w:rPr>
            </w:pPr>
            <w:r>
              <w:rPr>
                <w:rFonts w:ascii="Arial" w:hAnsi="Arial" w:cs="Arial"/>
              </w:rPr>
              <w:t>Test</w:t>
            </w:r>
          </w:p>
        </w:tc>
        <w:tc>
          <w:tcPr>
            <w:tcW w:w="1438" w:type="dxa"/>
          </w:tcPr>
          <w:p w14:paraId="344873EE" w14:textId="7D64348F" w:rsidR="005D3E83" w:rsidRDefault="005D3E83" w:rsidP="005D3E83">
            <w:pPr>
              <w:jc w:val="both"/>
              <w:rPr>
                <w:rFonts w:ascii="Arial" w:hAnsi="Arial" w:cs="Arial"/>
              </w:rPr>
            </w:pPr>
            <w:r>
              <w:rPr>
                <w:rFonts w:ascii="Arial" w:hAnsi="Arial" w:cs="Arial"/>
              </w:rPr>
              <w:t>Pre-Depletion</w:t>
            </w:r>
          </w:p>
        </w:tc>
        <w:tc>
          <w:tcPr>
            <w:tcW w:w="1438" w:type="dxa"/>
          </w:tcPr>
          <w:p w14:paraId="5A944E85" w14:textId="22DD084A" w:rsidR="005D3E83" w:rsidRDefault="005D3E83" w:rsidP="005D3E83">
            <w:pPr>
              <w:jc w:val="both"/>
              <w:rPr>
                <w:rFonts w:ascii="Arial" w:hAnsi="Arial" w:cs="Arial"/>
              </w:rPr>
            </w:pPr>
            <w:r>
              <w:rPr>
                <w:rFonts w:ascii="Arial" w:hAnsi="Arial" w:cs="Arial"/>
              </w:rPr>
              <w:t>Post-Depletion</w:t>
            </w:r>
          </w:p>
        </w:tc>
        <w:tc>
          <w:tcPr>
            <w:tcW w:w="1439" w:type="dxa"/>
          </w:tcPr>
          <w:p w14:paraId="06953516" w14:textId="114073C5" w:rsidR="005D3E83" w:rsidRDefault="005D3E83" w:rsidP="005D3E83">
            <w:pPr>
              <w:jc w:val="both"/>
              <w:rPr>
                <w:rFonts w:ascii="Arial" w:hAnsi="Arial" w:cs="Arial"/>
              </w:rPr>
            </w:pPr>
            <w:r>
              <w:rPr>
                <w:rFonts w:ascii="Arial" w:hAnsi="Arial" w:cs="Arial"/>
              </w:rPr>
              <w:t>Log Depletion</w:t>
            </w:r>
          </w:p>
        </w:tc>
        <w:tc>
          <w:tcPr>
            <w:tcW w:w="1439" w:type="dxa"/>
          </w:tcPr>
          <w:p w14:paraId="25224EA2" w14:textId="1EFE09CF" w:rsidR="005D3E83" w:rsidRDefault="005D3E83" w:rsidP="005D3E83">
            <w:pPr>
              <w:jc w:val="both"/>
              <w:rPr>
                <w:rFonts w:ascii="Arial" w:hAnsi="Arial" w:cs="Arial"/>
              </w:rPr>
            </w:pPr>
            <w:r>
              <w:rPr>
                <w:rFonts w:ascii="Arial" w:hAnsi="Arial" w:cs="Arial"/>
              </w:rPr>
              <w:t>Pre-Depletion</w:t>
            </w:r>
          </w:p>
        </w:tc>
        <w:tc>
          <w:tcPr>
            <w:tcW w:w="1439" w:type="dxa"/>
          </w:tcPr>
          <w:p w14:paraId="302F54D3" w14:textId="12CB1043" w:rsidR="005D3E83" w:rsidRDefault="005D3E83" w:rsidP="005D3E83">
            <w:pPr>
              <w:jc w:val="both"/>
              <w:rPr>
                <w:rFonts w:ascii="Arial" w:hAnsi="Arial" w:cs="Arial"/>
              </w:rPr>
            </w:pPr>
            <w:r>
              <w:rPr>
                <w:rFonts w:ascii="Arial" w:hAnsi="Arial" w:cs="Arial"/>
              </w:rPr>
              <w:t>Post-Depletion</w:t>
            </w:r>
          </w:p>
        </w:tc>
        <w:tc>
          <w:tcPr>
            <w:tcW w:w="1439" w:type="dxa"/>
          </w:tcPr>
          <w:p w14:paraId="22D5F06E" w14:textId="133B8773" w:rsidR="005D3E83" w:rsidRDefault="005D3E83" w:rsidP="005D3E83">
            <w:pPr>
              <w:jc w:val="both"/>
              <w:rPr>
                <w:rFonts w:ascii="Arial" w:hAnsi="Arial" w:cs="Arial"/>
              </w:rPr>
            </w:pPr>
            <w:r>
              <w:rPr>
                <w:rFonts w:ascii="Arial" w:hAnsi="Arial" w:cs="Arial"/>
              </w:rPr>
              <w:t>Log Depletion</w:t>
            </w:r>
          </w:p>
        </w:tc>
      </w:tr>
      <w:tr w:rsidR="005D3E83" w14:paraId="7733D5CE" w14:textId="77777777" w:rsidTr="004949DD">
        <w:tc>
          <w:tcPr>
            <w:tcW w:w="1438" w:type="dxa"/>
          </w:tcPr>
          <w:p w14:paraId="28FA3969" w14:textId="4307DA81" w:rsidR="005D3E83" w:rsidRDefault="005D3E83" w:rsidP="005D3E83">
            <w:pPr>
              <w:jc w:val="both"/>
              <w:rPr>
                <w:rFonts w:ascii="Arial" w:hAnsi="Arial" w:cs="Arial"/>
              </w:rPr>
            </w:pPr>
            <w:r w:rsidRPr="004949DD">
              <w:rPr>
                <w:rFonts w:ascii="Symbol" w:hAnsi="Symbol" w:cs="Arial"/>
              </w:rPr>
              <w:t>ab</w:t>
            </w:r>
            <w:r>
              <w:rPr>
                <w:rFonts w:ascii="Arial" w:hAnsi="Arial" w:cs="Arial"/>
              </w:rPr>
              <w:t xml:space="preserve"> CD3+</w:t>
            </w:r>
          </w:p>
        </w:tc>
        <w:tc>
          <w:tcPr>
            <w:tcW w:w="1438" w:type="dxa"/>
          </w:tcPr>
          <w:p w14:paraId="2279296B" w14:textId="5EB94B09" w:rsidR="005D3E83" w:rsidRDefault="005D3E83" w:rsidP="005D3E83">
            <w:pPr>
              <w:jc w:val="both"/>
              <w:rPr>
                <w:rFonts w:ascii="Arial" w:hAnsi="Arial" w:cs="Arial"/>
              </w:rPr>
            </w:pPr>
            <w:r>
              <w:rPr>
                <w:rFonts w:ascii="Arial" w:hAnsi="Arial" w:cs="Arial"/>
              </w:rPr>
              <w:t>1.33x10^10</w:t>
            </w:r>
          </w:p>
        </w:tc>
        <w:tc>
          <w:tcPr>
            <w:tcW w:w="1438" w:type="dxa"/>
          </w:tcPr>
          <w:p w14:paraId="1D36B129" w14:textId="1B6B0452" w:rsidR="005D3E83" w:rsidRDefault="00517C64" w:rsidP="005D3E83">
            <w:pPr>
              <w:jc w:val="both"/>
              <w:rPr>
                <w:rFonts w:ascii="Arial" w:hAnsi="Arial" w:cs="Arial"/>
              </w:rPr>
            </w:pPr>
            <w:r>
              <w:rPr>
                <w:rFonts w:ascii="Arial" w:hAnsi="Arial" w:cs="Arial"/>
              </w:rPr>
              <w:t>1.36x10^8</w:t>
            </w:r>
          </w:p>
        </w:tc>
        <w:tc>
          <w:tcPr>
            <w:tcW w:w="1439" w:type="dxa"/>
          </w:tcPr>
          <w:p w14:paraId="563729B7" w14:textId="1FB0B101" w:rsidR="005D3E83" w:rsidRDefault="00517C64" w:rsidP="005D3E83">
            <w:pPr>
              <w:jc w:val="both"/>
              <w:rPr>
                <w:rFonts w:ascii="Arial" w:hAnsi="Arial" w:cs="Arial"/>
              </w:rPr>
            </w:pPr>
            <w:r>
              <w:rPr>
                <w:rFonts w:ascii="Arial" w:hAnsi="Arial" w:cs="Arial"/>
              </w:rPr>
              <w:t>2</w:t>
            </w:r>
          </w:p>
        </w:tc>
        <w:tc>
          <w:tcPr>
            <w:tcW w:w="1439" w:type="dxa"/>
          </w:tcPr>
          <w:p w14:paraId="1D4837AF" w14:textId="67F936A8" w:rsidR="005D3E83" w:rsidRDefault="00517C64" w:rsidP="005D3E83">
            <w:pPr>
              <w:jc w:val="both"/>
              <w:rPr>
                <w:rFonts w:ascii="Arial" w:hAnsi="Arial" w:cs="Arial"/>
              </w:rPr>
            </w:pPr>
            <w:r>
              <w:rPr>
                <w:rFonts w:ascii="Arial" w:hAnsi="Arial" w:cs="Arial"/>
              </w:rPr>
              <w:t>3.43x10^10</w:t>
            </w:r>
          </w:p>
        </w:tc>
        <w:tc>
          <w:tcPr>
            <w:tcW w:w="1439" w:type="dxa"/>
          </w:tcPr>
          <w:p w14:paraId="768D051E" w14:textId="265AB38D" w:rsidR="005D3E83" w:rsidRDefault="00517C64" w:rsidP="005D3E83">
            <w:pPr>
              <w:jc w:val="both"/>
              <w:rPr>
                <w:rFonts w:ascii="Arial" w:hAnsi="Arial" w:cs="Arial"/>
              </w:rPr>
            </w:pPr>
            <w:r>
              <w:rPr>
                <w:rFonts w:ascii="Arial" w:hAnsi="Arial" w:cs="Arial"/>
              </w:rPr>
              <w:t>4.50x10^7</w:t>
            </w:r>
          </w:p>
        </w:tc>
        <w:tc>
          <w:tcPr>
            <w:tcW w:w="1439" w:type="dxa"/>
          </w:tcPr>
          <w:p w14:paraId="1B0A5A38" w14:textId="39629EC4" w:rsidR="005D3E83" w:rsidRDefault="00517C64" w:rsidP="005D3E83">
            <w:pPr>
              <w:jc w:val="both"/>
              <w:rPr>
                <w:rFonts w:ascii="Arial" w:hAnsi="Arial" w:cs="Arial"/>
              </w:rPr>
            </w:pPr>
            <w:r>
              <w:rPr>
                <w:rFonts w:ascii="Arial" w:hAnsi="Arial" w:cs="Arial"/>
              </w:rPr>
              <w:t>3</w:t>
            </w:r>
          </w:p>
        </w:tc>
      </w:tr>
      <w:tr w:rsidR="005D3E83" w14:paraId="60210174" w14:textId="77777777" w:rsidTr="004949DD">
        <w:tc>
          <w:tcPr>
            <w:tcW w:w="1438" w:type="dxa"/>
          </w:tcPr>
          <w:p w14:paraId="1A9E3A45" w14:textId="1F566786" w:rsidR="005D3E83" w:rsidRDefault="005D3E83" w:rsidP="005D3E83">
            <w:pPr>
              <w:jc w:val="both"/>
              <w:rPr>
                <w:rFonts w:ascii="Arial" w:hAnsi="Arial" w:cs="Arial"/>
              </w:rPr>
            </w:pPr>
            <w:r w:rsidRPr="004949DD">
              <w:rPr>
                <w:rFonts w:ascii="Symbol" w:hAnsi="Symbol" w:cs="Arial"/>
              </w:rPr>
              <w:t xml:space="preserve">gd </w:t>
            </w:r>
            <w:r>
              <w:rPr>
                <w:rFonts w:ascii="Arial" w:hAnsi="Arial" w:cs="Arial"/>
              </w:rPr>
              <w:t>CD3+</w:t>
            </w:r>
          </w:p>
        </w:tc>
        <w:tc>
          <w:tcPr>
            <w:tcW w:w="1438" w:type="dxa"/>
          </w:tcPr>
          <w:p w14:paraId="432E3B6A" w14:textId="1B713FF0" w:rsidR="005D3E83" w:rsidRDefault="00517C64" w:rsidP="005D3E83">
            <w:pPr>
              <w:jc w:val="both"/>
              <w:rPr>
                <w:rFonts w:ascii="Arial" w:hAnsi="Arial" w:cs="Arial"/>
              </w:rPr>
            </w:pPr>
            <w:r>
              <w:rPr>
                <w:rFonts w:ascii="Arial" w:hAnsi="Arial" w:cs="Arial"/>
              </w:rPr>
              <w:t>2.74x10^9</w:t>
            </w:r>
          </w:p>
        </w:tc>
        <w:tc>
          <w:tcPr>
            <w:tcW w:w="1438" w:type="dxa"/>
          </w:tcPr>
          <w:p w14:paraId="5FAA1CE2" w14:textId="623F0FCA" w:rsidR="005D3E83" w:rsidRDefault="00517C64" w:rsidP="005D3E83">
            <w:pPr>
              <w:jc w:val="both"/>
              <w:rPr>
                <w:rFonts w:ascii="Arial" w:hAnsi="Arial" w:cs="Arial"/>
              </w:rPr>
            </w:pPr>
            <w:r>
              <w:rPr>
                <w:rFonts w:ascii="Arial" w:hAnsi="Arial" w:cs="Arial"/>
              </w:rPr>
              <w:t>1.69x10^10</w:t>
            </w:r>
          </w:p>
        </w:tc>
        <w:tc>
          <w:tcPr>
            <w:tcW w:w="1439" w:type="dxa"/>
          </w:tcPr>
          <w:p w14:paraId="1C22FFF7" w14:textId="382546A8" w:rsidR="005D3E83" w:rsidRDefault="00517C64" w:rsidP="005D3E83">
            <w:pPr>
              <w:jc w:val="both"/>
              <w:rPr>
                <w:rFonts w:ascii="Arial" w:hAnsi="Arial" w:cs="Arial"/>
              </w:rPr>
            </w:pPr>
            <w:r>
              <w:rPr>
                <w:rFonts w:ascii="Arial" w:hAnsi="Arial" w:cs="Arial"/>
              </w:rPr>
              <w:t>N/A</w:t>
            </w:r>
          </w:p>
        </w:tc>
        <w:tc>
          <w:tcPr>
            <w:tcW w:w="1439" w:type="dxa"/>
          </w:tcPr>
          <w:p w14:paraId="05C275DC" w14:textId="6E9C2AD3" w:rsidR="005D3E83" w:rsidRDefault="00517C64" w:rsidP="005D3E83">
            <w:pPr>
              <w:jc w:val="both"/>
              <w:rPr>
                <w:rFonts w:ascii="Arial" w:hAnsi="Arial" w:cs="Arial"/>
              </w:rPr>
            </w:pPr>
            <w:r>
              <w:rPr>
                <w:rFonts w:ascii="Arial" w:hAnsi="Arial" w:cs="Arial"/>
              </w:rPr>
              <w:t>2.90x10^9</w:t>
            </w:r>
          </w:p>
        </w:tc>
        <w:tc>
          <w:tcPr>
            <w:tcW w:w="1439" w:type="dxa"/>
          </w:tcPr>
          <w:p w14:paraId="10302535" w14:textId="69009233" w:rsidR="005D3E83" w:rsidRDefault="00517C64" w:rsidP="005D3E83">
            <w:pPr>
              <w:jc w:val="both"/>
              <w:rPr>
                <w:rFonts w:ascii="Arial" w:hAnsi="Arial" w:cs="Arial"/>
              </w:rPr>
            </w:pPr>
            <w:r>
              <w:rPr>
                <w:rFonts w:ascii="Arial" w:hAnsi="Arial" w:cs="Arial"/>
              </w:rPr>
              <w:t>1.94x10^10</w:t>
            </w:r>
          </w:p>
        </w:tc>
        <w:tc>
          <w:tcPr>
            <w:tcW w:w="1439" w:type="dxa"/>
          </w:tcPr>
          <w:p w14:paraId="22102325" w14:textId="2C18A6CC" w:rsidR="005D3E83" w:rsidRDefault="00517C64" w:rsidP="005D3E83">
            <w:pPr>
              <w:jc w:val="both"/>
              <w:rPr>
                <w:rFonts w:ascii="Arial" w:hAnsi="Arial" w:cs="Arial"/>
              </w:rPr>
            </w:pPr>
            <w:r>
              <w:rPr>
                <w:rFonts w:ascii="Arial" w:hAnsi="Arial" w:cs="Arial"/>
              </w:rPr>
              <w:t>N/A</w:t>
            </w:r>
          </w:p>
        </w:tc>
      </w:tr>
      <w:tr w:rsidR="005D3E83" w14:paraId="163F3511" w14:textId="77777777" w:rsidTr="004949DD">
        <w:tc>
          <w:tcPr>
            <w:tcW w:w="1438" w:type="dxa"/>
          </w:tcPr>
          <w:p w14:paraId="6D41B620" w14:textId="50CE3F4B" w:rsidR="005D3E83" w:rsidRDefault="005D3E83" w:rsidP="005D3E83">
            <w:pPr>
              <w:jc w:val="both"/>
              <w:rPr>
                <w:rFonts w:ascii="Arial" w:hAnsi="Arial" w:cs="Arial"/>
              </w:rPr>
            </w:pPr>
            <w:r>
              <w:rPr>
                <w:rFonts w:ascii="Arial" w:hAnsi="Arial" w:cs="Arial"/>
              </w:rPr>
              <w:t>CD34+</w:t>
            </w:r>
          </w:p>
        </w:tc>
        <w:tc>
          <w:tcPr>
            <w:tcW w:w="1438" w:type="dxa"/>
          </w:tcPr>
          <w:p w14:paraId="0CF4D48D" w14:textId="4EB9A67F" w:rsidR="005D3E83" w:rsidRDefault="00517C64" w:rsidP="005D3E83">
            <w:pPr>
              <w:jc w:val="both"/>
              <w:rPr>
                <w:rFonts w:ascii="Arial" w:hAnsi="Arial" w:cs="Arial"/>
              </w:rPr>
            </w:pPr>
            <w:r>
              <w:rPr>
                <w:rFonts w:ascii="Arial" w:hAnsi="Arial" w:cs="Arial"/>
              </w:rPr>
              <w:t>8.15x10^8</w:t>
            </w:r>
          </w:p>
        </w:tc>
        <w:tc>
          <w:tcPr>
            <w:tcW w:w="1438" w:type="dxa"/>
          </w:tcPr>
          <w:p w14:paraId="278AE07E" w14:textId="3F59372D" w:rsidR="005D3E83" w:rsidRDefault="00517C64" w:rsidP="005D3E83">
            <w:pPr>
              <w:jc w:val="both"/>
              <w:rPr>
                <w:rFonts w:ascii="Arial" w:hAnsi="Arial" w:cs="Arial"/>
              </w:rPr>
            </w:pPr>
            <w:r>
              <w:rPr>
                <w:rFonts w:ascii="Arial" w:hAnsi="Arial" w:cs="Arial"/>
              </w:rPr>
              <w:t>5.56x10^8</w:t>
            </w:r>
          </w:p>
        </w:tc>
        <w:tc>
          <w:tcPr>
            <w:tcW w:w="1439" w:type="dxa"/>
          </w:tcPr>
          <w:p w14:paraId="15D30F41" w14:textId="385F8DC2" w:rsidR="005D3E83" w:rsidRDefault="00517C64" w:rsidP="005D3E83">
            <w:pPr>
              <w:jc w:val="both"/>
              <w:rPr>
                <w:rFonts w:ascii="Arial" w:hAnsi="Arial" w:cs="Arial"/>
              </w:rPr>
            </w:pPr>
            <w:r>
              <w:rPr>
                <w:rFonts w:ascii="Arial" w:hAnsi="Arial" w:cs="Arial"/>
              </w:rPr>
              <w:t>N/A</w:t>
            </w:r>
          </w:p>
        </w:tc>
        <w:tc>
          <w:tcPr>
            <w:tcW w:w="1439" w:type="dxa"/>
          </w:tcPr>
          <w:p w14:paraId="5CFCDD0B" w14:textId="69D6E980" w:rsidR="005D3E83" w:rsidRDefault="00517C64" w:rsidP="005D3E83">
            <w:pPr>
              <w:jc w:val="both"/>
              <w:rPr>
                <w:rFonts w:ascii="Arial" w:hAnsi="Arial" w:cs="Arial"/>
              </w:rPr>
            </w:pPr>
            <w:r>
              <w:rPr>
                <w:rFonts w:ascii="Arial" w:hAnsi="Arial" w:cs="Arial"/>
              </w:rPr>
              <w:t>3.44x10^8</w:t>
            </w:r>
          </w:p>
        </w:tc>
        <w:tc>
          <w:tcPr>
            <w:tcW w:w="1439" w:type="dxa"/>
          </w:tcPr>
          <w:p w14:paraId="6BB8E42E" w14:textId="5B5C64DA" w:rsidR="005D3E83" w:rsidRDefault="00517C64" w:rsidP="005D3E83">
            <w:pPr>
              <w:jc w:val="both"/>
              <w:rPr>
                <w:rFonts w:ascii="Arial" w:hAnsi="Arial" w:cs="Arial"/>
              </w:rPr>
            </w:pPr>
            <w:r>
              <w:rPr>
                <w:rFonts w:ascii="Arial" w:hAnsi="Arial" w:cs="Arial"/>
              </w:rPr>
              <w:t>3.13x10^8</w:t>
            </w:r>
          </w:p>
        </w:tc>
        <w:tc>
          <w:tcPr>
            <w:tcW w:w="1439" w:type="dxa"/>
          </w:tcPr>
          <w:p w14:paraId="2F16BC36" w14:textId="59E0EA68" w:rsidR="005D3E83" w:rsidRDefault="00517C64" w:rsidP="005D3E83">
            <w:pPr>
              <w:jc w:val="both"/>
              <w:rPr>
                <w:rFonts w:ascii="Arial" w:hAnsi="Arial" w:cs="Arial"/>
              </w:rPr>
            </w:pPr>
            <w:r>
              <w:rPr>
                <w:rFonts w:ascii="Arial" w:hAnsi="Arial" w:cs="Arial"/>
              </w:rPr>
              <w:t>N/A</w:t>
            </w:r>
          </w:p>
        </w:tc>
      </w:tr>
      <w:tr w:rsidR="005D3E83" w14:paraId="27B399A7" w14:textId="77777777" w:rsidTr="004949DD">
        <w:tc>
          <w:tcPr>
            <w:tcW w:w="1438" w:type="dxa"/>
          </w:tcPr>
          <w:p w14:paraId="11E391AA" w14:textId="135F0241" w:rsidR="005D3E83" w:rsidRDefault="005D3E83" w:rsidP="005D3E83">
            <w:pPr>
              <w:jc w:val="both"/>
              <w:rPr>
                <w:rFonts w:ascii="Arial" w:hAnsi="Arial" w:cs="Arial"/>
              </w:rPr>
            </w:pPr>
            <w:r>
              <w:rPr>
                <w:rFonts w:ascii="Arial" w:hAnsi="Arial" w:cs="Arial"/>
              </w:rPr>
              <w:t>CD20+</w:t>
            </w:r>
          </w:p>
        </w:tc>
        <w:tc>
          <w:tcPr>
            <w:tcW w:w="1438" w:type="dxa"/>
          </w:tcPr>
          <w:p w14:paraId="6257DAFB" w14:textId="2E87B35B" w:rsidR="005D3E83" w:rsidRDefault="00517C64" w:rsidP="005D3E83">
            <w:pPr>
              <w:jc w:val="both"/>
              <w:rPr>
                <w:rFonts w:ascii="Arial" w:hAnsi="Arial" w:cs="Arial"/>
              </w:rPr>
            </w:pPr>
            <w:r>
              <w:rPr>
                <w:rFonts w:ascii="Arial" w:hAnsi="Arial" w:cs="Arial"/>
              </w:rPr>
              <w:t>2.91x10^9</w:t>
            </w:r>
          </w:p>
        </w:tc>
        <w:tc>
          <w:tcPr>
            <w:tcW w:w="1438" w:type="dxa"/>
          </w:tcPr>
          <w:p w14:paraId="5F78C02D" w14:textId="5C756BAD" w:rsidR="005D3E83" w:rsidRDefault="00517C64" w:rsidP="005D3E83">
            <w:pPr>
              <w:jc w:val="both"/>
              <w:rPr>
                <w:rFonts w:ascii="Arial" w:hAnsi="Arial" w:cs="Arial"/>
              </w:rPr>
            </w:pPr>
            <w:r>
              <w:rPr>
                <w:rFonts w:ascii="Arial" w:hAnsi="Arial" w:cs="Arial"/>
              </w:rPr>
              <w:t>6.25x10^</w:t>
            </w:r>
          </w:p>
        </w:tc>
        <w:tc>
          <w:tcPr>
            <w:tcW w:w="1439" w:type="dxa"/>
          </w:tcPr>
          <w:p w14:paraId="367154E4" w14:textId="44CE143B" w:rsidR="005D3E83" w:rsidRDefault="00517C64" w:rsidP="005D3E83">
            <w:pPr>
              <w:jc w:val="both"/>
              <w:rPr>
                <w:rFonts w:ascii="Arial" w:hAnsi="Arial" w:cs="Arial"/>
              </w:rPr>
            </w:pPr>
            <w:r>
              <w:rPr>
                <w:rFonts w:ascii="Arial" w:hAnsi="Arial" w:cs="Arial"/>
              </w:rPr>
              <w:t>1</w:t>
            </w:r>
          </w:p>
        </w:tc>
        <w:tc>
          <w:tcPr>
            <w:tcW w:w="1439" w:type="dxa"/>
          </w:tcPr>
          <w:p w14:paraId="34D280CD" w14:textId="01F264A6" w:rsidR="005D3E83" w:rsidRDefault="00517C64" w:rsidP="005D3E83">
            <w:pPr>
              <w:jc w:val="both"/>
              <w:rPr>
                <w:rFonts w:ascii="Arial" w:hAnsi="Arial" w:cs="Arial"/>
              </w:rPr>
            </w:pPr>
            <w:r>
              <w:rPr>
                <w:rFonts w:ascii="Arial" w:hAnsi="Arial" w:cs="Arial"/>
              </w:rPr>
              <w:t>2.28x10^9</w:t>
            </w:r>
          </w:p>
        </w:tc>
        <w:tc>
          <w:tcPr>
            <w:tcW w:w="1439" w:type="dxa"/>
          </w:tcPr>
          <w:p w14:paraId="0AA40760" w14:textId="02D17ADA" w:rsidR="005D3E83" w:rsidRDefault="00517C64" w:rsidP="005D3E83">
            <w:pPr>
              <w:jc w:val="both"/>
              <w:rPr>
                <w:rFonts w:ascii="Arial" w:hAnsi="Arial" w:cs="Arial"/>
              </w:rPr>
            </w:pPr>
            <w:r>
              <w:rPr>
                <w:rFonts w:ascii="Arial" w:hAnsi="Arial" w:cs="Arial"/>
              </w:rPr>
              <w:t>1.84x10^7</w:t>
            </w:r>
          </w:p>
        </w:tc>
        <w:tc>
          <w:tcPr>
            <w:tcW w:w="1439" w:type="dxa"/>
          </w:tcPr>
          <w:p w14:paraId="51BBAB9D" w14:textId="248D8B2C" w:rsidR="005D3E83" w:rsidRDefault="00517C64" w:rsidP="005D3E83">
            <w:pPr>
              <w:jc w:val="both"/>
              <w:rPr>
                <w:rFonts w:ascii="Arial" w:hAnsi="Arial" w:cs="Arial"/>
              </w:rPr>
            </w:pPr>
            <w:r>
              <w:rPr>
                <w:rFonts w:ascii="Arial" w:hAnsi="Arial" w:cs="Arial"/>
              </w:rPr>
              <w:t>2</w:t>
            </w:r>
          </w:p>
        </w:tc>
      </w:tr>
      <w:tr w:rsidR="00517C64" w14:paraId="278814B2" w14:textId="77777777" w:rsidTr="00404FFD">
        <w:tc>
          <w:tcPr>
            <w:tcW w:w="1438" w:type="dxa"/>
          </w:tcPr>
          <w:p w14:paraId="76E8392A" w14:textId="229DB986" w:rsidR="00517C64" w:rsidRDefault="00517C64" w:rsidP="005D3E83">
            <w:pPr>
              <w:jc w:val="both"/>
              <w:rPr>
                <w:rFonts w:ascii="Arial" w:hAnsi="Arial" w:cs="Arial"/>
              </w:rPr>
            </w:pPr>
            <w:r>
              <w:rPr>
                <w:rFonts w:ascii="Arial" w:hAnsi="Arial" w:cs="Arial"/>
              </w:rPr>
              <w:t>Post-Processin</w:t>
            </w:r>
            <w:r w:rsidR="0061470F">
              <w:rPr>
                <w:rFonts w:ascii="Arial" w:hAnsi="Arial" w:cs="Arial"/>
              </w:rPr>
              <w:t>g</w:t>
            </w:r>
            <w:r>
              <w:rPr>
                <w:rFonts w:ascii="Arial" w:hAnsi="Arial" w:cs="Arial"/>
              </w:rPr>
              <w:t xml:space="preserve"> Viability</w:t>
            </w:r>
          </w:p>
        </w:tc>
        <w:tc>
          <w:tcPr>
            <w:tcW w:w="4315" w:type="dxa"/>
            <w:gridSpan w:val="3"/>
          </w:tcPr>
          <w:p w14:paraId="674BE772" w14:textId="401B969D" w:rsidR="00517C64" w:rsidRDefault="00517C64" w:rsidP="005D3E83">
            <w:pPr>
              <w:jc w:val="both"/>
              <w:rPr>
                <w:rFonts w:ascii="Arial" w:hAnsi="Arial" w:cs="Arial"/>
              </w:rPr>
            </w:pPr>
            <w:r>
              <w:rPr>
                <w:rFonts w:ascii="Arial" w:hAnsi="Arial" w:cs="Arial"/>
              </w:rPr>
              <w:t>96.4%</w:t>
            </w:r>
          </w:p>
        </w:tc>
        <w:tc>
          <w:tcPr>
            <w:tcW w:w="4317" w:type="dxa"/>
            <w:gridSpan w:val="3"/>
          </w:tcPr>
          <w:p w14:paraId="10946234" w14:textId="1D08084D" w:rsidR="00517C64" w:rsidRDefault="00517C64" w:rsidP="005D3E83">
            <w:pPr>
              <w:jc w:val="both"/>
              <w:rPr>
                <w:rFonts w:ascii="Arial" w:hAnsi="Arial" w:cs="Arial"/>
              </w:rPr>
            </w:pPr>
            <w:r>
              <w:rPr>
                <w:rFonts w:ascii="Arial" w:hAnsi="Arial" w:cs="Arial"/>
              </w:rPr>
              <w:t>89.9%</w:t>
            </w:r>
          </w:p>
        </w:tc>
      </w:tr>
      <w:bookmarkEnd w:id="3"/>
    </w:tbl>
    <w:p w14:paraId="6CA1654C" w14:textId="77777777" w:rsidR="005D3E83" w:rsidRPr="005D3E83" w:rsidRDefault="005D3E83" w:rsidP="00BA4B5A">
      <w:pPr>
        <w:spacing w:after="0" w:line="240" w:lineRule="auto"/>
        <w:jc w:val="both"/>
        <w:rPr>
          <w:rFonts w:ascii="Arial" w:hAnsi="Arial" w:cs="Arial"/>
        </w:rPr>
      </w:pPr>
    </w:p>
    <w:p w14:paraId="79FA124D" w14:textId="18391C9C" w:rsidR="00544C47" w:rsidRDefault="00544C47" w:rsidP="00BA4B5A">
      <w:pPr>
        <w:autoSpaceDE w:val="0"/>
        <w:autoSpaceDN w:val="0"/>
        <w:adjustRightInd w:val="0"/>
        <w:spacing w:after="0" w:line="240" w:lineRule="auto"/>
        <w:jc w:val="both"/>
        <w:rPr>
          <w:rFonts w:ascii="Arial" w:eastAsia="Calibri" w:hAnsi="Arial" w:cs="Arial"/>
          <w:lang w:val="en-GB"/>
        </w:rPr>
      </w:pPr>
    </w:p>
    <w:p w14:paraId="2B9E4530" w14:textId="0C19AAE6" w:rsidR="003B510A" w:rsidRPr="00D11C74" w:rsidRDefault="003B510A" w:rsidP="00BA4B5A">
      <w:pPr>
        <w:pStyle w:val="Heading1"/>
        <w:spacing w:before="0" w:after="0" w:line="240" w:lineRule="auto"/>
        <w:jc w:val="both"/>
        <w:rPr>
          <w:rFonts w:ascii="Arial" w:hAnsi="Arial" w:cs="Arial"/>
          <w:sz w:val="22"/>
          <w:szCs w:val="22"/>
        </w:rPr>
      </w:pPr>
      <w:r w:rsidRPr="00D11C74">
        <w:rPr>
          <w:rFonts w:ascii="Arial" w:hAnsi="Arial" w:cs="Arial"/>
          <w:sz w:val="22"/>
          <w:szCs w:val="22"/>
        </w:rPr>
        <w:t>product stability</w:t>
      </w:r>
    </w:p>
    <w:p w14:paraId="16E4F54A" w14:textId="540419A6" w:rsidR="006A4992" w:rsidRPr="00A91216" w:rsidRDefault="006A4992" w:rsidP="00BA4B5A">
      <w:pPr>
        <w:spacing w:after="0" w:line="240" w:lineRule="auto"/>
        <w:jc w:val="both"/>
        <w:rPr>
          <w:rFonts w:ascii="Arial" w:hAnsi="Arial" w:cs="Arial"/>
        </w:rPr>
      </w:pPr>
    </w:p>
    <w:p w14:paraId="77F9EE40" w14:textId="5561A1C0" w:rsidR="00C110EF" w:rsidRDefault="00C110EF" w:rsidP="00BA4B5A">
      <w:pPr>
        <w:spacing w:after="0" w:line="240" w:lineRule="auto"/>
        <w:jc w:val="both"/>
        <w:rPr>
          <w:rFonts w:ascii="Arial" w:hAnsi="Arial" w:cs="Arial"/>
        </w:rPr>
      </w:pPr>
      <w:r>
        <w:rPr>
          <w:rFonts w:ascii="Arial" w:hAnsi="Arial" w:cs="Arial"/>
        </w:rPr>
        <w:t xml:space="preserve">There is substantial data to support product stability of non-enriched mobilized hematopoietic progenitor cells. Consolidated data from a stability audit for these cells is provided in Table 7.8. </w:t>
      </w:r>
    </w:p>
    <w:p w14:paraId="532E9512" w14:textId="3D19C581" w:rsidR="00C110EF" w:rsidRDefault="00C110EF" w:rsidP="00BA4B5A">
      <w:pPr>
        <w:spacing w:after="0" w:line="240" w:lineRule="auto"/>
        <w:jc w:val="both"/>
        <w:rPr>
          <w:rFonts w:ascii="Arial" w:hAnsi="Arial" w:cs="Arial"/>
        </w:rPr>
      </w:pPr>
    </w:p>
    <w:p w14:paraId="20BACA45" w14:textId="41EBBCBD" w:rsidR="00C110EF" w:rsidRPr="00BA0C5B" w:rsidRDefault="00C110EF" w:rsidP="00BA4B5A">
      <w:pPr>
        <w:spacing w:after="0" w:line="240" w:lineRule="auto"/>
        <w:jc w:val="both"/>
        <w:rPr>
          <w:rFonts w:ascii="Arial" w:hAnsi="Arial" w:cs="Arial"/>
          <w:b/>
          <w:bCs/>
        </w:rPr>
      </w:pPr>
      <w:r>
        <w:rPr>
          <w:rFonts w:ascii="Arial" w:hAnsi="Arial" w:cs="Arial"/>
          <w:b/>
          <w:bCs/>
        </w:rPr>
        <w:t>Table 7.8 Stability Data for Cryopreserved Hematopoietic Progenitor Cells</w:t>
      </w:r>
    </w:p>
    <w:p w14:paraId="622EF9F7" w14:textId="3F38563E" w:rsidR="00C110EF" w:rsidRDefault="00C110EF" w:rsidP="00BA4B5A">
      <w:pPr>
        <w:spacing w:after="0" w:line="240" w:lineRule="auto"/>
        <w:jc w:val="both"/>
        <w:rPr>
          <w:rFonts w:ascii="Arial" w:hAnsi="Arial" w:cs="Arial"/>
        </w:rPr>
      </w:pPr>
    </w:p>
    <w:tbl>
      <w:tblPr>
        <w:tblW w:w="7015" w:type="dxa"/>
        <w:tblInd w:w="-10" w:type="dxa"/>
        <w:tblLook w:val="04A0" w:firstRow="1" w:lastRow="0" w:firstColumn="1" w:lastColumn="0" w:noHBand="0" w:noVBand="1"/>
      </w:tblPr>
      <w:tblGrid>
        <w:gridCol w:w="820"/>
        <w:gridCol w:w="1217"/>
        <w:gridCol w:w="887"/>
        <w:gridCol w:w="1060"/>
        <w:gridCol w:w="1027"/>
        <w:gridCol w:w="977"/>
        <w:gridCol w:w="1027"/>
      </w:tblGrid>
      <w:tr w:rsidR="00C110EF" w:rsidRPr="0062742B" w14:paraId="0BEE58FA" w14:textId="77777777" w:rsidTr="00BA0C5B">
        <w:trPr>
          <w:trHeight w:val="450"/>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7F405E" w14:textId="77777777" w:rsidR="00C110EF" w:rsidRPr="0062742B" w:rsidRDefault="00C110EF" w:rsidP="00C91CAC">
            <w:pPr>
              <w:spacing w:after="0" w:line="240" w:lineRule="auto"/>
              <w:jc w:val="center"/>
              <w:rPr>
                <w:rFonts w:ascii="Arial" w:eastAsia="Times New Roman" w:hAnsi="Arial" w:cs="Arial"/>
                <w:b/>
                <w:bCs/>
                <w:sz w:val="20"/>
                <w:szCs w:val="20"/>
              </w:rPr>
            </w:pPr>
            <w:r w:rsidRPr="0062742B">
              <w:rPr>
                <w:rFonts w:ascii="Arial" w:eastAsia="Times New Roman" w:hAnsi="Arial" w:cs="Arial"/>
                <w:b/>
                <w:bCs/>
                <w:sz w:val="20"/>
                <w:szCs w:val="20"/>
              </w:rPr>
              <w:t>Auto or Allo</w:t>
            </w:r>
          </w:p>
        </w:tc>
        <w:tc>
          <w:tcPr>
            <w:tcW w:w="12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D5208D" w14:textId="77777777" w:rsidR="00C110EF" w:rsidRPr="0062742B" w:rsidRDefault="00C110EF" w:rsidP="00C91CAC">
            <w:pPr>
              <w:spacing w:after="0" w:line="240" w:lineRule="auto"/>
              <w:jc w:val="center"/>
              <w:rPr>
                <w:rFonts w:ascii="Arial" w:eastAsia="Times New Roman" w:hAnsi="Arial" w:cs="Arial"/>
                <w:b/>
                <w:bCs/>
                <w:sz w:val="20"/>
                <w:szCs w:val="20"/>
              </w:rPr>
            </w:pPr>
            <w:r w:rsidRPr="0062742B">
              <w:rPr>
                <w:rFonts w:ascii="Arial" w:eastAsia="Times New Roman" w:hAnsi="Arial" w:cs="Arial"/>
                <w:b/>
                <w:bCs/>
                <w:sz w:val="20"/>
                <w:szCs w:val="20"/>
              </w:rPr>
              <w:t>Thaw Date</w:t>
            </w:r>
          </w:p>
        </w:tc>
        <w:tc>
          <w:tcPr>
            <w:tcW w:w="88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4EA93A" w14:textId="77777777" w:rsidR="00C110EF" w:rsidRPr="0062742B" w:rsidRDefault="00C110EF" w:rsidP="00C91CAC">
            <w:pPr>
              <w:spacing w:after="0" w:line="240" w:lineRule="auto"/>
              <w:jc w:val="center"/>
              <w:rPr>
                <w:rFonts w:ascii="Arial" w:eastAsia="Times New Roman" w:hAnsi="Arial" w:cs="Arial"/>
                <w:b/>
                <w:bCs/>
                <w:sz w:val="18"/>
                <w:szCs w:val="18"/>
              </w:rPr>
            </w:pPr>
            <w:r w:rsidRPr="0062742B">
              <w:rPr>
                <w:rFonts w:ascii="Arial" w:eastAsia="Times New Roman" w:hAnsi="Arial" w:cs="Arial"/>
                <w:b/>
                <w:bCs/>
                <w:sz w:val="18"/>
                <w:szCs w:val="18"/>
              </w:rPr>
              <w:t>Storage Time (yrs)</w:t>
            </w:r>
          </w:p>
        </w:tc>
        <w:tc>
          <w:tcPr>
            <w:tcW w:w="10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BECE0B" w14:textId="77777777" w:rsidR="00C110EF" w:rsidRPr="0062742B" w:rsidRDefault="00C110EF" w:rsidP="00C91CAC">
            <w:pPr>
              <w:spacing w:after="0" w:line="240" w:lineRule="auto"/>
              <w:jc w:val="center"/>
              <w:rPr>
                <w:rFonts w:ascii="Arial" w:eastAsia="Times New Roman" w:hAnsi="Arial" w:cs="Arial"/>
                <w:b/>
                <w:bCs/>
                <w:sz w:val="18"/>
                <w:szCs w:val="18"/>
              </w:rPr>
            </w:pPr>
            <w:r w:rsidRPr="0062742B">
              <w:rPr>
                <w:rFonts w:ascii="Arial" w:eastAsia="Times New Roman" w:hAnsi="Arial" w:cs="Arial"/>
                <w:b/>
                <w:bCs/>
                <w:sz w:val="18"/>
                <w:szCs w:val="18"/>
              </w:rPr>
              <w:t>Viability</w:t>
            </w:r>
          </w:p>
        </w:tc>
        <w:tc>
          <w:tcPr>
            <w:tcW w:w="10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F349C6" w14:textId="77777777" w:rsidR="00C110EF" w:rsidRPr="0062742B" w:rsidRDefault="00C110EF" w:rsidP="00C91CAC">
            <w:pPr>
              <w:spacing w:after="0" w:line="240" w:lineRule="auto"/>
              <w:jc w:val="center"/>
              <w:rPr>
                <w:rFonts w:ascii="Arial" w:eastAsia="Times New Roman" w:hAnsi="Arial" w:cs="Arial"/>
                <w:b/>
                <w:bCs/>
                <w:sz w:val="18"/>
                <w:szCs w:val="18"/>
              </w:rPr>
            </w:pPr>
            <w:r w:rsidRPr="0062742B">
              <w:rPr>
                <w:rFonts w:ascii="Arial" w:eastAsia="Times New Roman" w:hAnsi="Arial" w:cs="Arial"/>
                <w:b/>
                <w:bCs/>
                <w:sz w:val="18"/>
                <w:szCs w:val="18"/>
              </w:rPr>
              <w:t>Viable CD34+ Recovery (%)</w:t>
            </w:r>
          </w:p>
        </w:tc>
        <w:tc>
          <w:tcPr>
            <w:tcW w:w="9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6204B3" w14:textId="77777777" w:rsidR="00C110EF" w:rsidRPr="0062742B" w:rsidRDefault="00C110EF" w:rsidP="00C91CAC">
            <w:pPr>
              <w:spacing w:after="0" w:line="240" w:lineRule="auto"/>
              <w:jc w:val="center"/>
              <w:rPr>
                <w:rFonts w:ascii="Arial" w:eastAsia="Times New Roman" w:hAnsi="Arial" w:cs="Arial"/>
                <w:b/>
                <w:bCs/>
                <w:sz w:val="18"/>
                <w:szCs w:val="18"/>
              </w:rPr>
            </w:pPr>
            <w:r w:rsidRPr="0062742B">
              <w:rPr>
                <w:rFonts w:ascii="Arial" w:eastAsia="Times New Roman" w:hAnsi="Arial" w:cs="Arial"/>
                <w:b/>
                <w:bCs/>
                <w:sz w:val="18"/>
                <w:szCs w:val="18"/>
              </w:rPr>
              <w:t>Mean # Colonies CFU</w:t>
            </w:r>
          </w:p>
        </w:tc>
        <w:tc>
          <w:tcPr>
            <w:tcW w:w="10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5B23B7" w14:textId="77777777" w:rsidR="00C110EF" w:rsidRPr="0062742B" w:rsidRDefault="00C110EF" w:rsidP="00C91CAC">
            <w:pPr>
              <w:spacing w:after="0" w:line="240" w:lineRule="auto"/>
              <w:jc w:val="center"/>
              <w:rPr>
                <w:rFonts w:ascii="Arial" w:eastAsia="Times New Roman" w:hAnsi="Arial" w:cs="Arial"/>
                <w:b/>
                <w:bCs/>
                <w:sz w:val="18"/>
                <w:szCs w:val="18"/>
              </w:rPr>
            </w:pPr>
            <w:r w:rsidRPr="0062742B">
              <w:rPr>
                <w:rFonts w:ascii="Arial" w:eastAsia="Times New Roman" w:hAnsi="Arial" w:cs="Arial"/>
                <w:b/>
                <w:bCs/>
                <w:sz w:val="18"/>
                <w:szCs w:val="18"/>
              </w:rPr>
              <w:t>TNC Recovery (%)</w:t>
            </w:r>
          </w:p>
        </w:tc>
      </w:tr>
      <w:tr w:rsidR="00C110EF" w:rsidRPr="0062742B" w14:paraId="093260B7" w14:textId="77777777" w:rsidTr="00BA0C5B">
        <w:trPr>
          <w:trHeight w:val="1069"/>
        </w:trPr>
        <w:tc>
          <w:tcPr>
            <w:tcW w:w="820" w:type="dxa"/>
            <w:vMerge/>
            <w:tcBorders>
              <w:top w:val="single" w:sz="8" w:space="0" w:color="auto"/>
              <w:left w:val="single" w:sz="8" w:space="0" w:color="auto"/>
              <w:bottom w:val="single" w:sz="4" w:space="0" w:color="auto"/>
              <w:right w:val="single" w:sz="4" w:space="0" w:color="auto"/>
            </w:tcBorders>
            <w:vAlign w:val="center"/>
            <w:hideMark/>
          </w:tcPr>
          <w:p w14:paraId="51D823CB" w14:textId="77777777" w:rsidR="00C110EF" w:rsidRPr="0062742B" w:rsidRDefault="00C110EF" w:rsidP="00C91CAC">
            <w:pPr>
              <w:spacing w:after="0" w:line="240" w:lineRule="auto"/>
              <w:rPr>
                <w:rFonts w:ascii="Arial" w:eastAsia="Times New Roman" w:hAnsi="Arial" w:cs="Arial"/>
                <w:b/>
                <w:bCs/>
                <w:sz w:val="20"/>
                <w:szCs w:val="20"/>
              </w:rPr>
            </w:pPr>
          </w:p>
        </w:tc>
        <w:tc>
          <w:tcPr>
            <w:tcW w:w="1217" w:type="dxa"/>
            <w:vMerge/>
            <w:tcBorders>
              <w:top w:val="single" w:sz="8" w:space="0" w:color="auto"/>
              <w:left w:val="single" w:sz="4" w:space="0" w:color="auto"/>
              <w:bottom w:val="single" w:sz="4" w:space="0" w:color="auto"/>
              <w:right w:val="single" w:sz="4" w:space="0" w:color="auto"/>
            </w:tcBorders>
            <w:vAlign w:val="center"/>
            <w:hideMark/>
          </w:tcPr>
          <w:p w14:paraId="6BE20CB1" w14:textId="77777777" w:rsidR="00C110EF" w:rsidRPr="0062742B" w:rsidRDefault="00C110EF" w:rsidP="00C91CAC">
            <w:pPr>
              <w:spacing w:after="0" w:line="240" w:lineRule="auto"/>
              <w:rPr>
                <w:rFonts w:ascii="Arial" w:eastAsia="Times New Roman" w:hAnsi="Arial" w:cs="Arial"/>
                <w:b/>
                <w:bCs/>
                <w:sz w:val="20"/>
                <w:szCs w:val="20"/>
              </w:rPr>
            </w:pPr>
          </w:p>
        </w:tc>
        <w:tc>
          <w:tcPr>
            <w:tcW w:w="887" w:type="dxa"/>
            <w:vMerge/>
            <w:tcBorders>
              <w:top w:val="single" w:sz="8" w:space="0" w:color="auto"/>
              <w:left w:val="single" w:sz="4" w:space="0" w:color="auto"/>
              <w:bottom w:val="single" w:sz="4" w:space="0" w:color="auto"/>
              <w:right w:val="single" w:sz="4" w:space="0" w:color="auto"/>
            </w:tcBorders>
            <w:vAlign w:val="center"/>
            <w:hideMark/>
          </w:tcPr>
          <w:p w14:paraId="5A0DDC5C" w14:textId="77777777" w:rsidR="00C110EF" w:rsidRPr="0062742B" w:rsidRDefault="00C110EF" w:rsidP="00C91CAC">
            <w:pPr>
              <w:spacing w:after="0" w:line="240" w:lineRule="auto"/>
              <w:rPr>
                <w:rFonts w:ascii="Arial" w:eastAsia="Times New Roman" w:hAnsi="Arial" w:cs="Arial"/>
                <w:b/>
                <w:bCs/>
                <w:sz w:val="18"/>
                <w:szCs w:val="18"/>
              </w:rPr>
            </w:pPr>
          </w:p>
        </w:tc>
        <w:tc>
          <w:tcPr>
            <w:tcW w:w="1060" w:type="dxa"/>
            <w:vMerge/>
            <w:tcBorders>
              <w:top w:val="single" w:sz="8" w:space="0" w:color="auto"/>
              <w:left w:val="single" w:sz="4" w:space="0" w:color="auto"/>
              <w:bottom w:val="single" w:sz="4" w:space="0" w:color="auto"/>
              <w:right w:val="single" w:sz="4" w:space="0" w:color="auto"/>
            </w:tcBorders>
            <w:vAlign w:val="center"/>
            <w:hideMark/>
          </w:tcPr>
          <w:p w14:paraId="60CB8B37" w14:textId="77777777" w:rsidR="00C110EF" w:rsidRPr="0062742B" w:rsidRDefault="00C110EF" w:rsidP="00C91CAC">
            <w:pPr>
              <w:spacing w:after="0" w:line="240" w:lineRule="auto"/>
              <w:rPr>
                <w:rFonts w:ascii="Arial" w:eastAsia="Times New Roman" w:hAnsi="Arial" w:cs="Arial"/>
                <w:b/>
                <w:bCs/>
                <w:sz w:val="18"/>
                <w:szCs w:val="18"/>
              </w:rPr>
            </w:pPr>
          </w:p>
        </w:tc>
        <w:tc>
          <w:tcPr>
            <w:tcW w:w="1027" w:type="dxa"/>
            <w:vMerge/>
            <w:tcBorders>
              <w:top w:val="single" w:sz="8" w:space="0" w:color="auto"/>
              <w:left w:val="single" w:sz="4" w:space="0" w:color="auto"/>
              <w:bottom w:val="single" w:sz="4" w:space="0" w:color="auto"/>
              <w:right w:val="single" w:sz="4" w:space="0" w:color="auto"/>
            </w:tcBorders>
            <w:vAlign w:val="center"/>
            <w:hideMark/>
          </w:tcPr>
          <w:p w14:paraId="7BA895FE" w14:textId="77777777" w:rsidR="00C110EF" w:rsidRPr="0062742B" w:rsidRDefault="00C110EF" w:rsidP="00C91CAC">
            <w:pPr>
              <w:spacing w:after="0" w:line="240" w:lineRule="auto"/>
              <w:rPr>
                <w:rFonts w:ascii="Arial" w:eastAsia="Times New Roman" w:hAnsi="Arial" w:cs="Arial"/>
                <w:b/>
                <w:bCs/>
                <w:sz w:val="18"/>
                <w:szCs w:val="18"/>
              </w:rPr>
            </w:pPr>
          </w:p>
        </w:tc>
        <w:tc>
          <w:tcPr>
            <w:tcW w:w="977" w:type="dxa"/>
            <w:vMerge/>
            <w:tcBorders>
              <w:top w:val="single" w:sz="8" w:space="0" w:color="auto"/>
              <w:left w:val="single" w:sz="4" w:space="0" w:color="auto"/>
              <w:bottom w:val="single" w:sz="4" w:space="0" w:color="auto"/>
              <w:right w:val="single" w:sz="4" w:space="0" w:color="auto"/>
            </w:tcBorders>
            <w:vAlign w:val="center"/>
            <w:hideMark/>
          </w:tcPr>
          <w:p w14:paraId="0D8F2963" w14:textId="77777777" w:rsidR="00C110EF" w:rsidRPr="0062742B" w:rsidRDefault="00C110EF" w:rsidP="00C91CAC">
            <w:pPr>
              <w:spacing w:after="0" w:line="240" w:lineRule="auto"/>
              <w:rPr>
                <w:rFonts w:ascii="Arial" w:eastAsia="Times New Roman" w:hAnsi="Arial" w:cs="Arial"/>
                <w:b/>
                <w:bCs/>
                <w:sz w:val="18"/>
                <w:szCs w:val="18"/>
              </w:rPr>
            </w:pPr>
          </w:p>
        </w:tc>
        <w:tc>
          <w:tcPr>
            <w:tcW w:w="1027" w:type="dxa"/>
            <w:vMerge/>
            <w:tcBorders>
              <w:top w:val="single" w:sz="8" w:space="0" w:color="auto"/>
              <w:left w:val="single" w:sz="4" w:space="0" w:color="auto"/>
              <w:bottom w:val="single" w:sz="8" w:space="0" w:color="000000"/>
              <w:right w:val="single" w:sz="4" w:space="0" w:color="auto"/>
            </w:tcBorders>
            <w:vAlign w:val="center"/>
            <w:hideMark/>
          </w:tcPr>
          <w:p w14:paraId="48337509" w14:textId="77777777" w:rsidR="00C110EF" w:rsidRPr="0062742B" w:rsidRDefault="00C110EF" w:rsidP="00C91CAC">
            <w:pPr>
              <w:spacing w:after="0" w:line="240" w:lineRule="auto"/>
              <w:rPr>
                <w:rFonts w:ascii="Arial" w:eastAsia="Times New Roman" w:hAnsi="Arial" w:cs="Arial"/>
                <w:b/>
                <w:bCs/>
                <w:sz w:val="18"/>
                <w:szCs w:val="18"/>
              </w:rPr>
            </w:pPr>
          </w:p>
        </w:tc>
      </w:tr>
      <w:tr w:rsidR="00C110EF" w:rsidRPr="0062742B" w14:paraId="533CAACC" w14:textId="77777777" w:rsidTr="00BA0C5B">
        <w:trPr>
          <w:trHeight w:val="255"/>
        </w:trPr>
        <w:tc>
          <w:tcPr>
            <w:tcW w:w="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B500D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single" w:sz="8" w:space="0" w:color="auto"/>
              <w:left w:val="nil"/>
              <w:bottom w:val="single" w:sz="4" w:space="0" w:color="auto"/>
              <w:right w:val="single" w:sz="4" w:space="0" w:color="auto"/>
            </w:tcBorders>
            <w:shd w:val="clear" w:color="auto" w:fill="auto"/>
            <w:noWrap/>
            <w:vAlign w:val="bottom"/>
            <w:hideMark/>
          </w:tcPr>
          <w:p w14:paraId="76EEAA1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08.21.2019</w:t>
            </w:r>
          </w:p>
        </w:tc>
        <w:tc>
          <w:tcPr>
            <w:tcW w:w="887" w:type="dxa"/>
            <w:tcBorders>
              <w:top w:val="single" w:sz="8" w:space="0" w:color="auto"/>
              <w:left w:val="nil"/>
              <w:bottom w:val="single" w:sz="4" w:space="0" w:color="auto"/>
              <w:right w:val="single" w:sz="4" w:space="0" w:color="auto"/>
            </w:tcBorders>
            <w:shd w:val="clear" w:color="auto" w:fill="auto"/>
            <w:noWrap/>
            <w:vAlign w:val="bottom"/>
            <w:hideMark/>
          </w:tcPr>
          <w:p w14:paraId="3D015C1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16</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783625A2"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75</w:t>
            </w:r>
          </w:p>
        </w:tc>
        <w:tc>
          <w:tcPr>
            <w:tcW w:w="1027" w:type="dxa"/>
            <w:tcBorders>
              <w:top w:val="single" w:sz="8" w:space="0" w:color="auto"/>
              <w:left w:val="nil"/>
              <w:bottom w:val="single" w:sz="4" w:space="0" w:color="auto"/>
              <w:right w:val="single" w:sz="4" w:space="0" w:color="auto"/>
            </w:tcBorders>
            <w:shd w:val="clear" w:color="auto" w:fill="auto"/>
            <w:noWrap/>
            <w:vAlign w:val="bottom"/>
            <w:hideMark/>
          </w:tcPr>
          <w:p w14:paraId="504EA4C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single" w:sz="8" w:space="0" w:color="auto"/>
              <w:left w:val="nil"/>
              <w:bottom w:val="single" w:sz="4" w:space="0" w:color="auto"/>
              <w:right w:val="single" w:sz="4" w:space="0" w:color="auto"/>
            </w:tcBorders>
            <w:shd w:val="clear" w:color="auto" w:fill="auto"/>
            <w:noWrap/>
            <w:vAlign w:val="bottom"/>
            <w:hideMark/>
          </w:tcPr>
          <w:p w14:paraId="74150424"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56</w:t>
            </w:r>
          </w:p>
        </w:tc>
        <w:tc>
          <w:tcPr>
            <w:tcW w:w="1027" w:type="dxa"/>
            <w:tcBorders>
              <w:top w:val="nil"/>
              <w:left w:val="nil"/>
              <w:bottom w:val="single" w:sz="4" w:space="0" w:color="auto"/>
              <w:right w:val="single" w:sz="4" w:space="0" w:color="auto"/>
            </w:tcBorders>
            <w:shd w:val="clear" w:color="auto" w:fill="auto"/>
            <w:noWrap/>
            <w:vAlign w:val="bottom"/>
            <w:hideMark/>
          </w:tcPr>
          <w:p w14:paraId="654CD7B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93</w:t>
            </w:r>
          </w:p>
        </w:tc>
      </w:tr>
      <w:tr w:rsidR="00C110EF" w:rsidRPr="0062742B" w14:paraId="68C15E8C"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9713271"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66A90D3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08.21.2019</w:t>
            </w:r>
          </w:p>
        </w:tc>
        <w:tc>
          <w:tcPr>
            <w:tcW w:w="887" w:type="dxa"/>
            <w:tcBorders>
              <w:top w:val="nil"/>
              <w:left w:val="nil"/>
              <w:bottom w:val="single" w:sz="4" w:space="0" w:color="auto"/>
              <w:right w:val="single" w:sz="4" w:space="0" w:color="auto"/>
            </w:tcBorders>
            <w:shd w:val="clear" w:color="auto" w:fill="auto"/>
            <w:noWrap/>
            <w:vAlign w:val="bottom"/>
            <w:hideMark/>
          </w:tcPr>
          <w:p w14:paraId="7E6BD91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0A74C584"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88</w:t>
            </w:r>
          </w:p>
        </w:tc>
        <w:tc>
          <w:tcPr>
            <w:tcW w:w="1027" w:type="dxa"/>
            <w:tcBorders>
              <w:top w:val="nil"/>
              <w:left w:val="nil"/>
              <w:bottom w:val="single" w:sz="4" w:space="0" w:color="auto"/>
              <w:right w:val="single" w:sz="4" w:space="0" w:color="auto"/>
            </w:tcBorders>
            <w:shd w:val="clear" w:color="auto" w:fill="auto"/>
            <w:noWrap/>
            <w:vAlign w:val="bottom"/>
            <w:hideMark/>
          </w:tcPr>
          <w:p w14:paraId="3CCA113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98</w:t>
            </w:r>
          </w:p>
        </w:tc>
        <w:tc>
          <w:tcPr>
            <w:tcW w:w="977" w:type="dxa"/>
            <w:tcBorders>
              <w:top w:val="nil"/>
              <w:left w:val="nil"/>
              <w:bottom w:val="single" w:sz="4" w:space="0" w:color="auto"/>
              <w:right w:val="single" w:sz="4" w:space="0" w:color="auto"/>
            </w:tcBorders>
            <w:shd w:val="clear" w:color="auto" w:fill="auto"/>
            <w:noWrap/>
            <w:vAlign w:val="bottom"/>
            <w:hideMark/>
          </w:tcPr>
          <w:p w14:paraId="2F03A15B"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206</w:t>
            </w:r>
          </w:p>
        </w:tc>
        <w:tc>
          <w:tcPr>
            <w:tcW w:w="1027" w:type="dxa"/>
            <w:tcBorders>
              <w:top w:val="nil"/>
              <w:left w:val="nil"/>
              <w:bottom w:val="single" w:sz="4" w:space="0" w:color="auto"/>
              <w:right w:val="single" w:sz="4" w:space="0" w:color="auto"/>
            </w:tcBorders>
            <w:shd w:val="clear" w:color="auto" w:fill="auto"/>
            <w:noWrap/>
            <w:vAlign w:val="bottom"/>
            <w:hideMark/>
          </w:tcPr>
          <w:p w14:paraId="3951FE3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86</w:t>
            </w:r>
          </w:p>
        </w:tc>
      </w:tr>
      <w:tr w:rsidR="00C110EF" w:rsidRPr="0062742B" w14:paraId="1FBC0572"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D5514E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2410897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08.21.2019</w:t>
            </w:r>
          </w:p>
        </w:tc>
        <w:tc>
          <w:tcPr>
            <w:tcW w:w="887" w:type="dxa"/>
            <w:tcBorders>
              <w:top w:val="nil"/>
              <w:left w:val="nil"/>
              <w:bottom w:val="single" w:sz="4" w:space="0" w:color="auto"/>
              <w:right w:val="single" w:sz="4" w:space="0" w:color="auto"/>
            </w:tcBorders>
            <w:shd w:val="clear" w:color="auto" w:fill="auto"/>
            <w:noWrap/>
            <w:vAlign w:val="bottom"/>
            <w:hideMark/>
          </w:tcPr>
          <w:p w14:paraId="2975502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1490A011"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83</w:t>
            </w:r>
          </w:p>
        </w:tc>
        <w:tc>
          <w:tcPr>
            <w:tcW w:w="1027" w:type="dxa"/>
            <w:tcBorders>
              <w:top w:val="nil"/>
              <w:left w:val="nil"/>
              <w:bottom w:val="single" w:sz="4" w:space="0" w:color="auto"/>
              <w:right w:val="single" w:sz="4" w:space="0" w:color="auto"/>
            </w:tcBorders>
            <w:shd w:val="clear" w:color="auto" w:fill="auto"/>
            <w:noWrap/>
            <w:vAlign w:val="bottom"/>
            <w:hideMark/>
          </w:tcPr>
          <w:p w14:paraId="0B5972F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019CF9FA"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18</w:t>
            </w:r>
          </w:p>
        </w:tc>
        <w:tc>
          <w:tcPr>
            <w:tcW w:w="1027" w:type="dxa"/>
            <w:tcBorders>
              <w:top w:val="nil"/>
              <w:left w:val="nil"/>
              <w:bottom w:val="single" w:sz="4" w:space="0" w:color="auto"/>
              <w:right w:val="single" w:sz="4" w:space="0" w:color="auto"/>
            </w:tcBorders>
            <w:shd w:val="clear" w:color="auto" w:fill="auto"/>
            <w:noWrap/>
            <w:vAlign w:val="bottom"/>
            <w:hideMark/>
          </w:tcPr>
          <w:p w14:paraId="7E2EA9C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87</w:t>
            </w:r>
          </w:p>
        </w:tc>
      </w:tr>
      <w:tr w:rsidR="00C110EF" w:rsidRPr="0062742B" w14:paraId="32792892"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0B299B51"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56382F0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08.21.2019</w:t>
            </w:r>
          </w:p>
        </w:tc>
        <w:tc>
          <w:tcPr>
            <w:tcW w:w="887" w:type="dxa"/>
            <w:tcBorders>
              <w:top w:val="nil"/>
              <w:left w:val="nil"/>
              <w:bottom w:val="single" w:sz="4" w:space="0" w:color="auto"/>
              <w:right w:val="single" w:sz="4" w:space="0" w:color="auto"/>
            </w:tcBorders>
            <w:shd w:val="clear" w:color="auto" w:fill="auto"/>
            <w:noWrap/>
            <w:vAlign w:val="bottom"/>
            <w:hideMark/>
          </w:tcPr>
          <w:p w14:paraId="447190D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13</w:t>
            </w:r>
          </w:p>
        </w:tc>
        <w:tc>
          <w:tcPr>
            <w:tcW w:w="1060" w:type="dxa"/>
            <w:tcBorders>
              <w:top w:val="nil"/>
              <w:left w:val="nil"/>
              <w:bottom w:val="single" w:sz="4" w:space="0" w:color="auto"/>
              <w:right w:val="single" w:sz="4" w:space="0" w:color="auto"/>
            </w:tcBorders>
            <w:shd w:val="clear" w:color="auto" w:fill="auto"/>
            <w:noWrap/>
            <w:vAlign w:val="bottom"/>
            <w:hideMark/>
          </w:tcPr>
          <w:p w14:paraId="53CD50E8"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83</w:t>
            </w:r>
          </w:p>
        </w:tc>
        <w:tc>
          <w:tcPr>
            <w:tcW w:w="1027" w:type="dxa"/>
            <w:tcBorders>
              <w:top w:val="nil"/>
              <w:left w:val="nil"/>
              <w:bottom w:val="single" w:sz="4" w:space="0" w:color="auto"/>
              <w:right w:val="single" w:sz="4" w:space="0" w:color="auto"/>
            </w:tcBorders>
            <w:shd w:val="clear" w:color="auto" w:fill="auto"/>
            <w:noWrap/>
            <w:vAlign w:val="bottom"/>
            <w:hideMark/>
          </w:tcPr>
          <w:p w14:paraId="06A5A9D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94</w:t>
            </w:r>
          </w:p>
        </w:tc>
        <w:tc>
          <w:tcPr>
            <w:tcW w:w="977" w:type="dxa"/>
            <w:tcBorders>
              <w:top w:val="nil"/>
              <w:left w:val="nil"/>
              <w:bottom w:val="single" w:sz="4" w:space="0" w:color="auto"/>
              <w:right w:val="single" w:sz="4" w:space="0" w:color="auto"/>
            </w:tcBorders>
            <w:shd w:val="clear" w:color="auto" w:fill="auto"/>
            <w:noWrap/>
            <w:vAlign w:val="bottom"/>
            <w:hideMark/>
          </w:tcPr>
          <w:p w14:paraId="1C71D44F"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99</w:t>
            </w:r>
          </w:p>
        </w:tc>
        <w:tc>
          <w:tcPr>
            <w:tcW w:w="1027" w:type="dxa"/>
            <w:tcBorders>
              <w:top w:val="nil"/>
              <w:left w:val="nil"/>
              <w:bottom w:val="single" w:sz="4" w:space="0" w:color="auto"/>
              <w:right w:val="single" w:sz="4" w:space="0" w:color="auto"/>
            </w:tcBorders>
            <w:shd w:val="clear" w:color="auto" w:fill="auto"/>
            <w:noWrap/>
            <w:vAlign w:val="bottom"/>
            <w:hideMark/>
          </w:tcPr>
          <w:p w14:paraId="55EA927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94</w:t>
            </w:r>
          </w:p>
        </w:tc>
      </w:tr>
      <w:tr w:rsidR="00C110EF" w:rsidRPr="0062742B" w14:paraId="28260279"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6D1642A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Allo</w:t>
            </w:r>
          </w:p>
        </w:tc>
        <w:tc>
          <w:tcPr>
            <w:tcW w:w="1217" w:type="dxa"/>
            <w:tcBorders>
              <w:top w:val="nil"/>
              <w:left w:val="nil"/>
              <w:bottom w:val="single" w:sz="4" w:space="0" w:color="auto"/>
              <w:right w:val="single" w:sz="4" w:space="0" w:color="auto"/>
            </w:tcBorders>
            <w:shd w:val="clear" w:color="auto" w:fill="auto"/>
            <w:noWrap/>
            <w:vAlign w:val="bottom"/>
            <w:hideMark/>
          </w:tcPr>
          <w:p w14:paraId="0A07E3C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08.21.2019</w:t>
            </w:r>
          </w:p>
        </w:tc>
        <w:tc>
          <w:tcPr>
            <w:tcW w:w="887" w:type="dxa"/>
            <w:tcBorders>
              <w:top w:val="nil"/>
              <w:left w:val="nil"/>
              <w:bottom w:val="single" w:sz="4" w:space="0" w:color="auto"/>
              <w:right w:val="single" w:sz="4" w:space="0" w:color="auto"/>
            </w:tcBorders>
            <w:shd w:val="clear" w:color="auto" w:fill="auto"/>
            <w:noWrap/>
            <w:vAlign w:val="bottom"/>
            <w:hideMark/>
          </w:tcPr>
          <w:p w14:paraId="6BBAEEE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14:paraId="7D6D4141"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77</w:t>
            </w:r>
          </w:p>
        </w:tc>
        <w:tc>
          <w:tcPr>
            <w:tcW w:w="1027" w:type="dxa"/>
            <w:tcBorders>
              <w:top w:val="nil"/>
              <w:left w:val="nil"/>
              <w:bottom w:val="single" w:sz="4" w:space="0" w:color="auto"/>
              <w:right w:val="single" w:sz="4" w:space="0" w:color="auto"/>
            </w:tcBorders>
            <w:shd w:val="clear" w:color="auto" w:fill="auto"/>
            <w:noWrap/>
            <w:vAlign w:val="bottom"/>
            <w:hideMark/>
          </w:tcPr>
          <w:p w14:paraId="636D535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7422629A"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19</w:t>
            </w:r>
          </w:p>
        </w:tc>
        <w:tc>
          <w:tcPr>
            <w:tcW w:w="1027" w:type="dxa"/>
            <w:tcBorders>
              <w:top w:val="nil"/>
              <w:left w:val="nil"/>
              <w:bottom w:val="single" w:sz="4" w:space="0" w:color="auto"/>
              <w:right w:val="single" w:sz="4" w:space="0" w:color="auto"/>
            </w:tcBorders>
            <w:shd w:val="clear" w:color="auto" w:fill="auto"/>
            <w:noWrap/>
            <w:vAlign w:val="bottom"/>
            <w:hideMark/>
          </w:tcPr>
          <w:p w14:paraId="662DAAC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92</w:t>
            </w:r>
          </w:p>
        </w:tc>
      </w:tr>
      <w:tr w:rsidR="00C110EF" w:rsidRPr="0062742B" w14:paraId="3743F049"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3E3845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Allo</w:t>
            </w:r>
          </w:p>
        </w:tc>
        <w:tc>
          <w:tcPr>
            <w:tcW w:w="1217" w:type="dxa"/>
            <w:tcBorders>
              <w:top w:val="nil"/>
              <w:left w:val="nil"/>
              <w:bottom w:val="single" w:sz="4" w:space="0" w:color="auto"/>
              <w:right w:val="single" w:sz="4" w:space="0" w:color="auto"/>
            </w:tcBorders>
            <w:shd w:val="clear" w:color="auto" w:fill="auto"/>
            <w:noWrap/>
            <w:vAlign w:val="bottom"/>
            <w:hideMark/>
          </w:tcPr>
          <w:p w14:paraId="0A58A04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01.07.2020</w:t>
            </w:r>
          </w:p>
        </w:tc>
        <w:tc>
          <w:tcPr>
            <w:tcW w:w="887" w:type="dxa"/>
            <w:tcBorders>
              <w:top w:val="nil"/>
              <w:left w:val="nil"/>
              <w:bottom w:val="single" w:sz="4" w:space="0" w:color="auto"/>
              <w:right w:val="single" w:sz="4" w:space="0" w:color="auto"/>
            </w:tcBorders>
            <w:shd w:val="clear" w:color="auto" w:fill="auto"/>
            <w:noWrap/>
            <w:vAlign w:val="bottom"/>
            <w:hideMark/>
          </w:tcPr>
          <w:p w14:paraId="050A614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14:paraId="7A426FDA"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77</w:t>
            </w:r>
          </w:p>
        </w:tc>
        <w:tc>
          <w:tcPr>
            <w:tcW w:w="1027" w:type="dxa"/>
            <w:tcBorders>
              <w:top w:val="nil"/>
              <w:left w:val="nil"/>
              <w:bottom w:val="single" w:sz="4" w:space="0" w:color="auto"/>
              <w:right w:val="single" w:sz="4" w:space="0" w:color="auto"/>
            </w:tcBorders>
            <w:shd w:val="clear" w:color="auto" w:fill="auto"/>
            <w:noWrap/>
            <w:vAlign w:val="bottom"/>
            <w:hideMark/>
          </w:tcPr>
          <w:p w14:paraId="61C9EB9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1A5FE131"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29</w:t>
            </w:r>
          </w:p>
        </w:tc>
        <w:tc>
          <w:tcPr>
            <w:tcW w:w="1027" w:type="dxa"/>
            <w:tcBorders>
              <w:top w:val="nil"/>
              <w:left w:val="nil"/>
              <w:bottom w:val="single" w:sz="4" w:space="0" w:color="auto"/>
              <w:right w:val="single" w:sz="4" w:space="0" w:color="auto"/>
            </w:tcBorders>
            <w:shd w:val="clear" w:color="auto" w:fill="auto"/>
            <w:noWrap/>
            <w:vAlign w:val="bottom"/>
            <w:hideMark/>
          </w:tcPr>
          <w:p w14:paraId="6B4EC66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73</w:t>
            </w:r>
          </w:p>
        </w:tc>
      </w:tr>
      <w:tr w:rsidR="00C110EF" w:rsidRPr="0062742B" w14:paraId="12F26DD6"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465FC75"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lastRenderedPageBreak/>
              <w:t>Auto</w:t>
            </w:r>
          </w:p>
        </w:tc>
        <w:tc>
          <w:tcPr>
            <w:tcW w:w="1217" w:type="dxa"/>
            <w:tcBorders>
              <w:top w:val="nil"/>
              <w:left w:val="nil"/>
              <w:bottom w:val="single" w:sz="4" w:space="0" w:color="auto"/>
              <w:right w:val="single" w:sz="4" w:space="0" w:color="auto"/>
            </w:tcBorders>
            <w:shd w:val="clear" w:color="auto" w:fill="auto"/>
            <w:noWrap/>
            <w:vAlign w:val="bottom"/>
            <w:hideMark/>
          </w:tcPr>
          <w:p w14:paraId="1792E97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01.08.2020</w:t>
            </w:r>
          </w:p>
        </w:tc>
        <w:tc>
          <w:tcPr>
            <w:tcW w:w="887" w:type="dxa"/>
            <w:tcBorders>
              <w:top w:val="nil"/>
              <w:left w:val="nil"/>
              <w:bottom w:val="single" w:sz="4" w:space="0" w:color="auto"/>
              <w:right w:val="single" w:sz="4" w:space="0" w:color="auto"/>
            </w:tcBorders>
            <w:shd w:val="clear" w:color="auto" w:fill="auto"/>
            <w:noWrap/>
            <w:vAlign w:val="bottom"/>
            <w:hideMark/>
          </w:tcPr>
          <w:p w14:paraId="7A13A00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14:paraId="5DEFC513"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75</w:t>
            </w:r>
          </w:p>
        </w:tc>
        <w:tc>
          <w:tcPr>
            <w:tcW w:w="1027" w:type="dxa"/>
            <w:tcBorders>
              <w:top w:val="nil"/>
              <w:left w:val="nil"/>
              <w:bottom w:val="single" w:sz="4" w:space="0" w:color="auto"/>
              <w:right w:val="single" w:sz="4" w:space="0" w:color="auto"/>
            </w:tcBorders>
            <w:shd w:val="clear" w:color="auto" w:fill="auto"/>
            <w:noWrap/>
            <w:vAlign w:val="bottom"/>
            <w:hideMark/>
          </w:tcPr>
          <w:p w14:paraId="5268462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05579D90"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12</w:t>
            </w:r>
          </w:p>
        </w:tc>
        <w:tc>
          <w:tcPr>
            <w:tcW w:w="1027" w:type="dxa"/>
            <w:tcBorders>
              <w:top w:val="nil"/>
              <w:left w:val="nil"/>
              <w:bottom w:val="single" w:sz="4" w:space="0" w:color="auto"/>
              <w:right w:val="single" w:sz="4" w:space="0" w:color="auto"/>
            </w:tcBorders>
            <w:shd w:val="clear" w:color="auto" w:fill="auto"/>
            <w:noWrap/>
            <w:vAlign w:val="bottom"/>
            <w:hideMark/>
          </w:tcPr>
          <w:p w14:paraId="0D443F8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77</w:t>
            </w:r>
          </w:p>
        </w:tc>
      </w:tr>
      <w:tr w:rsidR="00C110EF" w:rsidRPr="0062742B" w14:paraId="056DF564"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796C6BD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4F72847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01.07.2020</w:t>
            </w:r>
          </w:p>
        </w:tc>
        <w:tc>
          <w:tcPr>
            <w:tcW w:w="887" w:type="dxa"/>
            <w:tcBorders>
              <w:top w:val="nil"/>
              <w:left w:val="nil"/>
              <w:bottom w:val="single" w:sz="4" w:space="0" w:color="auto"/>
              <w:right w:val="single" w:sz="4" w:space="0" w:color="auto"/>
            </w:tcBorders>
            <w:shd w:val="clear" w:color="auto" w:fill="auto"/>
            <w:noWrap/>
            <w:vAlign w:val="bottom"/>
            <w:hideMark/>
          </w:tcPr>
          <w:p w14:paraId="775126F1"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14:paraId="7F4FD798"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76</w:t>
            </w:r>
          </w:p>
        </w:tc>
        <w:tc>
          <w:tcPr>
            <w:tcW w:w="1027" w:type="dxa"/>
            <w:tcBorders>
              <w:top w:val="nil"/>
              <w:left w:val="nil"/>
              <w:bottom w:val="single" w:sz="4" w:space="0" w:color="auto"/>
              <w:right w:val="single" w:sz="4" w:space="0" w:color="auto"/>
            </w:tcBorders>
            <w:shd w:val="clear" w:color="auto" w:fill="auto"/>
            <w:noWrap/>
            <w:vAlign w:val="bottom"/>
            <w:hideMark/>
          </w:tcPr>
          <w:p w14:paraId="350EDFB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16A99FA4"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107</w:t>
            </w:r>
          </w:p>
        </w:tc>
        <w:tc>
          <w:tcPr>
            <w:tcW w:w="1027" w:type="dxa"/>
            <w:tcBorders>
              <w:top w:val="nil"/>
              <w:left w:val="nil"/>
              <w:bottom w:val="single" w:sz="4" w:space="0" w:color="auto"/>
              <w:right w:val="single" w:sz="4" w:space="0" w:color="auto"/>
            </w:tcBorders>
            <w:shd w:val="clear" w:color="auto" w:fill="auto"/>
            <w:noWrap/>
            <w:vAlign w:val="bottom"/>
            <w:hideMark/>
          </w:tcPr>
          <w:p w14:paraId="045E0B7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66</w:t>
            </w:r>
          </w:p>
        </w:tc>
      </w:tr>
      <w:tr w:rsidR="00C110EF" w:rsidRPr="0062742B" w14:paraId="01FC2462"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666BBA8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4DE04FB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01.08.2020</w:t>
            </w:r>
          </w:p>
        </w:tc>
        <w:tc>
          <w:tcPr>
            <w:tcW w:w="887" w:type="dxa"/>
            <w:tcBorders>
              <w:top w:val="nil"/>
              <w:left w:val="nil"/>
              <w:bottom w:val="single" w:sz="4" w:space="0" w:color="auto"/>
              <w:right w:val="single" w:sz="4" w:space="0" w:color="auto"/>
            </w:tcBorders>
            <w:shd w:val="clear" w:color="auto" w:fill="auto"/>
            <w:noWrap/>
            <w:vAlign w:val="bottom"/>
            <w:hideMark/>
          </w:tcPr>
          <w:p w14:paraId="315E3A6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06F359FD"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64</w:t>
            </w:r>
          </w:p>
        </w:tc>
        <w:tc>
          <w:tcPr>
            <w:tcW w:w="1027" w:type="dxa"/>
            <w:tcBorders>
              <w:top w:val="nil"/>
              <w:left w:val="nil"/>
              <w:bottom w:val="single" w:sz="4" w:space="0" w:color="auto"/>
              <w:right w:val="single" w:sz="4" w:space="0" w:color="auto"/>
            </w:tcBorders>
            <w:shd w:val="clear" w:color="auto" w:fill="auto"/>
            <w:noWrap/>
            <w:vAlign w:val="bottom"/>
            <w:hideMark/>
          </w:tcPr>
          <w:p w14:paraId="40CFE6D9"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02D7E58F"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43</w:t>
            </w:r>
          </w:p>
        </w:tc>
        <w:tc>
          <w:tcPr>
            <w:tcW w:w="1027" w:type="dxa"/>
            <w:tcBorders>
              <w:top w:val="nil"/>
              <w:left w:val="nil"/>
              <w:bottom w:val="single" w:sz="4" w:space="0" w:color="auto"/>
              <w:right w:val="single" w:sz="4" w:space="0" w:color="auto"/>
            </w:tcBorders>
            <w:shd w:val="clear" w:color="auto" w:fill="auto"/>
            <w:noWrap/>
            <w:vAlign w:val="bottom"/>
            <w:hideMark/>
          </w:tcPr>
          <w:p w14:paraId="2F8E407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52</w:t>
            </w:r>
          </w:p>
        </w:tc>
      </w:tr>
      <w:tr w:rsidR="00C110EF" w:rsidRPr="0062742B" w14:paraId="77BF82A8" w14:textId="77777777" w:rsidTr="00BA0C5B">
        <w:trPr>
          <w:trHeight w:val="259"/>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10C63A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13588D7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01.07.2020</w:t>
            </w:r>
          </w:p>
        </w:tc>
        <w:tc>
          <w:tcPr>
            <w:tcW w:w="887" w:type="dxa"/>
            <w:tcBorders>
              <w:top w:val="nil"/>
              <w:left w:val="nil"/>
              <w:bottom w:val="single" w:sz="4" w:space="0" w:color="auto"/>
              <w:right w:val="single" w:sz="4" w:space="0" w:color="auto"/>
            </w:tcBorders>
            <w:shd w:val="clear" w:color="auto" w:fill="auto"/>
            <w:noWrap/>
            <w:vAlign w:val="bottom"/>
            <w:hideMark/>
          </w:tcPr>
          <w:p w14:paraId="4736C4E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14:paraId="1B2C82C6"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70</w:t>
            </w:r>
          </w:p>
        </w:tc>
        <w:tc>
          <w:tcPr>
            <w:tcW w:w="1027" w:type="dxa"/>
            <w:tcBorders>
              <w:top w:val="nil"/>
              <w:left w:val="nil"/>
              <w:bottom w:val="single" w:sz="4" w:space="0" w:color="auto"/>
              <w:right w:val="single" w:sz="4" w:space="0" w:color="auto"/>
            </w:tcBorders>
            <w:shd w:val="clear" w:color="auto" w:fill="auto"/>
            <w:noWrap/>
            <w:vAlign w:val="bottom"/>
            <w:hideMark/>
          </w:tcPr>
          <w:p w14:paraId="15A1A9E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77</w:t>
            </w:r>
          </w:p>
        </w:tc>
        <w:tc>
          <w:tcPr>
            <w:tcW w:w="977" w:type="dxa"/>
            <w:tcBorders>
              <w:top w:val="nil"/>
              <w:left w:val="nil"/>
              <w:bottom w:val="single" w:sz="4" w:space="0" w:color="auto"/>
              <w:right w:val="single" w:sz="4" w:space="0" w:color="auto"/>
            </w:tcBorders>
            <w:shd w:val="clear" w:color="auto" w:fill="auto"/>
            <w:noWrap/>
            <w:vAlign w:val="bottom"/>
            <w:hideMark/>
          </w:tcPr>
          <w:p w14:paraId="75FF6000"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14</w:t>
            </w:r>
          </w:p>
        </w:tc>
        <w:tc>
          <w:tcPr>
            <w:tcW w:w="1027" w:type="dxa"/>
            <w:tcBorders>
              <w:top w:val="nil"/>
              <w:left w:val="nil"/>
              <w:bottom w:val="single" w:sz="4" w:space="0" w:color="auto"/>
              <w:right w:val="single" w:sz="4" w:space="0" w:color="auto"/>
            </w:tcBorders>
            <w:shd w:val="clear" w:color="auto" w:fill="auto"/>
            <w:noWrap/>
            <w:vAlign w:val="bottom"/>
            <w:hideMark/>
          </w:tcPr>
          <w:p w14:paraId="6112C779"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56</w:t>
            </w:r>
          </w:p>
        </w:tc>
      </w:tr>
      <w:tr w:rsidR="00C110EF" w:rsidRPr="0062742B" w14:paraId="3F1500C3"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4F83F55"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Allo</w:t>
            </w:r>
          </w:p>
        </w:tc>
        <w:tc>
          <w:tcPr>
            <w:tcW w:w="1217" w:type="dxa"/>
            <w:tcBorders>
              <w:top w:val="nil"/>
              <w:left w:val="nil"/>
              <w:bottom w:val="single" w:sz="4" w:space="0" w:color="auto"/>
              <w:right w:val="single" w:sz="4" w:space="0" w:color="auto"/>
            </w:tcBorders>
            <w:shd w:val="clear" w:color="auto" w:fill="auto"/>
            <w:noWrap/>
            <w:vAlign w:val="bottom"/>
            <w:hideMark/>
          </w:tcPr>
          <w:p w14:paraId="62A2587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4/9/2021</w:t>
            </w:r>
          </w:p>
        </w:tc>
        <w:tc>
          <w:tcPr>
            <w:tcW w:w="887" w:type="dxa"/>
            <w:tcBorders>
              <w:top w:val="nil"/>
              <w:left w:val="nil"/>
              <w:bottom w:val="single" w:sz="4" w:space="0" w:color="auto"/>
              <w:right w:val="single" w:sz="4" w:space="0" w:color="auto"/>
            </w:tcBorders>
            <w:shd w:val="clear" w:color="auto" w:fill="auto"/>
            <w:noWrap/>
            <w:vAlign w:val="bottom"/>
            <w:hideMark/>
          </w:tcPr>
          <w:p w14:paraId="092812F1"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616B4EE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68</w:t>
            </w:r>
          </w:p>
        </w:tc>
        <w:tc>
          <w:tcPr>
            <w:tcW w:w="1027" w:type="dxa"/>
            <w:tcBorders>
              <w:top w:val="nil"/>
              <w:left w:val="nil"/>
              <w:bottom w:val="single" w:sz="4" w:space="0" w:color="auto"/>
              <w:right w:val="single" w:sz="4" w:space="0" w:color="auto"/>
            </w:tcBorders>
            <w:shd w:val="clear" w:color="auto" w:fill="auto"/>
            <w:noWrap/>
            <w:vAlign w:val="bottom"/>
            <w:hideMark/>
          </w:tcPr>
          <w:p w14:paraId="6CBE422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59FD2E15"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8</w:t>
            </w:r>
          </w:p>
        </w:tc>
        <w:tc>
          <w:tcPr>
            <w:tcW w:w="1027" w:type="dxa"/>
            <w:tcBorders>
              <w:top w:val="nil"/>
              <w:left w:val="nil"/>
              <w:bottom w:val="single" w:sz="4" w:space="0" w:color="auto"/>
              <w:right w:val="single" w:sz="4" w:space="0" w:color="auto"/>
            </w:tcBorders>
            <w:shd w:val="clear" w:color="auto" w:fill="auto"/>
            <w:noWrap/>
            <w:vAlign w:val="bottom"/>
            <w:hideMark/>
          </w:tcPr>
          <w:p w14:paraId="60DDB9F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104</w:t>
            </w:r>
          </w:p>
        </w:tc>
      </w:tr>
      <w:tr w:rsidR="00C110EF" w:rsidRPr="0062742B" w14:paraId="087A7865"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3CB1CC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421C7D6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4/9/2021</w:t>
            </w:r>
          </w:p>
        </w:tc>
        <w:tc>
          <w:tcPr>
            <w:tcW w:w="887" w:type="dxa"/>
            <w:tcBorders>
              <w:top w:val="nil"/>
              <w:left w:val="nil"/>
              <w:bottom w:val="single" w:sz="4" w:space="0" w:color="auto"/>
              <w:right w:val="single" w:sz="4" w:space="0" w:color="auto"/>
            </w:tcBorders>
            <w:shd w:val="clear" w:color="auto" w:fill="auto"/>
            <w:noWrap/>
            <w:vAlign w:val="bottom"/>
            <w:hideMark/>
          </w:tcPr>
          <w:p w14:paraId="5A0484B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15</w:t>
            </w:r>
          </w:p>
        </w:tc>
        <w:tc>
          <w:tcPr>
            <w:tcW w:w="1060" w:type="dxa"/>
            <w:tcBorders>
              <w:top w:val="nil"/>
              <w:left w:val="nil"/>
              <w:bottom w:val="single" w:sz="4" w:space="0" w:color="auto"/>
              <w:right w:val="single" w:sz="4" w:space="0" w:color="auto"/>
            </w:tcBorders>
            <w:shd w:val="clear" w:color="auto" w:fill="auto"/>
            <w:noWrap/>
            <w:vAlign w:val="bottom"/>
            <w:hideMark/>
          </w:tcPr>
          <w:p w14:paraId="7A64D45E"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86</w:t>
            </w:r>
          </w:p>
        </w:tc>
        <w:tc>
          <w:tcPr>
            <w:tcW w:w="1027" w:type="dxa"/>
            <w:tcBorders>
              <w:top w:val="nil"/>
              <w:left w:val="nil"/>
              <w:bottom w:val="single" w:sz="4" w:space="0" w:color="auto"/>
              <w:right w:val="single" w:sz="4" w:space="0" w:color="auto"/>
            </w:tcBorders>
            <w:shd w:val="clear" w:color="auto" w:fill="auto"/>
            <w:noWrap/>
            <w:vAlign w:val="bottom"/>
            <w:hideMark/>
          </w:tcPr>
          <w:p w14:paraId="0934239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3045509C"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14</w:t>
            </w:r>
          </w:p>
        </w:tc>
        <w:tc>
          <w:tcPr>
            <w:tcW w:w="1027" w:type="dxa"/>
            <w:tcBorders>
              <w:top w:val="nil"/>
              <w:left w:val="nil"/>
              <w:bottom w:val="single" w:sz="4" w:space="0" w:color="auto"/>
              <w:right w:val="single" w:sz="4" w:space="0" w:color="auto"/>
            </w:tcBorders>
            <w:shd w:val="clear" w:color="auto" w:fill="auto"/>
            <w:noWrap/>
            <w:vAlign w:val="bottom"/>
            <w:hideMark/>
          </w:tcPr>
          <w:p w14:paraId="6E324FD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98</w:t>
            </w:r>
          </w:p>
        </w:tc>
      </w:tr>
      <w:tr w:rsidR="00C110EF" w:rsidRPr="0062742B" w14:paraId="486AA3B2"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D6981B9"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33A2778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4/9/2021</w:t>
            </w:r>
          </w:p>
        </w:tc>
        <w:tc>
          <w:tcPr>
            <w:tcW w:w="887" w:type="dxa"/>
            <w:tcBorders>
              <w:top w:val="nil"/>
              <w:left w:val="nil"/>
              <w:bottom w:val="single" w:sz="4" w:space="0" w:color="auto"/>
              <w:right w:val="single" w:sz="4" w:space="0" w:color="auto"/>
            </w:tcBorders>
            <w:shd w:val="clear" w:color="auto" w:fill="auto"/>
            <w:noWrap/>
            <w:vAlign w:val="bottom"/>
            <w:hideMark/>
          </w:tcPr>
          <w:p w14:paraId="7AD0C11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15</w:t>
            </w:r>
          </w:p>
        </w:tc>
        <w:tc>
          <w:tcPr>
            <w:tcW w:w="1060" w:type="dxa"/>
            <w:tcBorders>
              <w:top w:val="nil"/>
              <w:left w:val="nil"/>
              <w:bottom w:val="single" w:sz="4" w:space="0" w:color="auto"/>
              <w:right w:val="single" w:sz="4" w:space="0" w:color="auto"/>
            </w:tcBorders>
            <w:shd w:val="clear" w:color="auto" w:fill="auto"/>
            <w:noWrap/>
            <w:vAlign w:val="bottom"/>
            <w:hideMark/>
          </w:tcPr>
          <w:p w14:paraId="358CBF5D"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83</w:t>
            </w:r>
          </w:p>
        </w:tc>
        <w:tc>
          <w:tcPr>
            <w:tcW w:w="1027" w:type="dxa"/>
            <w:tcBorders>
              <w:top w:val="nil"/>
              <w:left w:val="nil"/>
              <w:bottom w:val="single" w:sz="4" w:space="0" w:color="auto"/>
              <w:right w:val="single" w:sz="4" w:space="0" w:color="auto"/>
            </w:tcBorders>
            <w:shd w:val="clear" w:color="auto" w:fill="auto"/>
            <w:noWrap/>
            <w:vAlign w:val="bottom"/>
            <w:hideMark/>
          </w:tcPr>
          <w:p w14:paraId="7396202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615D9D43" w14:textId="77777777" w:rsidR="00C110EF" w:rsidRPr="0062742B" w:rsidRDefault="00C110EF" w:rsidP="00C91CAC">
            <w:pPr>
              <w:spacing w:after="0" w:line="240" w:lineRule="auto"/>
              <w:jc w:val="center"/>
              <w:rPr>
                <w:rFonts w:ascii="Arial" w:eastAsia="Times New Roman" w:hAnsi="Arial" w:cs="Arial"/>
                <w:color w:val="000000"/>
                <w:sz w:val="20"/>
                <w:szCs w:val="20"/>
              </w:rPr>
            </w:pPr>
            <w:r w:rsidRPr="0062742B">
              <w:rPr>
                <w:rFonts w:ascii="Arial" w:eastAsia="Times New Roman" w:hAnsi="Arial" w:cs="Arial"/>
                <w:color w:val="000000"/>
                <w:sz w:val="20"/>
                <w:szCs w:val="20"/>
              </w:rPr>
              <w:t>306</w:t>
            </w:r>
          </w:p>
        </w:tc>
        <w:tc>
          <w:tcPr>
            <w:tcW w:w="1027" w:type="dxa"/>
            <w:tcBorders>
              <w:top w:val="nil"/>
              <w:left w:val="nil"/>
              <w:bottom w:val="single" w:sz="4" w:space="0" w:color="auto"/>
              <w:right w:val="single" w:sz="4" w:space="0" w:color="auto"/>
            </w:tcBorders>
            <w:shd w:val="clear" w:color="auto" w:fill="auto"/>
            <w:noWrap/>
            <w:vAlign w:val="bottom"/>
            <w:hideMark/>
          </w:tcPr>
          <w:p w14:paraId="5F670CA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88</w:t>
            </w:r>
          </w:p>
        </w:tc>
      </w:tr>
      <w:tr w:rsidR="00C110EF" w:rsidRPr="0062742B" w14:paraId="2328EFF8" w14:textId="77777777" w:rsidTr="00BA0C5B">
        <w:trPr>
          <w:trHeight w:val="255"/>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E16C6B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0AD25FA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10/26/2021</w:t>
            </w:r>
          </w:p>
        </w:tc>
        <w:tc>
          <w:tcPr>
            <w:tcW w:w="887" w:type="dxa"/>
            <w:tcBorders>
              <w:top w:val="nil"/>
              <w:left w:val="nil"/>
              <w:bottom w:val="single" w:sz="4" w:space="0" w:color="auto"/>
              <w:right w:val="single" w:sz="4" w:space="0" w:color="auto"/>
            </w:tcBorders>
            <w:shd w:val="clear" w:color="auto" w:fill="auto"/>
            <w:noWrap/>
            <w:vAlign w:val="bottom"/>
            <w:hideMark/>
          </w:tcPr>
          <w:p w14:paraId="43AB74B6"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15</w:t>
            </w:r>
          </w:p>
        </w:tc>
        <w:tc>
          <w:tcPr>
            <w:tcW w:w="1060" w:type="dxa"/>
            <w:tcBorders>
              <w:top w:val="nil"/>
              <w:left w:val="nil"/>
              <w:bottom w:val="single" w:sz="4" w:space="0" w:color="auto"/>
              <w:right w:val="single" w:sz="4" w:space="0" w:color="auto"/>
            </w:tcBorders>
            <w:shd w:val="clear" w:color="auto" w:fill="auto"/>
            <w:noWrap/>
            <w:vAlign w:val="bottom"/>
            <w:hideMark/>
          </w:tcPr>
          <w:p w14:paraId="23A9401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80</w:t>
            </w:r>
          </w:p>
        </w:tc>
        <w:tc>
          <w:tcPr>
            <w:tcW w:w="1027" w:type="dxa"/>
            <w:tcBorders>
              <w:top w:val="nil"/>
              <w:left w:val="nil"/>
              <w:bottom w:val="single" w:sz="4" w:space="0" w:color="auto"/>
              <w:right w:val="single" w:sz="4" w:space="0" w:color="auto"/>
            </w:tcBorders>
            <w:shd w:val="clear" w:color="auto" w:fill="auto"/>
            <w:noWrap/>
            <w:vAlign w:val="bottom"/>
            <w:hideMark/>
          </w:tcPr>
          <w:p w14:paraId="2F0B666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636446E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59</w:t>
            </w:r>
          </w:p>
        </w:tc>
        <w:tc>
          <w:tcPr>
            <w:tcW w:w="1027" w:type="dxa"/>
            <w:tcBorders>
              <w:top w:val="nil"/>
              <w:left w:val="nil"/>
              <w:bottom w:val="single" w:sz="4" w:space="0" w:color="auto"/>
              <w:right w:val="single" w:sz="4" w:space="0" w:color="auto"/>
            </w:tcBorders>
            <w:shd w:val="clear" w:color="auto" w:fill="auto"/>
            <w:noWrap/>
            <w:vAlign w:val="bottom"/>
            <w:hideMark/>
          </w:tcPr>
          <w:p w14:paraId="1901ACD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75</w:t>
            </w:r>
          </w:p>
        </w:tc>
      </w:tr>
      <w:tr w:rsidR="00C110EF" w:rsidRPr="0062742B" w14:paraId="64D07E2E" w14:textId="77777777" w:rsidTr="00BA0C5B">
        <w:trPr>
          <w:trHeight w:val="27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748AC01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nil"/>
              <w:left w:val="nil"/>
              <w:bottom w:val="single" w:sz="4" w:space="0" w:color="auto"/>
              <w:right w:val="single" w:sz="4" w:space="0" w:color="auto"/>
            </w:tcBorders>
            <w:shd w:val="clear" w:color="auto" w:fill="auto"/>
            <w:noWrap/>
            <w:vAlign w:val="bottom"/>
            <w:hideMark/>
          </w:tcPr>
          <w:p w14:paraId="09F7A7F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10/26/2021</w:t>
            </w:r>
          </w:p>
        </w:tc>
        <w:tc>
          <w:tcPr>
            <w:tcW w:w="887" w:type="dxa"/>
            <w:tcBorders>
              <w:top w:val="nil"/>
              <w:left w:val="nil"/>
              <w:bottom w:val="single" w:sz="4" w:space="0" w:color="auto"/>
              <w:right w:val="single" w:sz="4" w:space="0" w:color="auto"/>
            </w:tcBorders>
            <w:shd w:val="clear" w:color="auto" w:fill="auto"/>
            <w:noWrap/>
            <w:vAlign w:val="bottom"/>
            <w:hideMark/>
          </w:tcPr>
          <w:p w14:paraId="7CF298F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18</w:t>
            </w:r>
          </w:p>
        </w:tc>
        <w:tc>
          <w:tcPr>
            <w:tcW w:w="1060" w:type="dxa"/>
            <w:tcBorders>
              <w:top w:val="nil"/>
              <w:left w:val="nil"/>
              <w:bottom w:val="single" w:sz="4" w:space="0" w:color="auto"/>
              <w:right w:val="single" w:sz="4" w:space="0" w:color="auto"/>
            </w:tcBorders>
            <w:shd w:val="clear" w:color="auto" w:fill="auto"/>
            <w:noWrap/>
            <w:vAlign w:val="bottom"/>
            <w:hideMark/>
          </w:tcPr>
          <w:p w14:paraId="01E2784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84</w:t>
            </w:r>
          </w:p>
        </w:tc>
        <w:tc>
          <w:tcPr>
            <w:tcW w:w="1027" w:type="dxa"/>
            <w:tcBorders>
              <w:top w:val="nil"/>
              <w:left w:val="nil"/>
              <w:bottom w:val="single" w:sz="4" w:space="0" w:color="auto"/>
              <w:right w:val="single" w:sz="4" w:space="0" w:color="auto"/>
            </w:tcBorders>
            <w:shd w:val="clear" w:color="auto" w:fill="auto"/>
            <w:noWrap/>
            <w:vAlign w:val="bottom"/>
            <w:hideMark/>
          </w:tcPr>
          <w:p w14:paraId="682DC32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nil"/>
              <w:left w:val="nil"/>
              <w:bottom w:val="single" w:sz="4" w:space="0" w:color="auto"/>
              <w:right w:val="single" w:sz="4" w:space="0" w:color="auto"/>
            </w:tcBorders>
            <w:shd w:val="clear" w:color="auto" w:fill="auto"/>
            <w:noWrap/>
            <w:vAlign w:val="bottom"/>
            <w:hideMark/>
          </w:tcPr>
          <w:p w14:paraId="3EA50E0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62</w:t>
            </w:r>
          </w:p>
        </w:tc>
        <w:tc>
          <w:tcPr>
            <w:tcW w:w="1027" w:type="dxa"/>
            <w:tcBorders>
              <w:top w:val="nil"/>
              <w:left w:val="nil"/>
              <w:bottom w:val="single" w:sz="4" w:space="0" w:color="auto"/>
              <w:right w:val="single" w:sz="4" w:space="0" w:color="auto"/>
            </w:tcBorders>
            <w:shd w:val="clear" w:color="auto" w:fill="auto"/>
            <w:noWrap/>
            <w:vAlign w:val="bottom"/>
            <w:hideMark/>
          </w:tcPr>
          <w:p w14:paraId="5D1734D9"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83</w:t>
            </w:r>
          </w:p>
        </w:tc>
      </w:tr>
      <w:tr w:rsidR="00C110EF" w:rsidRPr="0062742B" w14:paraId="43578DED" w14:textId="77777777" w:rsidTr="00BA0C5B">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E3C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C6E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3/10/2022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F465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718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568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B81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152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FC4F5"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81</w:t>
            </w:r>
          </w:p>
        </w:tc>
      </w:tr>
      <w:tr w:rsidR="00C110EF" w:rsidRPr="0062742B" w14:paraId="4F374D4E" w14:textId="77777777" w:rsidTr="00BA0C5B">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8AF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5B8D"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3/10/2022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10CF"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58DD9"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F7D9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2202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205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8ACF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86</w:t>
            </w:r>
          </w:p>
        </w:tc>
      </w:tr>
      <w:tr w:rsidR="00C110EF" w:rsidRPr="0062742B" w14:paraId="0D74147D" w14:textId="77777777" w:rsidTr="00BA0C5B">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90E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Allo</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2F5B"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3/10/2022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763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04895"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75F7"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45B2"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83A5"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98</w:t>
            </w:r>
          </w:p>
        </w:tc>
      </w:tr>
      <w:tr w:rsidR="00C110EF" w:rsidRPr="0062742B" w14:paraId="405286EE" w14:textId="77777777" w:rsidTr="00BA0C5B">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C0F9"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1E7D3"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9/13/2022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75B8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F828"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D865"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6791"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0D74"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101</w:t>
            </w:r>
          </w:p>
        </w:tc>
      </w:tr>
      <w:tr w:rsidR="00C110EF" w:rsidRPr="0062742B" w14:paraId="5EFC792F" w14:textId="77777777" w:rsidTr="00BA0C5B">
        <w:trPr>
          <w:trHeight w:val="27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3021"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Auto</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2966" w14:textId="77777777" w:rsidR="00C110EF" w:rsidRPr="0062742B" w:rsidRDefault="00C110EF" w:rsidP="00C91CAC">
            <w:pPr>
              <w:spacing w:after="0" w:line="240" w:lineRule="auto"/>
              <w:jc w:val="right"/>
              <w:rPr>
                <w:rFonts w:ascii="Arial" w:eastAsia="Times New Roman" w:hAnsi="Arial" w:cs="Arial"/>
                <w:sz w:val="20"/>
                <w:szCs w:val="20"/>
              </w:rPr>
            </w:pPr>
            <w:r w:rsidRPr="0062742B">
              <w:rPr>
                <w:rFonts w:ascii="Arial" w:eastAsia="Times New Roman" w:hAnsi="Arial" w:cs="Arial"/>
                <w:sz w:val="20"/>
                <w:szCs w:val="20"/>
              </w:rPr>
              <w:t>9/13/2022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E58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493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F4DC"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7E00"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BD4A" w14:textId="77777777" w:rsidR="00C110EF" w:rsidRPr="0062742B" w:rsidRDefault="00C110EF" w:rsidP="00C91CAC">
            <w:pPr>
              <w:spacing w:after="0" w:line="240" w:lineRule="auto"/>
              <w:jc w:val="center"/>
              <w:rPr>
                <w:rFonts w:ascii="Arial" w:eastAsia="Times New Roman" w:hAnsi="Arial" w:cs="Arial"/>
                <w:sz w:val="20"/>
                <w:szCs w:val="20"/>
              </w:rPr>
            </w:pPr>
            <w:r w:rsidRPr="0062742B">
              <w:rPr>
                <w:rFonts w:ascii="Arial" w:eastAsia="Times New Roman" w:hAnsi="Arial" w:cs="Arial"/>
                <w:sz w:val="20"/>
                <w:szCs w:val="20"/>
              </w:rPr>
              <w:t>80</w:t>
            </w:r>
          </w:p>
        </w:tc>
      </w:tr>
    </w:tbl>
    <w:p w14:paraId="6F51565F" w14:textId="77777777" w:rsidR="00C110EF" w:rsidRDefault="00C110EF" w:rsidP="00BA4B5A">
      <w:pPr>
        <w:spacing w:after="0" w:line="240" w:lineRule="auto"/>
        <w:jc w:val="both"/>
        <w:rPr>
          <w:rFonts w:ascii="Arial" w:hAnsi="Arial" w:cs="Arial"/>
        </w:rPr>
      </w:pPr>
    </w:p>
    <w:p w14:paraId="17F97E18" w14:textId="77777777" w:rsidR="00C110EF" w:rsidRDefault="00C110EF" w:rsidP="00BA4B5A">
      <w:pPr>
        <w:spacing w:after="0" w:line="240" w:lineRule="auto"/>
        <w:jc w:val="both"/>
        <w:rPr>
          <w:rFonts w:ascii="Arial" w:hAnsi="Arial" w:cs="Arial"/>
        </w:rPr>
      </w:pPr>
    </w:p>
    <w:p w14:paraId="50B39734" w14:textId="759D00B9" w:rsidR="00A91216" w:rsidRDefault="00C94AFC" w:rsidP="00BA4B5A">
      <w:pPr>
        <w:spacing w:after="0" w:line="240" w:lineRule="auto"/>
        <w:jc w:val="both"/>
        <w:rPr>
          <w:rFonts w:ascii="Arial" w:hAnsi="Arial" w:cs="Arial"/>
        </w:rPr>
      </w:pPr>
      <w:r>
        <w:rPr>
          <w:rFonts w:ascii="Arial" w:hAnsi="Arial" w:cs="Arial"/>
        </w:rPr>
        <w:t>One CD34-enriched product was cryopreserved and thawed for infusion in the past year. The product was cryopreserved on 12/7/2024 and thawed and infused on 12/21/2023. That product had a post-thaw viability of 72%. This product will be cryopreserved for approximately one week.</w:t>
      </w:r>
      <w:r w:rsidR="005D3E83">
        <w:rPr>
          <w:rFonts w:ascii="Arial" w:hAnsi="Arial" w:cs="Arial"/>
        </w:rPr>
        <w:t xml:space="preserve"> Results are calculated based on reported populations determined by flow cytometry.</w:t>
      </w:r>
    </w:p>
    <w:p w14:paraId="2331BF8E" w14:textId="468E7849" w:rsidR="00C110EF" w:rsidRDefault="00C110EF" w:rsidP="00BA4B5A">
      <w:pPr>
        <w:spacing w:after="0" w:line="240" w:lineRule="auto"/>
        <w:jc w:val="both"/>
        <w:rPr>
          <w:rFonts w:ascii="Arial" w:hAnsi="Arial" w:cs="Arial"/>
        </w:rPr>
      </w:pPr>
    </w:p>
    <w:p w14:paraId="62A97038" w14:textId="2DA01609" w:rsidR="00C110EF" w:rsidRDefault="00C110EF" w:rsidP="00BA4B5A">
      <w:pPr>
        <w:spacing w:after="0" w:line="240" w:lineRule="auto"/>
        <w:jc w:val="both"/>
        <w:rPr>
          <w:rFonts w:ascii="Arial" w:hAnsi="Arial" w:cs="Arial"/>
        </w:rPr>
      </w:pPr>
      <w:r>
        <w:rPr>
          <w:rFonts w:ascii="Arial" w:hAnsi="Arial" w:cs="Arial"/>
        </w:rPr>
        <w:t xml:space="preserve">The viability of this product will be determined using cells remaining in the product bag after the infusion is completed. </w:t>
      </w:r>
      <w:r w:rsidR="008E2E60">
        <w:rPr>
          <w:rFonts w:ascii="Arial" w:hAnsi="Arial" w:cs="Arial"/>
        </w:rPr>
        <w:t xml:space="preserve">This analysis will be a post-thaw cell characterization including the cell number and viability to support the stability of the cells from TCR alpha/beta and CD19 depletion. This data will be submitted as a future amendment to the study. </w:t>
      </w:r>
    </w:p>
    <w:p w14:paraId="113C5D1C" w14:textId="3857D042" w:rsidR="00A91216" w:rsidRPr="00A91216" w:rsidRDefault="00A91216" w:rsidP="005954F7">
      <w:pPr>
        <w:spacing w:after="0" w:line="240" w:lineRule="auto"/>
        <w:jc w:val="center"/>
        <w:rPr>
          <w:rFonts w:ascii="Arial" w:hAnsi="Arial" w:cs="Arial"/>
          <w:b/>
          <w:bCs/>
        </w:rPr>
      </w:pPr>
    </w:p>
    <w:p w14:paraId="24FB19DC" w14:textId="77777777" w:rsidR="005D3E83" w:rsidRPr="00D11C74" w:rsidRDefault="003B510A" w:rsidP="00BA4B5A">
      <w:pPr>
        <w:spacing w:after="0" w:line="240" w:lineRule="auto"/>
        <w:jc w:val="both"/>
        <w:rPr>
          <w:rFonts w:ascii="Arial" w:hAnsi="Arial" w:cs="Arial"/>
        </w:rPr>
      </w:pPr>
      <w:r w:rsidRPr="00D11C74">
        <w:rPr>
          <w:rFonts w:ascii="Arial" w:hAnsi="Arial" w:cs="Arial"/>
        </w:rPr>
        <w:tab/>
      </w:r>
      <w:r w:rsidRPr="00D11C74">
        <w:rPr>
          <w:rFonts w:ascii="Arial" w:hAnsi="Arial" w:cs="Arial"/>
        </w:rPr>
        <w:tab/>
      </w:r>
    </w:p>
    <w:p w14:paraId="50B4800B" w14:textId="1BDD3C23" w:rsidR="006A4992" w:rsidRPr="0085422A" w:rsidRDefault="006A4992" w:rsidP="00BA4B5A">
      <w:pPr>
        <w:pStyle w:val="Heading2"/>
        <w:spacing w:after="0" w:line="240" w:lineRule="auto"/>
        <w:jc w:val="both"/>
        <w:rPr>
          <w:rFonts w:ascii="Arial" w:hAnsi="Arial" w:cs="Arial"/>
          <w:i w:val="0"/>
          <w:iCs w:val="0"/>
        </w:rPr>
      </w:pPr>
    </w:p>
    <w:p w14:paraId="373B7E23" w14:textId="32C506B1" w:rsidR="006A4992" w:rsidRDefault="006A4992" w:rsidP="00BA4B5A">
      <w:pPr>
        <w:pStyle w:val="Heading2"/>
        <w:spacing w:after="0" w:line="240" w:lineRule="auto"/>
        <w:jc w:val="both"/>
        <w:rPr>
          <w:rFonts w:ascii="Arial" w:hAnsi="Arial" w:cs="Arial"/>
          <w:i w:val="0"/>
          <w:iCs w:val="0"/>
        </w:rPr>
      </w:pPr>
      <w:r w:rsidRPr="00D11C74">
        <w:rPr>
          <w:rFonts w:ascii="Arial" w:hAnsi="Arial" w:cs="Arial"/>
          <w:i w:val="0"/>
          <w:iCs w:val="0"/>
        </w:rPr>
        <w:t>OTHER ISSUES</w:t>
      </w:r>
    </w:p>
    <w:p w14:paraId="4B9E721E" w14:textId="77777777" w:rsidR="00BA4B5A" w:rsidRPr="00BA4B5A" w:rsidRDefault="00BA4B5A" w:rsidP="00BA4B5A">
      <w:pPr>
        <w:spacing w:after="0" w:line="240" w:lineRule="auto"/>
        <w:rPr>
          <w:rFonts w:ascii="Arial" w:hAnsi="Arial" w:cs="Arial"/>
          <w:sz w:val="10"/>
          <w:szCs w:val="10"/>
        </w:rPr>
      </w:pPr>
    </w:p>
    <w:p w14:paraId="5968CD86" w14:textId="37A104A2" w:rsidR="003B510A" w:rsidRPr="00D11C74" w:rsidRDefault="003B510A" w:rsidP="00BA4B5A">
      <w:pPr>
        <w:pStyle w:val="Heading2"/>
        <w:spacing w:after="0" w:line="240" w:lineRule="auto"/>
        <w:jc w:val="both"/>
        <w:rPr>
          <w:rFonts w:ascii="Arial" w:hAnsi="Arial" w:cs="Arial"/>
        </w:rPr>
      </w:pPr>
      <w:r w:rsidRPr="00D11C74">
        <w:rPr>
          <w:rFonts w:ascii="Arial" w:hAnsi="Arial" w:cs="Arial"/>
        </w:rPr>
        <w:t>Product Tracking</w:t>
      </w:r>
    </w:p>
    <w:p w14:paraId="0B519F42" w14:textId="4492942B" w:rsidR="007F5FBC" w:rsidRPr="00D11C74" w:rsidRDefault="00481351" w:rsidP="00BA4B5A">
      <w:pPr>
        <w:spacing w:after="0" w:line="240" w:lineRule="auto"/>
        <w:jc w:val="both"/>
        <w:rPr>
          <w:rFonts w:ascii="Arial" w:hAnsi="Arial" w:cs="Arial"/>
        </w:rPr>
      </w:pPr>
      <w:r w:rsidRPr="00D11C74">
        <w:rPr>
          <w:rFonts w:ascii="Arial" w:hAnsi="Arial" w:cs="Arial"/>
        </w:rPr>
        <w:t xml:space="preserve">All products that are received by the IU </w:t>
      </w:r>
      <w:r w:rsidR="00100BAE">
        <w:rPr>
          <w:rFonts w:ascii="Arial" w:hAnsi="Arial" w:cs="Arial"/>
        </w:rPr>
        <w:t>Health Cell Therapy Laboratory</w:t>
      </w:r>
      <w:r w:rsidRPr="00D11C74">
        <w:rPr>
          <w:rFonts w:ascii="Arial" w:hAnsi="Arial" w:cs="Arial"/>
        </w:rPr>
        <w:t xml:space="preserve"> are tracked from the time of receipt to the point of final product distribution, administration or destruction, as in the case of an unacceptable product, deemed as such by the </w:t>
      </w:r>
      <w:r w:rsidR="000312A6">
        <w:rPr>
          <w:rFonts w:ascii="Arial" w:hAnsi="Arial" w:cs="Arial"/>
        </w:rPr>
        <w:t>Transfusion Medicine Director</w:t>
      </w:r>
      <w:r w:rsidRPr="00D11C74">
        <w:rPr>
          <w:rFonts w:ascii="Arial" w:hAnsi="Arial" w:cs="Arial"/>
        </w:rPr>
        <w:t>, Medical Director and the Principal Investigator following processing.</w:t>
      </w:r>
      <w:r w:rsidR="007F5FBC" w:rsidRPr="00D11C74">
        <w:rPr>
          <w:rFonts w:ascii="Arial" w:hAnsi="Arial" w:cs="Arial"/>
        </w:rPr>
        <w:t xml:space="preserve"> </w:t>
      </w:r>
      <w:r w:rsidR="0085422A">
        <w:rPr>
          <w:rFonts w:ascii="Arial" w:hAnsi="Arial" w:cs="Arial"/>
        </w:rPr>
        <w:t>L</w:t>
      </w:r>
      <w:r w:rsidR="007F5FBC" w:rsidRPr="00D11C74">
        <w:rPr>
          <w:rFonts w:ascii="Arial" w:hAnsi="Arial" w:cs="Arial"/>
        </w:rPr>
        <w:t>oss of chain-of-custody (COC)/chain-of-identity (COI) would have a direct impact on clinical study subjects.</w:t>
      </w:r>
      <w:r w:rsidR="00CF400F" w:rsidRPr="00D11C74">
        <w:rPr>
          <w:rFonts w:ascii="Arial" w:hAnsi="Arial" w:cs="Arial"/>
        </w:rPr>
        <w:t xml:space="preserve"> </w:t>
      </w:r>
      <w:r w:rsidR="007F5FBC" w:rsidRPr="00D11C74">
        <w:rPr>
          <w:rFonts w:ascii="Arial" w:hAnsi="Arial" w:cs="Arial"/>
        </w:rPr>
        <w:t>COC/COI checks are incorporated throughout the process and before final product administration.</w:t>
      </w:r>
    </w:p>
    <w:p w14:paraId="27020B40" w14:textId="77777777" w:rsidR="006A4992" w:rsidRPr="00D11C74" w:rsidRDefault="006A4992" w:rsidP="00BA4B5A">
      <w:pPr>
        <w:spacing w:after="0" w:line="240" w:lineRule="auto"/>
        <w:jc w:val="both"/>
        <w:rPr>
          <w:rFonts w:ascii="Arial" w:hAnsi="Arial" w:cs="Arial"/>
        </w:rPr>
      </w:pPr>
    </w:p>
    <w:p w14:paraId="0E20549F" w14:textId="14764CE0" w:rsidR="003B510A" w:rsidRPr="00D11C74" w:rsidRDefault="003B510A" w:rsidP="00BA4B5A">
      <w:pPr>
        <w:pStyle w:val="Heading2"/>
        <w:spacing w:after="0" w:line="240" w:lineRule="auto"/>
        <w:jc w:val="both"/>
        <w:rPr>
          <w:rFonts w:ascii="Arial" w:hAnsi="Arial" w:cs="Arial"/>
        </w:rPr>
      </w:pPr>
      <w:r w:rsidRPr="00D11C74">
        <w:rPr>
          <w:rFonts w:ascii="Arial" w:hAnsi="Arial" w:cs="Arial"/>
        </w:rPr>
        <w:t>Labeling and Containers</w:t>
      </w:r>
    </w:p>
    <w:p w14:paraId="0DDF76B2" w14:textId="56739210" w:rsidR="00A04E1B" w:rsidRPr="00D11C74" w:rsidRDefault="00A04E1B" w:rsidP="00BA4B5A">
      <w:pPr>
        <w:spacing w:after="0" w:line="240" w:lineRule="auto"/>
        <w:jc w:val="both"/>
        <w:rPr>
          <w:rFonts w:ascii="Arial" w:hAnsi="Arial" w:cs="Arial"/>
        </w:rPr>
      </w:pPr>
      <w:r w:rsidRPr="00D11C74">
        <w:rPr>
          <w:rFonts w:ascii="Arial" w:hAnsi="Arial" w:cs="Arial"/>
        </w:rPr>
        <w:t>All labeling is compliant with FDA regulations</w:t>
      </w:r>
      <w:r w:rsidR="004C7A3A" w:rsidRPr="00D11C74">
        <w:rPr>
          <w:rFonts w:ascii="Arial" w:hAnsi="Arial" w:cs="Arial"/>
        </w:rPr>
        <w:t xml:space="preserve"> and </w:t>
      </w:r>
      <w:r w:rsidRPr="00D11C74">
        <w:rPr>
          <w:rFonts w:ascii="Arial" w:hAnsi="Arial" w:cs="Arial"/>
        </w:rPr>
        <w:t>ISBT 128 Standards. Label adhesives and ink remain attached, affixed, and legible through all intended environments to include LN2 temperatures, 4</w:t>
      </w:r>
      <w:r w:rsidR="006B04F3" w:rsidRPr="00D11C74">
        <w:rPr>
          <w:rFonts w:ascii="Arial" w:hAnsi="Arial" w:cs="Arial"/>
        </w:rPr>
        <w:sym w:font="Symbol" w:char="F0B0"/>
      </w:r>
      <w:r w:rsidRPr="00D11C74">
        <w:rPr>
          <w:rFonts w:ascii="Arial" w:hAnsi="Arial" w:cs="Arial"/>
        </w:rPr>
        <w:t>C, room temp</w:t>
      </w:r>
      <w:r w:rsidR="004C7A3A" w:rsidRPr="00D11C74">
        <w:rPr>
          <w:rFonts w:ascii="Arial" w:hAnsi="Arial" w:cs="Arial"/>
        </w:rPr>
        <w:t>erature</w:t>
      </w:r>
      <w:r w:rsidRPr="00D11C74">
        <w:rPr>
          <w:rFonts w:ascii="Arial" w:hAnsi="Arial" w:cs="Arial"/>
        </w:rPr>
        <w:t>, water bath, friction, and exposure to disinfectants.  Label adhesives will be placed on product containers to prevent the risk of chemical leaching into the cell product (i</w:t>
      </w:r>
      <w:r w:rsidR="006B04F3" w:rsidRPr="00D11C74">
        <w:rPr>
          <w:rFonts w:ascii="Arial" w:hAnsi="Arial" w:cs="Arial"/>
        </w:rPr>
        <w:t>.</w:t>
      </w:r>
      <w:r w:rsidRPr="00D11C74">
        <w:rPr>
          <w:rFonts w:ascii="Arial" w:hAnsi="Arial" w:cs="Arial"/>
        </w:rPr>
        <w:t>e. Not placed directly on cell bag plastic containing cells, affixed over a manufacturer label, or not product containing section is acceptable) and to allow adequate visualization of the product contents.</w:t>
      </w:r>
    </w:p>
    <w:p w14:paraId="0EC567FF" w14:textId="77777777" w:rsidR="00F35C54" w:rsidRPr="00D11C74" w:rsidRDefault="00F35C54" w:rsidP="00BA4B5A">
      <w:pPr>
        <w:autoSpaceDE w:val="0"/>
        <w:autoSpaceDN w:val="0"/>
        <w:adjustRightInd w:val="0"/>
        <w:spacing w:after="0" w:line="240" w:lineRule="auto"/>
        <w:jc w:val="both"/>
        <w:rPr>
          <w:rFonts w:ascii="Arial" w:hAnsi="Arial" w:cs="Arial"/>
        </w:rPr>
      </w:pPr>
    </w:p>
    <w:p w14:paraId="1E62931C" w14:textId="1F21E524" w:rsidR="00A04E1B" w:rsidRPr="00D11C74" w:rsidRDefault="00A04E1B" w:rsidP="00BA4B5A">
      <w:pPr>
        <w:autoSpaceDE w:val="0"/>
        <w:autoSpaceDN w:val="0"/>
        <w:adjustRightInd w:val="0"/>
        <w:spacing w:after="0" w:line="240" w:lineRule="auto"/>
        <w:jc w:val="both"/>
        <w:rPr>
          <w:rFonts w:ascii="Arial" w:hAnsi="Arial" w:cs="Arial"/>
        </w:rPr>
      </w:pPr>
      <w:r w:rsidRPr="00D11C74">
        <w:rPr>
          <w:rFonts w:ascii="Arial" w:hAnsi="Arial" w:cs="Arial"/>
        </w:rPr>
        <w:t xml:space="preserve">Products are labeled at the site of collection according to ISBT 128 standards including: unique product identification number, the date and time collected, donor identification, name of component, and name and volume of additives. Prior to transfer of the product to the processing facility, the collection label is checked for accuracy by collection staff and </w:t>
      </w:r>
      <w:r w:rsidR="000312A6">
        <w:rPr>
          <w:rFonts w:ascii="Arial" w:hAnsi="Arial" w:cs="Arial"/>
        </w:rPr>
        <w:t>processing</w:t>
      </w:r>
      <w:r w:rsidRPr="00D11C74">
        <w:rPr>
          <w:rFonts w:ascii="Arial" w:hAnsi="Arial" w:cs="Arial"/>
        </w:rPr>
        <w:t xml:space="preserve"> personnel.</w:t>
      </w:r>
    </w:p>
    <w:p w14:paraId="38BFBD71" w14:textId="77777777" w:rsidR="00F35C54" w:rsidRPr="00D11C74" w:rsidRDefault="00F35C54" w:rsidP="00BA4B5A">
      <w:pPr>
        <w:autoSpaceDE w:val="0"/>
        <w:autoSpaceDN w:val="0"/>
        <w:adjustRightInd w:val="0"/>
        <w:spacing w:after="0" w:line="240" w:lineRule="auto"/>
        <w:jc w:val="both"/>
        <w:rPr>
          <w:rFonts w:ascii="Arial" w:hAnsi="Arial" w:cs="Arial"/>
        </w:rPr>
      </w:pPr>
    </w:p>
    <w:p w14:paraId="46B25BEF" w14:textId="0877491A" w:rsidR="00A04E1B" w:rsidRPr="00D11C74" w:rsidRDefault="00A04E1B" w:rsidP="00BA4B5A">
      <w:pPr>
        <w:autoSpaceDE w:val="0"/>
        <w:autoSpaceDN w:val="0"/>
        <w:adjustRightInd w:val="0"/>
        <w:spacing w:after="0" w:line="240" w:lineRule="auto"/>
        <w:jc w:val="both"/>
        <w:rPr>
          <w:rFonts w:ascii="Arial" w:hAnsi="Arial" w:cs="Arial"/>
        </w:rPr>
      </w:pPr>
      <w:r w:rsidRPr="00D11C74">
        <w:rPr>
          <w:rFonts w:ascii="Arial" w:hAnsi="Arial" w:cs="Arial"/>
        </w:rPr>
        <w:t>The assigned unique product ID number is permanently attached to all the processing documents and placed in the product batch record. During manufacture, in-process partial labels are used to contain at minimum, the component name, unique product number and donor identification. Labels are verified by a minimum of two trained staff. In addition to partial labels, Products will be labeled with Product Tie Tag prior to distribution for patient administration.</w:t>
      </w:r>
      <w:r w:rsidR="004C7A3A" w:rsidRPr="00D11C74">
        <w:rPr>
          <w:rFonts w:ascii="Arial" w:hAnsi="Arial" w:cs="Arial"/>
        </w:rPr>
        <w:t xml:space="preserve"> </w:t>
      </w:r>
    </w:p>
    <w:p w14:paraId="618267F0" w14:textId="77777777" w:rsidR="00C15459" w:rsidRDefault="00C15459" w:rsidP="00BA4B5A">
      <w:pPr>
        <w:spacing w:after="0" w:line="240" w:lineRule="auto"/>
        <w:jc w:val="both"/>
        <w:rPr>
          <w:rFonts w:ascii="Arial" w:hAnsi="Arial" w:cs="Arial"/>
        </w:rPr>
      </w:pPr>
    </w:p>
    <w:p w14:paraId="56E57A44" w14:textId="77777777" w:rsidR="00DE57DC" w:rsidRDefault="00DE57DC" w:rsidP="00BA4B5A">
      <w:pPr>
        <w:spacing w:after="0" w:line="240" w:lineRule="auto"/>
        <w:jc w:val="both"/>
        <w:rPr>
          <w:rFonts w:ascii="Arial" w:hAnsi="Arial" w:cs="Arial"/>
          <w:b/>
          <w:bCs/>
        </w:rPr>
      </w:pPr>
    </w:p>
    <w:p w14:paraId="6DDBA555" w14:textId="43F2DBC2" w:rsidR="00A04E1B" w:rsidRPr="008A4409" w:rsidRDefault="00370179" w:rsidP="00BA4B5A">
      <w:pPr>
        <w:spacing w:after="0" w:line="240" w:lineRule="auto"/>
        <w:jc w:val="both"/>
        <w:rPr>
          <w:rFonts w:ascii="Arial" w:hAnsi="Arial" w:cs="Arial"/>
          <w:b/>
          <w:bCs/>
        </w:rPr>
      </w:pPr>
      <w:r w:rsidRPr="000969D1">
        <w:rPr>
          <w:rFonts w:ascii="Arial" w:hAnsi="Arial" w:cs="Arial"/>
          <w:b/>
          <w:bCs/>
        </w:rPr>
        <w:t>Figure 7.</w:t>
      </w:r>
      <w:r w:rsidR="00153163" w:rsidRPr="000969D1">
        <w:rPr>
          <w:rFonts w:ascii="Arial" w:hAnsi="Arial" w:cs="Arial"/>
          <w:b/>
          <w:bCs/>
        </w:rPr>
        <w:t>2</w:t>
      </w:r>
      <w:r w:rsidRPr="000969D1">
        <w:rPr>
          <w:rFonts w:ascii="Arial" w:hAnsi="Arial" w:cs="Arial"/>
          <w:b/>
          <w:bCs/>
        </w:rPr>
        <w:t xml:space="preserve"> Example of final product label</w:t>
      </w:r>
    </w:p>
    <w:p w14:paraId="17472F82" w14:textId="77777777" w:rsidR="002A73FB" w:rsidRPr="00C15459" w:rsidRDefault="002A73FB" w:rsidP="00BA4B5A">
      <w:pPr>
        <w:spacing w:after="0" w:line="240" w:lineRule="auto"/>
        <w:jc w:val="both"/>
        <w:rPr>
          <w:rFonts w:ascii="Arial" w:hAnsi="Arial" w:cs="Arial"/>
        </w:rPr>
      </w:pPr>
    </w:p>
    <w:p w14:paraId="4D788ACD" w14:textId="2F11FDA8" w:rsidR="00303737" w:rsidRPr="00D11C74" w:rsidRDefault="000969D1" w:rsidP="00C15459">
      <w:pPr>
        <w:spacing w:after="0" w:line="240" w:lineRule="auto"/>
        <w:jc w:val="center"/>
        <w:rPr>
          <w:rFonts w:ascii="Arial" w:hAnsi="Arial" w:cs="Arial"/>
        </w:rPr>
      </w:pPr>
      <w:r w:rsidRPr="000969D1">
        <w:rPr>
          <w:rFonts w:ascii="Arial" w:hAnsi="Arial" w:cs="Arial"/>
          <w:noProof/>
        </w:rPr>
        <w:drawing>
          <wp:inline distT="0" distB="0" distL="0" distR="0" wp14:anchorId="6D848B64" wp14:editId="6998677A">
            <wp:extent cx="4295775" cy="401493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0317" cy="4019175"/>
                    </a:xfrm>
                    <a:prstGeom prst="rect">
                      <a:avLst/>
                    </a:prstGeom>
                    <a:noFill/>
                    <a:ln>
                      <a:noFill/>
                    </a:ln>
                  </pic:spPr>
                </pic:pic>
              </a:graphicData>
            </a:graphic>
          </wp:inline>
        </w:drawing>
      </w:r>
    </w:p>
    <w:p w14:paraId="4247271B" w14:textId="50D943AF" w:rsidR="003B510A" w:rsidRPr="00D11C74" w:rsidRDefault="003B510A" w:rsidP="00BA4B5A">
      <w:pPr>
        <w:spacing w:after="0" w:line="240" w:lineRule="auto"/>
        <w:jc w:val="both"/>
        <w:rPr>
          <w:rFonts w:ascii="Arial" w:hAnsi="Arial" w:cs="Arial"/>
        </w:rPr>
      </w:pPr>
    </w:p>
    <w:p w14:paraId="1BC1AF8F" w14:textId="3A2AC754" w:rsidR="003B510A" w:rsidRPr="00D11C74" w:rsidRDefault="003B510A" w:rsidP="00BA4B5A">
      <w:pPr>
        <w:pStyle w:val="Heading2"/>
        <w:spacing w:after="0" w:line="240" w:lineRule="auto"/>
        <w:jc w:val="both"/>
        <w:rPr>
          <w:rFonts w:ascii="Arial" w:hAnsi="Arial" w:cs="Arial"/>
        </w:rPr>
      </w:pPr>
      <w:r w:rsidRPr="00D11C74">
        <w:rPr>
          <w:rFonts w:ascii="Arial" w:hAnsi="Arial" w:cs="Arial"/>
        </w:rPr>
        <w:t>Container Closure &amp; Integrity</w:t>
      </w:r>
    </w:p>
    <w:p w14:paraId="72AD2BCF" w14:textId="6AF7D6D8" w:rsidR="003B510A" w:rsidRDefault="00481351" w:rsidP="00BA4B5A">
      <w:pPr>
        <w:spacing w:after="0" w:line="240" w:lineRule="auto"/>
        <w:jc w:val="both"/>
        <w:rPr>
          <w:rFonts w:ascii="Arial" w:hAnsi="Arial" w:cs="Arial"/>
        </w:rPr>
      </w:pPr>
      <w:r w:rsidRPr="00D11C74">
        <w:rPr>
          <w:rFonts w:ascii="Arial" w:hAnsi="Arial" w:cs="Arial"/>
        </w:rPr>
        <w:t xml:space="preserve">The product will be dispensed </w:t>
      </w:r>
      <w:r w:rsidR="00AD6761">
        <w:rPr>
          <w:rFonts w:ascii="Arial" w:hAnsi="Arial" w:cs="Arial"/>
        </w:rPr>
        <w:t xml:space="preserve">in a qualified cryopreserved </w:t>
      </w:r>
      <w:r w:rsidR="00012F4D">
        <w:rPr>
          <w:rFonts w:ascii="Arial" w:hAnsi="Arial" w:cs="Arial"/>
        </w:rPr>
        <w:t>product bag</w:t>
      </w:r>
      <w:r w:rsidR="00B053BE">
        <w:rPr>
          <w:rFonts w:ascii="Arial" w:hAnsi="Arial" w:cs="Arial"/>
        </w:rPr>
        <w:t>.</w:t>
      </w:r>
      <w:r w:rsidRPr="00D11C74">
        <w:rPr>
          <w:rFonts w:ascii="Arial" w:hAnsi="Arial" w:cs="Arial"/>
        </w:rPr>
        <w:t xml:space="preserve"> </w:t>
      </w:r>
      <w:r w:rsidR="00AD6761" w:rsidRPr="00AD6761">
        <w:rPr>
          <w:rFonts w:ascii="Arial" w:hAnsi="Arial" w:cs="Arial"/>
        </w:rPr>
        <w:t>The product will be cryopreserved and will be transported to the patient bedside in a qualified dry shipper that will hold the required temperature (&lt;150</w:t>
      </w:r>
      <w:r w:rsidR="00AD6761" w:rsidRPr="00BA0C5B">
        <w:rPr>
          <w:rFonts w:ascii="Arial" w:hAnsi="Arial" w:cs="Arial"/>
          <w:vertAlign w:val="superscript"/>
        </w:rPr>
        <w:t>o</w:t>
      </w:r>
      <w:r w:rsidR="00AD6761" w:rsidRPr="00AD6761">
        <w:rPr>
          <w:rFonts w:ascii="Arial" w:hAnsi="Arial" w:cs="Arial"/>
        </w:rPr>
        <w:t>C) for at least 5 days. The product bag will be removed from the dry shipper and thawed in a qualified water bath at 37</w:t>
      </w:r>
      <w:r w:rsidR="00AD6761" w:rsidRPr="00BA0C5B">
        <w:rPr>
          <w:rFonts w:ascii="Arial" w:hAnsi="Arial" w:cs="Arial"/>
          <w:vertAlign w:val="superscript"/>
        </w:rPr>
        <w:t>o</w:t>
      </w:r>
      <w:r w:rsidR="00AD6761" w:rsidRPr="00AD6761">
        <w:rPr>
          <w:rFonts w:ascii="Arial" w:hAnsi="Arial" w:cs="Arial"/>
        </w:rPr>
        <w:t xml:space="preserve">C according to standard procedures. The pediatric BMT unit is located at Riley Children’s Hospital, 705 Riley Hospital Drive, Indianapolis, IN and the cells will be coming from Indiana University Hospital, 550 N University Drive, Indianapolis, IN. This is approximately a 10 minute walk between locations and is the standard procedure for transplant for </w:t>
      </w:r>
      <w:r w:rsidR="00AD6761">
        <w:rPr>
          <w:rFonts w:ascii="Arial" w:hAnsi="Arial" w:cs="Arial"/>
        </w:rPr>
        <w:t xml:space="preserve">all </w:t>
      </w:r>
      <w:r w:rsidR="00AD6761" w:rsidRPr="00AD6761">
        <w:rPr>
          <w:rFonts w:ascii="Arial" w:hAnsi="Arial" w:cs="Arial"/>
        </w:rPr>
        <w:t xml:space="preserve">pediatric </w:t>
      </w:r>
      <w:r w:rsidR="00AD6761">
        <w:rPr>
          <w:rFonts w:ascii="Arial" w:hAnsi="Arial" w:cs="Arial"/>
        </w:rPr>
        <w:t xml:space="preserve">BMT </w:t>
      </w:r>
      <w:r w:rsidR="00AD6761" w:rsidRPr="00AD6761">
        <w:rPr>
          <w:rFonts w:ascii="Arial" w:hAnsi="Arial" w:cs="Arial"/>
        </w:rPr>
        <w:t>patients</w:t>
      </w:r>
      <w:r w:rsidR="00AD6761">
        <w:rPr>
          <w:rFonts w:ascii="Arial" w:hAnsi="Arial" w:cs="Arial"/>
        </w:rPr>
        <w:t xml:space="preserve"> treated at Riley Children’s Hospital</w:t>
      </w:r>
      <w:r w:rsidR="00AD6761" w:rsidRPr="00AD6761">
        <w:rPr>
          <w:rFonts w:ascii="Arial" w:hAnsi="Arial" w:cs="Arial"/>
        </w:rPr>
        <w:t>.</w:t>
      </w:r>
    </w:p>
    <w:p w14:paraId="56C78449" w14:textId="3F2AB8E4" w:rsidR="0061470F" w:rsidRDefault="0061470F" w:rsidP="00BA4B5A">
      <w:pPr>
        <w:spacing w:after="0" w:line="240" w:lineRule="auto"/>
        <w:jc w:val="both"/>
        <w:rPr>
          <w:rFonts w:ascii="Arial" w:hAnsi="Arial" w:cs="Arial"/>
        </w:rPr>
      </w:pPr>
    </w:p>
    <w:p w14:paraId="6503CA88" w14:textId="07ACABA5" w:rsidR="0061470F" w:rsidRPr="00D11C74" w:rsidRDefault="0061470F" w:rsidP="00BA4B5A">
      <w:pPr>
        <w:spacing w:after="0" w:line="240" w:lineRule="auto"/>
        <w:jc w:val="both"/>
        <w:rPr>
          <w:rFonts w:ascii="Arial" w:hAnsi="Arial" w:cs="Arial"/>
        </w:rPr>
      </w:pPr>
      <w:r>
        <w:rPr>
          <w:rFonts w:ascii="Arial" w:hAnsi="Arial" w:cs="Arial"/>
        </w:rPr>
        <w:t xml:space="preserve">The thawed product will be released to the infusion nurse for the recipient under the supervision of the attending provider per standard operating procedure. The nursing staff will infuse the cells according to established guidelines for hematopoietic progenitor cell products. Briefly, the thawed bag will be spiked with an infusion set and infused via gravity without filtration. There will be no additional manipulation of the cells between thawing and administration. </w:t>
      </w:r>
    </w:p>
    <w:p w14:paraId="701DEA65" w14:textId="77777777" w:rsidR="00F35C54" w:rsidRPr="00D11C74" w:rsidRDefault="003B510A" w:rsidP="00BA4B5A">
      <w:pPr>
        <w:pStyle w:val="Heading2"/>
        <w:spacing w:after="0" w:line="240" w:lineRule="auto"/>
        <w:jc w:val="both"/>
        <w:rPr>
          <w:rFonts w:ascii="Arial" w:hAnsi="Arial" w:cs="Arial"/>
        </w:rPr>
      </w:pPr>
      <w:r w:rsidRPr="00D11C74">
        <w:rPr>
          <w:rFonts w:ascii="Arial" w:hAnsi="Arial" w:cs="Arial"/>
        </w:rPr>
        <w:lastRenderedPageBreak/>
        <w:tab/>
      </w:r>
    </w:p>
    <w:p w14:paraId="764F460C" w14:textId="162DA4F4" w:rsidR="003B510A" w:rsidRPr="00D11C74" w:rsidRDefault="003B510A" w:rsidP="00BA4B5A">
      <w:pPr>
        <w:pStyle w:val="Heading2"/>
        <w:spacing w:after="0" w:line="240" w:lineRule="auto"/>
        <w:jc w:val="both"/>
        <w:rPr>
          <w:rFonts w:ascii="Arial" w:hAnsi="Arial" w:cs="Arial"/>
        </w:rPr>
      </w:pPr>
      <w:r w:rsidRPr="00D11C74">
        <w:rPr>
          <w:rFonts w:ascii="Arial" w:hAnsi="Arial" w:cs="Arial"/>
        </w:rPr>
        <w:t>Environmental Impact</w:t>
      </w:r>
    </w:p>
    <w:p w14:paraId="1A4E9174" w14:textId="77777777" w:rsidR="00A04E1B" w:rsidRPr="00D11C74" w:rsidRDefault="00A04E1B" w:rsidP="00BA4B5A">
      <w:pPr>
        <w:pStyle w:val="Style2"/>
        <w:numPr>
          <w:ilvl w:val="0"/>
          <w:numId w:val="0"/>
        </w:numPr>
        <w:tabs>
          <w:tab w:val="clear" w:pos="900"/>
          <w:tab w:val="left" w:pos="720"/>
        </w:tabs>
        <w:rPr>
          <w:rFonts w:eastAsiaTheme="minorHAnsi" w:cs="Arial"/>
          <w:sz w:val="22"/>
          <w:szCs w:val="22"/>
        </w:rPr>
      </w:pPr>
      <w:r w:rsidRPr="00D11C74">
        <w:rPr>
          <w:rFonts w:eastAsiaTheme="minorHAnsi" w:cs="Arial"/>
          <w:sz w:val="22"/>
          <w:szCs w:val="22"/>
        </w:rPr>
        <w:t>Under the provisions of 21 CFR§25.31(e), the sponsor-investigator requests that an exclusion be granted from the requirements for environmental assessment.  The investigational new drug is intended for use in clinical studies on research in which waste will be controlled; in addition, the amount of waste expected to enter the environment may reasonably be expected to be nontoxic.</w:t>
      </w:r>
    </w:p>
    <w:p w14:paraId="65871AE7" w14:textId="0B1FF3CD" w:rsidR="003B510A" w:rsidRPr="00D11C74" w:rsidRDefault="003B510A" w:rsidP="00BA4B5A">
      <w:pPr>
        <w:spacing w:after="0" w:line="240" w:lineRule="auto"/>
        <w:jc w:val="both"/>
        <w:rPr>
          <w:rFonts w:ascii="Arial" w:hAnsi="Arial" w:cs="Arial"/>
        </w:rPr>
      </w:pPr>
    </w:p>
    <w:p w14:paraId="71019390" w14:textId="420BA24D" w:rsidR="00831E1F" w:rsidRPr="00D11C74" w:rsidRDefault="00DE57DC" w:rsidP="00BA4B5A">
      <w:pPr>
        <w:pStyle w:val="Heading2"/>
        <w:spacing w:after="0" w:line="240" w:lineRule="auto"/>
        <w:jc w:val="both"/>
        <w:rPr>
          <w:rFonts w:ascii="Arial" w:hAnsi="Arial" w:cs="Arial"/>
          <w:i w:val="0"/>
          <w:iCs w:val="0"/>
        </w:rPr>
      </w:pPr>
      <w:r>
        <w:rPr>
          <w:rFonts w:ascii="Arial" w:hAnsi="Arial" w:cs="Arial"/>
        </w:rPr>
        <w:t>Cell Processing Facility</w:t>
      </w:r>
    </w:p>
    <w:p w14:paraId="535E41DB" w14:textId="585466AB" w:rsidR="00DE57DC" w:rsidRPr="009A329E" w:rsidRDefault="00DE57DC" w:rsidP="00DE57DC">
      <w:pPr>
        <w:rPr>
          <w:rFonts w:ascii="Arial" w:hAnsi="Arial" w:cs="Arial"/>
          <w:b/>
          <w:bCs/>
          <w:i/>
          <w:iCs/>
        </w:rPr>
      </w:pPr>
      <w:r w:rsidRPr="009A329E">
        <w:rPr>
          <w:rFonts w:ascii="Arial" w:hAnsi="Arial" w:cs="Arial"/>
        </w:rPr>
        <w:t>The Cellular Therapy Laboratory (CTL) is a 1300 sq.ft secure processing area dedicated to the manipulation and storage of cell-based products for treatment of patients on clinical trials  and established clinical treatment (Figure</w:t>
      </w:r>
      <w:r w:rsidR="00D11635">
        <w:rPr>
          <w:rFonts w:ascii="Arial" w:hAnsi="Arial" w:cs="Arial"/>
        </w:rPr>
        <w:t xml:space="preserve"> 7.3</w:t>
      </w:r>
      <w:r w:rsidRPr="009A329E">
        <w:rPr>
          <w:rFonts w:ascii="Arial" w:hAnsi="Arial" w:cs="Arial"/>
        </w:rPr>
        <w:t>). The CTL is a part of the IU Health Department of Pathology and has overarching general procedures and designated Quality Assurance personnel. The processing facility is located on the third floor of University Hospital, 550 North University Boulevard, Indianapolis, IN 46202. The CTL is a FACT Accredited Processing Facility. Services are provided in compliance with FDA 21CFR §211 cGMP (current Good Manufacturing Practice)</w:t>
      </w:r>
      <w:r w:rsidR="002C2331">
        <w:rPr>
          <w:rFonts w:ascii="Arial" w:hAnsi="Arial" w:cs="Arial"/>
        </w:rPr>
        <w:t xml:space="preserve"> as appropriate for early phase trials.</w:t>
      </w:r>
      <w:r w:rsidRPr="009A329E">
        <w:rPr>
          <w:rFonts w:ascii="Arial" w:hAnsi="Arial" w:cs="Arial"/>
        </w:rPr>
        <w:t>.</w:t>
      </w:r>
      <w:r w:rsidRPr="009A329E">
        <w:rPr>
          <w:rFonts w:ascii="Arial" w:hAnsi="Arial" w:cs="Arial"/>
        </w:rPr>
        <w:tab/>
      </w:r>
      <w:r w:rsidRPr="009A329E">
        <w:rPr>
          <w:rFonts w:ascii="Arial" w:hAnsi="Arial" w:cs="Arial"/>
          <w:b/>
          <w:bCs/>
          <w:i/>
          <w:iCs/>
        </w:rPr>
        <w:t> </w:t>
      </w:r>
    </w:p>
    <w:p w14:paraId="4F7FFB48" w14:textId="7C8E25AD" w:rsidR="00DE57DC" w:rsidRPr="009A329E" w:rsidRDefault="00DE57DC" w:rsidP="00DE57DC">
      <w:pPr>
        <w:rPr>
          <w:rFonts w:ascii="Arial" w:hAnsi="Arial" w:cs="Arial"/>
        </w:rPr>
      </w:pPr>
      <w:r w:rsidRPr="009A329E">
        <w:rPr>
          <w:rFonts w:ascii="Arial" w:hAnsi="Arial" w:cs="Arial"/>
        </w:rPr>
        <w:t>The CTL operates as a multi-use facility designed to eliminate or minimize contamination and/or cross-contamination of materials and cellular products through process controls and functionally closed system manipulations. The facility is equipped with and continuously monitored by the Rees Scientific Centron System with alert and action limits. Facility parameters monitored include temperature, and humidity.  Critical equipment, including incubators, refrigerators and freezers are also monitored.  Trained on-call CTL staff members respond to all alarm conditions.</w:t>
      </w:r>
    </w:p>
    <w:p w14:paraId="7BD7DB9C" w14:textId="77777777" w:rsidR="00DE57DC" w:rsidRPr="009A329E" w:rsidRDefault="00DE57DC" w:rsidP="00DE57DC">
      <w:pPr>
        <w:rPr>
          <w:rFonts w:ascii="Arial" w:hAnsi="Arial" w:cs="Arial"/>
        </w:rPr>
      </w:pPr>
      <w:r w:rsidRPr="009A329E">
        <w:rPr>
          <w:rFonts w:ascii="Arial" w:hAnsi="Arial" w:cs="Arial"/>
        </w:rPr>
        <w:t> </w:t>
      </w:r>
    </w:p>
    <w:p w14:paraId="2310E370" w14:textId="77777777" w:rsidR="00DE57DC" w:rsidRPr="009A329E" w:rsidRDefault="00DE57DC" w:rsidP="00DE57DC">
      <w:pPr>
        <w:rPr>
          <w:rFonts w:ascii="Arial" w:hAnsi="Arial" w:cs="Arial"/>
        </w:rPr>
      </w:pPr>
      <w:r w:rsidRPr="009A329E">
        <w:rPr>
          <w:rFonts w:ascii="Arial" w:hAnsi="Arial" w:cs="Arial"/>
        </w:rPr>
        <w:t>The CTL is a part of the IU Health Department of Pathology. the IU Health Department of Pathology follows a unified Quality Management Plan. The operations of the CTL are defined by approved procedures and all staff are trained on procedures.  All procedures are maintained and version controlled within PolicyTech.  MediaLab is in place for management of records and personnel training. Procedures are in place to help maintain control of the facility, personnel, and processes. A partial list of these documents is provided below.  </w:t>
      </w:r>
    </w:p>
    <w:p w14:paraId="59F20B97" w14:textId="50372641" w:rsidR="00DE57DC" w:rsidRPr="0046106A" w:rsidRDefault="00DE57DC" w:rsidP="00DE57DC">
      <w:pPr>
        <w:rPr>
          <w:rFonts w:ascii="Arial" w:hAnsi="Arial" w:cs="Arial"/>
          <w:b/>
          <w:bCs/>
        </w:rPr>
      </w:pPr>
      <w:r w:rsidRPr="0046106A">
        <w:rPr>
          <w:rFonts w:ascii="Arial" w:hAnsi="Arial" w:cs="Arial"/>
          <w:b/>
          <w:bCs/>
        </w:rPr>
        <w:t xml:space="preserve">Figure </w:t>
      </w:r>
      <w:r w:rsidR="0046106A" w:rsidRPr="0046106A">
        <w:rPr>
          <w:rFonts w:ascii="Arial" w:hAnsi="Arial" w:cs="Arial"/>
          <w:b/>
          <w:bCs/>
        </w:rPr>
        <w:t>7.3</w:t>
      </w:r>
      <w:r w:rsidRPr="0046106A">
        <w:rPr>
          <w:rFonts w:ascii="Arial" w:hAnsi="Arial" w:cs="Arial"/>
          <w:b/>
          <w:bCs/>
        </w:rPr>
        <w:t xml:space="preserve"> Floor plan of the Cell Therapy Laboratory</w:t>
      </w:r>
    </w:p>
    <w:p w14:paraId="35B379C5" w14:textId="77777777" w:rsidR="00DE57DC" w:rsidRPr="009A329E" w:rsidRDefault="00DE57DC" w:rsidP="00DE57DC">
      <w:pPr>
        <w:rPr>
          <w:rFonts w:ascii="Arial" w:hAnsi="Arial" w:cs="Arial"/>
        </w:rPr>
      </w:pPr>
      <w:r w:rsidRPr="009A329E">
        <w:rPr>
          <w:rFonts w:ascii="Arial" w:hAnsi="Arial" w:cs="Arial"/>
          <w:noProof/>
        </w:rPr>
        <w:drawing>
          <wp:inline distT="0" distB="0" distL="0" distR="0" wp14:anchorId="63F35201" wp14:editId="089DE914">
            <wp:extent cx="2829320" cy="1838582"/>
            <wp:effectExtent l="0" t="0" r="9525" b="9525"/>
            <wp:docPr id="1663560717" name="Picture 1" descr="A floor plan of a medica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60717" name="Picture 1" descr="A floor plan of a medical center&#10;&#10;Description automatically generated"/>
                    <pic:cNvPicPr/>
                  </pic:nvPicPr>
                  <pic:blipFill>
                    <a:blip r:embed="rId10"/>
                    <a:stretch>
                      <a:fillRect/>
                    </a:stretch>
                  </pic:blipFill>
                  <pic:spPr>
                    <a:xfrm>
                      <a:off x="0" y="0"/>
                      <a:ext cx="2829320" cy="1838582"/>
                    </a:xfrm>
                    <a:prstGeom prst="rect">
                      <a:avLst/>
                    </a:prstGeom>
                  </pic:spPr>
                </pic:pic>
              </a:graphicData>
            </a:graphic>
          </wp:inline>
        </w:drawing>
      </w:r>
    </w:p>
    <w:p w14:paraId="41535335" w14:textId="40F9FE07" w:rsidR="00DE57DC" w:rsidRPr="0046106A" w:rsidRDefault="0046106A" w:rsidP="00DE57DC">
      <w:pPr>
        <w:rPr>
          <w:rFonts w:ascii="Arial" w:hAnsi="Arial" w:cs="Arial"/>
          <w:b/>
          <w:bCs/>
        </w:rPr>
      </w:pPr>
      <w:r w:rsidRPr="0046106A">
        <w:rPr>
          <w:rFonts w:ascii="Arial" w:hAnsi="Arial" w:cs="Arial"/>
          <w:b/>
          <w:bCs/>
        </w:rPr>
        <w:t>Table 7.</w:t>
      </w:r>
      <w:r w:rsidR="00C110EF">
        <w:rPr>
          <w:rFonts w:ascii="Arial" w:hAnsi="Arial" w:cs="Arial"/>
          <w:b/>
          <w:bCs/>
        </w:rPr>
        <w:t>9</w:t>
      </w:r>
      <w:r w:rsidRPr="0046106A">
        <w:rPr>
          <w:rFonts w:ascii="Arial" w:hAnsi="Arial" w:cs="Arial"/>
          <w:b/>
          <w:bCs/>
        </w:rPr>
        <w:t xml:space="preserve"> List of relevant procedures</w:t>
      </w:r>
    </w:p>
    <w:tbl>
      <w:tblPr>
        <w:tblW w:w="9840" w:type="dxa"/>
        <w:tblInd w:w="113" w:type="dxa"/>
        <w:tblLook w:val="04A0" w:firstRow="1" w:lastRow="0" w:firstColumn="1" w:lastColumn="0" w:noHBand="0" w:noVBand="1"/>
      </w:tblPr>
      <w:tblGrid>
        <w:gridCol w:w="9840"/>
      </w:tblGrid>
      <w:tr w:rsidR="00DE57DC" w:rsidRPr="009A329E" w14:paraId="42C3FC48" w14:textId="77777777" w:rsidTr="009A329E">
        <w:trPr>
          <w:trHeight w:val="270"/>
        </w:trPr>
        <w:tc>
          <w:tcPr>
            <w:tcW w:w="98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14:paraId="34ABED86" w14:textId="77777777" w:rsidR="00DE57DC" w:rsidRPr="009A329E" w:rsidRDefault="00DE57DC" w:rsidP="009A329E">
            <w:pPr>
              <w:spacing w:after="0" w:line="240" w:lineRule="auto"/>
              <w:jc w:val="center"/>
              <w:rPr>
                <w:rFonts w:ascii="Arial" w:eastAsia="Times New Roman" w:hAnsi="Arial" w:cs="Arial"/>
                <w:color w:val="FFFFFF"/>
              </w:rPr>
            </w:pPr>
            <w:r w:rsidRPr="009A329E">
              <w:rPr>
                <w:rFonts w:ascii="Arial" w:eastAsia="Times New Roman" w:hAnsi="Arial" w:cs="Arial"/>
                <w:color w:val="FFFFFF"/>
              </w:rPr>
              <w:t>Title</w:t>
            </w:r>
          </w:p>
        </w:tc>
      </w:tr>
      <w:tr w:rsidR="00DE57DC" w:rsidRPr="009A329E" w14:paraId="4A49A3CD"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9C94ADC" w14:textId="77777777" w:rsidR="00DE57DC" w:rsidRPr="009A329E" w:rsidRDefault="000649F6" w:rsidP="009A329E">
            <w:pPr>
              <w:spacing w:after="0" w:line="240" w:lineRule="auto"/>
              <w:rPr>
                <w:rFonts w:ascii="Arial" w:eastAsia="Times New Roman" w:hAnsi="Arial" w:cs="Arial"/>
                <w:color w:val="0000FF"/>
                <w:u w:val="single"/>
              </w:rPr>
            </w:pPr>
            <w:hyperlink r:id="rId11" w:history="1">
              <w:r w:rsidR="00DE57DC" w:rsidRPr="009A329E">
                <w:rPr>
                  <w:rFonts w:ascii="Arial" w:eastAsia="Times New Roman" w:hAnsi="Arial" w:cs="Arial"/>
                  <w:color w:val="0000FF"/>
                  <w:u w:val="single"/>
                </w:rPr>
                <w:t>Supply Inventory</w:t>
              </w:r>
            </w:hyperlink>
          </w:p>
        </w:tc>
      </w:tr>
      <w:tr w:rsidR="00DE57DC" w:rsidRPr="009A329E" w14:paraId="40508D45"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061DCD10" w14:textId="77777777" w:rsidR="00DE57DC" w:rsidRPr="009A329E" w:rsidRDefault="000649F6" w:rsidP="009A329E">
            <w:pPr>
              <w:spacing w:after="0" w:line="240" w:lineRule="auto"/>
              <w:rPr>
                <w:rFonts w:ascii="Arial" w:eastAsia="Times New Roman" w:hAnsi="Arial" w:cs="Arial"/>
                <w:color w:val="0000FF"/>
                <w:u w:val="single"/>
              </w:rPr>
            </w:pPr>
            <w:hyperlink r:id="rId12" w:history="1">
              <w:r w:rsidR="00DE57DC" w:rsidRPr="009A329E">
                <w:rPr>
                  <w:rFonts w:ascii="Arial" w:eastAsia="Times New Roman" w:hAnsi="Arial" w:cs="Arial"/>
                  <w:color w:val="0000FF"/>
                  <w:u w:val="single"/>
                </w:rPr>
                <w:t>Sterility Testing</w:t>
              </w:r>
            </w:hyperlink>
          </w:p>
        </w:tc>
      </w:tr>
      <w:tr w:rsidR="00DE57DC" w:rsidRPr="009A329E" w14:paraId="0BE0544E"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D485B38" w14:textId="77777777" w:rsidR="00DE57DC" w:rsidRPr="009A329E" w:rsidRDefault="000649F6" w:rsidP="009A329E">
            <w:pPr>
              <w:spacing w:after="0" w:line="240" w:lineRule="auto"/>
              <w:rPr>
                <w:rFonts w:ascii="Arial" w:eastAsia="Times New Roman" w:hAnsi="Arial" w:cs="Arial"/>
                <w:color w:val="0000FF"/>
                <w:u w:val="single"/>
              </w:rPr>
            </w:pPr>
            <w:hyperlink r:id="rId13" w:history="1">
              <w:r w:rsidR="00DE57DC" w:rsidRPr="009A329E">
                <w:rPr>
                  <w:rFonts w:ascii="Arial" w:eastAsia="Times New Roman" w:hAnsi="Arial" w:cs="Arial"/>
                  <w:color w:val="0000FF"/>
                  <w:u w:val="single"/>
                </w:rPr>
                <w:t>Refrigerator, Freezer and REES Scientific e-Centron Environmental Monitoring System</w:t>
              </w:r>
            </w:hyperlink>
          </w:p>
        </w:tc>
      </w:tr>
      <w:tr w:rsidR="00DE57DC" w:rsidRPr="009A329E" w14:paraId="2F24E522"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380EE99C" w14:textId="77777777" w:rsidR="00DE57DC" w:rsidRPr="009A329E" w:rsidRDefault="000649F6" w:rsidP="009A329E">
            <w:pPr>
              <w:spacing w:after="0" w:line="240" w:lineRule="auto"/>
              <w:rPr>
                <w:rFonts w:ascii="Arial" w:eastAsia="Times New Roman" w:hAnsi="Arial" w:cs="Arial"/>
                <w:color w:val="0000FF"/>
                <w:u w:val="single"/>
              </w:rPr>
            </w:pPr>
            <w:hyperlink r:id="rId14" w:history="1">
              <w:r w:rsidR="00DE57DC" w:rsidRPr="009A329E">
                <w:rPr>
                  <w:rFonts w:ascii="Arial" w:eastAsia="Times New Roman" w:hAnsi="Arial" w:cs="Arial"/>
                  <w:color w:val="0000FF"/>
                  <w:u w:val="single"/>
                </w:rPr>
                <w:t>Process Improvement</w:t>
              </w:r>
            </w:hyperlink>
          </w:p>
        </w:tc>
      </w:tr>
      <w:tr w:rsidR="00DE57DC" w:rsidRPr="009A329E" w14:paraId="5E5B9652"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4D8705D" w14:textId="77777777" w:rsidR="00DE57DC" w:rsidRPr="009A329E" w:rsidRDefault="000649F6" w:rsidP="009A329E">
            <w:pPr>
              <w:spacing w:after="0" w:line="240" w:lineRule="auto"/>
              <w:rPr>
                <w:rFonts w:ascii="Arial" w:eastAsia="Times New Roman" w:hAnsi="Arial" w:cs="Arial"/>
                <w:color w:val="0000FF"/>
                <w:u w:val="single"/>
              </w:rPr>
            </w:pPr>
            <w:hyperlink r:id="rId15" w:history="1">
              <w:r w:rsidR="00DE57DC" w:rsidRPr="009A329E">
                <w:rPr>
                  <w:rFonts w:ascii="Arial" w:eastAsia="Times New Roman" w:hAnsi="Arial" w:cs="Arial"/>
                  <w:color w:val="0000FF"/>
                  <w:u w:val="single"/>
                </w:rPr>
                <w:t>Procedure: Viable Particle Testing</w:t>
              </w:r>
            </w:hyperlink>
          </w:p>
        </w:tc>
      </w:tr>
      <w:tr w:rsidR="00DE57DC" w:rsidRPr="009A329E" w14:paraId="4E2A979F"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7AA2AF43" w14:textId="77777777" w:rsidR="00DE57DC" w:rsidRPr="009A329E" w:rsidRDefault="000649F6" w:rsidP="009A329E">
            <w:pPr>
              <w:spacing w:after="0" w:line="240" w:lineRule="auto"/>
              <w:rPr>
                <w:rFonts w:ascii="Arial" w:eastAsia="Times New Roman" w:hAnsi="Arial" w:cs="Arial"/>
                <w:color w:val="0000FF"/>
                <w:u w:val="single"/>
              </w:rPr>
            </w:pPr>
            <w:hyperlink r:id="rId16" w:history="1">
              <w:r w:rsidR="00DE57DC" w:rsidRPr="009A329E">
                <w:rPr>
                  <w:rFonts w:ascii="Arial" w:eastAsia="Times New Roman" w:hAnsi="Arial" w:cs="Arial"/>
                  <w:color w:val="0000FF"/>
                  <w:u w:val="single"/>
                </w:rPr>
                <w:t>Procedure: Validation of Standard Operating Procedures, Forms, Labels and Job Aids</w:t>
              </w:r>
            </w:hyperlink>
          </w:p>
        </w:tc>
      </w:tr>
      <w:tr w:rsidR="00DE57DC" w:rsidRPr="009A329E" w14:paraId="659430A5"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3079962" w14:textId="77777777" w:rsidR="00DE57DC" w:rsidRPr="009A329E" w:rsidRDefault="000649F6" w:rsidP="009A329E">
            <w:pPr>
              <w:spacing w:after="0" w:line="240" w:lineRule="auto"/>
              <w:rPr>
                <w:rFonts w:ascii="Arial" w:eastAsia="Times New Roman" w:hAnsi="Arial" w:cs="Arial"/>
                <w:color w:val="0000FF"/>
                <w:u w:val="single"/>
              </w:rPr>
            </w:pPr>
            <w:hyperlink r:id="rId17" w:history="1">
              <w:r w:rsidR="00DE57DC" w:rsidRPr="009A329E">
                <w:rPr>
                  <w:rFonts w:ascii="Arial" w:eastAsia="Times New Roman" w:hAnsi="Arial" w:cs="Arial"/>
                  <w:color w:val="0000FF"/>
                  <w:u w:val="single"/>
                </w:rPr>
                <w:t>Procedure: Validation and Qualification</w:t>
              </w:r>
            </w:hyperlink>
          </w:p>
        </w:tc>
      </w:tr>
      <w:tr w:rsidR="00DE57DC" w:rsidRPr="009A329E" w14:paraId="5FDF4A94"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0FC6FCDC" w14:textId="77777777" w:rsidR="00DE57DC" w:rsidRPr="009A329E" w:rsidRDefault="000649F6" w:rsidP="009A329E">
            <w:pPr>
              <w:spacing w:after="0" w:line="240" w:lineRule="auto"/>
              <w:rPr>
                <w:rFonts w:ascii="Arial" w:eastAsia="Times New Roman" w:hAnsi="Arial" w:cs="Arial"/>
                <w:color w:val="0000FF"/>
                <w:u w:val="single"/>
              </w:rPr>
            </w:pPr>
            <w:hyperlink r:id="rId18" w:history="1">
              <w:r w:rsidR="00DE57DC" w:rsidRPr="009A329E">
                <w:rPr>
                  <w:rFonts w:ascii="Arial" w:eastAsia="Times New Roman" w:hAnsi="Arial" w:cs="Arial"/>
                  <w:color w:val="0000FF"/>
                  <w:u w:val="single"/>
                </w:rPr>
                <w:t>Procedure: Recalls and Market Withdrawals of Materials</w:t>
              </w:r>
            </w:hyperlink>
          </w:p>
        </w:tc>
      </w:tr>
      <w:tr w:rsidR="00DE57DC" w:rsidRPr="009A329E" w14:paraId="0228269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1A1A6883" w14:textId="77777777" w:rsidR="00DE57DC" w:rsidRPr="009A329E" w:rsidRDefault="000649F6" w:rsidP="009A329E">
            <w:pPr>
              <w:spacing w:after="0" w:line="240" w:lineRule="auto"/>
              <w:rPr>
                <w:rFonts w:ascii="Arial" w:eastAsia="Times New Roman" w:hAnsi="Arial" w:cs="Arial"/>
                <w:color w:val="0000FF"/>
                <w:u w:val="single"/>
              </w:rPr>
            </w:pPr>
            <w:hyperlink r:id="rId19" w:history="1">
              <w:r w:rsidR="00DE57DC" w:rsidRPr="009A329E">
                <w:rPr>
                  <w:rFonts w:ascii="Arial" w:eastAsia="Times New Roman" w:hAnsi="Arial" w:cs="Arial"/>
                  <w:color w:val="0000FF"/>
                  <w:u w:val="single"/>
                </w:rPr>
                <w:t>Procedure: Product Storage, Inventory Tracking and Disposal</w:t>
              </w:r>
            </w:hyperlink>
          </w:p>
        </w:tc>
      </w:tr>
      <w:tr w:rsidR="00DE57DC" w:rsidRPr="009A329E" w14:paraId="5E66745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95CF66C" w14:textId="77777777" w:rsidR="00DE57DC" w:rsidRPr="009A329E" w:rsidRDefault="000649F6" w:rsidP="009A329E">
            <w:pPr>
              <w:spacing w:after="0" w:line="240" w:lineRule="auto"/>
              <w:rPr>
                <w:rFonts w:ascii="Arial" w:eastAsia="Times New Roman" w:hAnsi="Arial" w:cs="Arial"/>
                <w:color w:val="0000FF"/>
                <w:u w:val="single"/>
              </w:rPr>
            </w:pPr>
            <w:hyperlink r:id="rId20" w:history="1">
              <w:r w:rsidR="00DE57DC" w:rsidRPr="009A329E">
                <w:rPr>
                  <w:rFonts w:ascii="Arial" w:eastAsia="Times New Roman" w:hAnsi="Arial" w:cs="Arial"/>
                  <w:color w:val="0000FF"/>
                  <w:u w:val="single"/>
                </w:rPr>
                <w:t>Procedure: Product Quarantine Storage and Warning Labels</w:t>
              </w:r>
            </w:hyperlink>
          </w:p>
        </w:tc>
      </w:tr>
      <w:tr w:rsidR="00DE57DC" w:rsidRPr="009A329E" w14:paraId="16A330BD"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1B89F5B0" w14:textId="77777777" w:rsidR="00DE57DC" w:rsidRPr="009A329E" w:rsidRDefault="000649F6" w:rsidP="009A329E">
            <w:pPr>
              <w:spacing w:after="0" w:line="240" w:lineRule="auto"/>
              <w:rPr>
                <w:rFonts w:ascii="Arial" w:eastAsia="Times New Roman" w:hAnsi="Arial" w:cs="Arial"/>
                <w:color w:val="0000FF"/>
                <w:u w:val="single"/>
              </w:rPr>
            </w:pPr>
            <w:hyperlink r:id="rId21" w:history="1">
              <w:r w:rsidR="00DE57DC" w:rsidRPr="009A329E">
                <w:rPr>
                  <w:rFonts w:ascii="Arial" w:eastAsia="Times New Roman" w:hAnsi="Arial" w:cs="Arial"/>
                  <w:color w:val="0000FF"/>
                  <w:u w:val="single"/>
                </w:rPr>
                <w:t>Procedure: Product Cryopreservation</w:t>
              </w:r>
            </w:hyperlink>
          </w:p>
        </w:tc>
      </w:tr>
      <w:tr w:rsidR="00DE57DC" w:rsidRPr="009A329E" w14:paraId="230030C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0D91874C" w14:textId="77777777" w:rsidR="00DE57DC" w:rsidRPr="009A329E" w:rsidRDefault="000649F6" w:rsidP="009A329E">
            <w:pPr>
              <w:spacing w:after="0" w:line="240" w:lineRule="auto"/>
              <w:rPr>
                <w:rFonts w:ascii="Arial" w:eastAsia="Times New Roman" w:hAnsi="Arial" w:cs="Arial"/>
                <w:color w:val="0000FF"/>
                <w:u w:val="single"/>
              </w:rPr>
            </w:pPr>
            <w:hyperlink r:id="rId22" w:history="1">
              <w:r w:rsidR="00DE57DC" w:rsidRPr="009A329E">
                <w:rPr>
                  <w:rFonts w:ascii="Arial" w:eastAsia="Times New Roman" w:hAnsi="Arial" w:cs="Arial"/>
                  <w:color w:val="0000FF"/>
                  <w:u w:val="single"/>
                </w:rPr>
                <w:t>Procedure: Product and Reagent Labeling</w:t>
              </w:r>
            </w:hyperlink>
          </w:p>
        </w:tc>
      </w:tr>
      <w:tr w:rsidR="00DE57DC" w:rsidRPr="009A329E" w14:paraId="346CA0B8"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95BDE51" w14:textId="77777777" w:rsidR="00DE57DC" w:rsidRPr="009A329E" w:rsidRDefault="000649F6" w:rsidP="009A329E">
            <w:pPr>
              <w:spacing w:after="0" w:line="240" w:lineRule="auto"/>
              <w:rPr>
                <w:rFonts w:ascii="Arial" w:eastAsia="Times New Roman" w:hAnsi="Arial" w:cs="Arial"/>
                <w:color w:val="0000FF"/>
                <w:u w:val="single"/>
              </w:rPr>
            </w:pPr>
            <w:hyperlink r:id="rId23" w:history="1">
              <w:r w:rsidR="00DE57DC" w:rsidRPr="009A329E">
                <w:rPr>
                  <w:rFonts w:ascii="Arial" w:eastAsia="Times New Roman" w:hAnsi="Arial" w:cs="Arial"/>
                  <w:color w:val="0000FF"/>
                  <w:u w:val="single"/>
                </w:rPr>
                <w:t>Procedure: Preparation and Control of Standard Operating Procedures and Forms</w:t>
              </w:r>
            </w:hyperlink>
          </w:p>
        </w:tc>
      </w:tr>
      <w:tr w:rsidR="00DE57DC" w:rsidRPr="009A329E" w14:paraId="320BE0FC"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65E7DC6" w14:textId="77777777" w:rsidR="00DE57DC" w:rsidRPr="009A329E" w:rsidRDefault="000649F6" w:rsidP="009A329E">
            <w:pPr>
              <w:spacing w:after="0" w:line="240" w:lineRule="auto"/>
              <w:rPr>
                <w:rFonts w:ascii="Arial" w:eastAsia="Times New Roman" w:hAnsi="Arial" w:cs="Arial"/>
                <w:color w:val="0000FF"/>
                <w:u w:val="single"/>
              </w:rPr>
            </w:pPr>
            <w:hyperlink r:id="rId24" w:history="1">
              <w:r w:rsidR="00DE57DC" w:rsidRPr="009A329E">
                <w:rPr>
                  <w:rFonts w:ascii="Arial" w:eastAsia="Times New Roman" w:hAnsi="Arial" w:cs="Arial"/>
                  <w:color w:val="0000FF"/>
                  <w:u w:val="single"/>
                </w:rPr>
                <w:t>Procedure: Platelet Reduction of Cellular Therapy Products</w:t>
              </w:r>
            </w:hyperlink>
          </w:p>
        </w:tc>
      </w:tr>
      <w:tr w:rsidR="00DE57DC" w:rsidRPr="009A329E" w14:paraId="38A8B4A3"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C782823" w14:textId="77777777" w:rsidR="00DE57DC" w:rsidRPr="009A329E" w:rsidRDefault="000649F6" w:rsidP="009A329E">
            <w:pPr>
              <w:spacing w:after="0" w:line="240" w:lineRule="auto"/>
              <w:rPr>
                <w:rFonts w:ascii="Arial" w:eastAsia="Times New Roman" w:hAnsi="Arial" w:cs="Arial"/>
                <w:color w:val="0000FF"/>
                <w:u w:val="single"/>
              </w:rPr>
            </w:pPr>
            <w:hyperlink r:id="rId25" w:history="1">
              <w:r w:rsidR="00DE57DC" w:rsidRPr="009A329E">
                <w:rPr>
                  <w:rFonts w:ascii="Arial" w:eastAsia="Times New Roman" w:hAnsi="Arial" w:cs="Arial"/>
                  <w:color w:val="0000FF"/>
                  <w:u w:val="single"/>
                </w:rPr>
                <w:t>Procedure: PDF Logger Kit Validation and Operation</w:t>
              </w:r>
            </w:hyperlink>
          </w:p>
        </w:tc>
      </w:tr>
      <w:tr w:rsidR="00DE57DC" w:rsidRPr="009A329E" w14:paraId="53B9FB84"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1FD544B8" w14:textId="77777777" w:rsidR="00DE57DC" w:rsidRPr="009A329E" w:rsidRDefault="000649F6" w:rsidP="009A329E">
            <w:pPr>
              <w:spacing w:after="0" w:line="240" w:lineRule="auto"/>
              <w:rPr>
                <w:rFonts w:ascii="Arial" w:eastAsia="Times New Roman" w:hAnsi="Arial" w:cs="Arial"/>
                <w:color w:val="0000FF"/>
                <w:u w:val="single"/>
              </w:rPr>
            </w:pPr>
            <w:hyperlink r:id="rId26" w:history="1">
              <w:r w:rsidR="00DE57DC" w:rsidRPr="009A329E">
                <w:rPr>
                  <w:rFonts w:ascii="Arial" w:eastAsia="Times New Roman" w:hAnsi="Arial" w:cs="Arial"/>
                  <w:color w:val="0000FF"/>
                  <w:u w:val="single"/>
                </w:rPr>
                <w:t>Procedure: Operation of the Sebra OMNI Sealer</w:t>
              </w:r>
            </w:hyperlink>
          </w:p>
        </w:tc>
      </w:tr>
      <w:tr w:rsidR="00DE57DC" w:rsidRPr="009A329E" w14:paraId="223D3F82"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20F2EB65" w14:textId="77777777" w:rsidR="00DE57DC" w:rsidRPr="009A329E" w:rsidRDefault="000649F6" w:rsidP="009A329E">
            <w:pPr>
              <w:spacing w:after="0" w:line="240" w:lineRule="auto"/>
              <w:rPr>
                <w:rFonts w:ascii="Arial" w:eastAsia="Times New Roman" w:hAnsi="Arial" w:cs="Arial"/>
                <w:color w:val="0000FF"/>
                <w:u w:val="single"/>
              </w:rPr>
            </w:pPr>
            <w:hyperlink r:id="rId27" w:history="1">
              <w:r w:rsidR="00DE57DC" w:rsidRPr="009A329E">
                <w:rPr>
                  <w:rFonts w:ascii="Arial" w:eastAsia="Times New Roman" w:hAnsi="Arial" w:cs="Arial"/>
                  <w:color w:val="0000FF"/>
                  <w:u w:val="single"/>
                </w:rPr>
                <w:t>Procedure: Operation of CryoMed® Controlled Rate Freezers</w:t>
              </w:r>
            </w:hyperlink>
          </w:p>
        </w:tc>
      </w:tr>
      <w:tr w:rsidR="00DE57DC" w:rsidRPr="009A329E" w14:paraId="5C2E1F8C"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22BA3273" w14:textId="77777777" w:rsidR="00DE57DC" w:rsidRPr="009A329E" w:rsidRDefault="000649F6" w:rsidP="009A329E">
            <w:pPr>
              <w:spacing w:after="0" w:line="240" w:lineRule="auto"/>
              <w:rPr>
                <w:rFonts w:ascii="Arial" w:eastAsia="Times New Roman" w:hAnsi="Arial" w:cs="Arial"/>
                <w:color w:val="0000FF"/>
                <w:u w:val="single"/>
              </w:rPr>
            </w:pPr>
            <w:hyperlink r:id="rId28" w:history="1">
              <w:r w:rsidR="00DE57DC" w:rsidRPr="009A329E">
                <w:rPr>
                  <w:rFonts w:ascii="Arial" w:eastAsia="Times New Roman" w:hAnsi="Arial" w:cs="Arial"/>
                  <w:color w:val="0000FF"/>
                  <w:u w:val="single"/>
                </w:rPr>
                <w:t>Procedure: Notification of the Food and Drug Administration and Other Accrediting Agencies</w:t>
              </w:r>
            </w:hyperlink>
          </w:p>
        </w:tc>
      </w:tr>
      <w:tr w:rsidR="00DE57DC" w:rsidRPr="009A329E" w14:paraId="0A451CBA"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707D196B" w14:textId="77777777" w:rsidR="00DE57DC" w:rsidRPr="009A329E" w:rsidRDefault="000649F6" w:rsidP="009A329E">
            <w:pPr>
              <w:spacing w:after="0" w:line="240" w:lineRule="auto"/>
              <w:rPr>
                <w:rFonts w:ascii="Arial" w:eastAsia="Times New Roman" w:hAnsi="Arial" w:cs="Arial"/>
                <w:color w:val="0000FF"/>
                <w:u w:val="single"/>
              </w:rPr>
            </w:pPr>
            <w:hyperlink r:id="rId29" w:history="1">
              <w:r w:rsidR="00DE57DC" w:rsidRPr="009A329E">
                <w:rPr>
                  <w:rFonts w:ascii="Arial" w:eastAsia="Times New Roman" w:hAnsi="Arial" w:cs="Arial"/>
                  <w:color w:val="0000FF"/>
                  <w:u w:val="single"/>
                </w:rPr>
                <w:t>Procedure: Nonconformity of Products/Materials and Dose Limitations</w:t>
              </w:r>
            </w:hyperlink>
          </w:p>
        </w:tc>
      </w:tr>
      <w:tr w:rsidR="00DE57DC" w:rsidRPr="009A329E" w14:paraId="71B8ACD8"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9977036" w14:textId="77777777" w:rsidR="00DE57DC" w:rsidRPr="009A329E" w:rsidRDefault="000649F6" w:rsidP="009A329E">
            <w:pPr>
              <w:spacing w:after="0" w:line="240" w:lineRule="auto"/>
              <w:rPr>
                <w:rFonts w:ascii="Arial" w:eastAsia="Times New Roman" w:hAnsi="Arial" w:cs="Arial"/>
                <w:color w:val="0000FF"/>
                <w:u w:val="single"/>
              </w:rPr>
            </w:pPr>
            <w:hyperlink r:id="rId30" w:history="1">
              <w:r w:rsidR="00DE57DC" w:rsidRPr="009A329E">
                <w:rPr>
                  <w:rFonts w:ascii="Arial" w:eastAsia="Times New Roman" w:hAnsi="Arial" w:cs="Arial"/>
                  <w:color w:val="0000FF"/>
                  <w:u w:val="single"/>
                </w:rPr>
                <w:t>Procedure: Management of Product Recalls</w:t>
              </w:r>
            </w:hyperlink>
          </w:p>
        </w:tc>
      </w:tr>
      <w:tr w:rsidR="00DE57DC" w:rsidRPr="009A329E" w14:paraId="28189245"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4CBC384" w14:textId="77777777" w:rsidR="00DE57DC" w:rsidRPr="009A329E" w:rsidRDefault="000649F6" w:rsidP="009A329E">
            <w:pPr>
              <w:spacing w:after="0" w:line="240" w:lineRule="auto"/>
              <w:rPr>
                <w:rFonts w:ascii="Arial" w:eastAsia="Times New Roman" w:hAnsi="Arial" w:cs="Arial"/>
                <w:color w:val="0000FF"/>
                <w:u w:val="single"/>
              </w:rPr>
            </w:pPr>
            <w:hyperlink r:id="rId31" w:history="1">
              <w:r w:rsidR="00DE57DC" w:rsidRPr="009A329E">
                <w:rPr>
                  <w:rFonts w:ascii="Arial" w:eastAsia="Times New Roman" w:hAnsi="Arial" w:cs="Arial"/>
                  <w:color w:val="0000FF"/>
                  <w:u w:val="single"/>
                </w:rPr>
                <w:t>Procedure: Management and Operation of VeriCor Cool Cube Transport Coolers</w:t>
              </w:r>
            </w:hyperlink>
          </w:p>
        </w:tc>
      </w:tr>
      <w:tr w:rsidR="00DE57DC" w:rsidRPr="009A329E" w14:paraId="6E32E615"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1B02972" w14:textId="77777777" w:rsidR="00DE57DC" w:rsidRPr="009A329E" w:rsidRDefault="000649F6" w:rsidP="009A329E">
            <w:pPr>
              <w:spacing w:after="0" w:line="240" w:lineRule="auto"/>
              <w:rPr>
                <w:rFonts w:ascii="Arial" w:eastAsia="Times New Roman" w:hAnsi="Arial" w:cs="Arial"/>
                <w:color w:val="0000FF"/>
                <w:u w:val="single"/>
              </w:rPr>
            </w:pPr>
            <w:hyperlink r:id="rId32" w:history="1">
              <w:r w:rsidR="00DE57DC" w:rsidRPr="009A329E">
                <w:rPr>
                  <w:rFonts w:ascii="Arial" w:eastAsia="Times New Roman" w:hAnsi="Arial" w:cs="Arial"/>
                  <w:color w:val="0000FF"/>
                  <w:u w:val="single"/>
                </w:rPr>
                <w:t>Procedure: LN2 Shipper and VeriCor Cool Cube Transport Cooler Quality Control</w:t>
              </w:r>
            </w:hyperlink>
          </w:p>
        </w:tc>
      </w:tr>
      <w:tr w:rsidR="00DE57DC" w:rsidRPr="009A329E" w14:paraId="0966A2E4"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31B1B482" w14:textId="77777777" w:rsidR="00DE57DC" w:rsidRPr="009A329E" w:rsidRDefault="000649F6" w:rsidP="009A329E">
            <w:pPr>
              <w:spacing w:after="0" w:line="240" w:lineRule="auto"/>
              <w:rPr>
                <w:rFonts w:ascii="Arial" w:eastAsia="Times New Roman" w:hAnsi="Arial" w:cs="Arial"/>
                <w:color w:val="0000FF"/>
                <w:u w:val="single"/>
              </w:rPr>
            </w:pPr>
            <w:hyperlink r:id="rId33" w:history="1">
              <w:r w:rsidR="00DE57DC" w:rsidRPr="009A329E">
                <w:rPr>
                  <w:rFonts w:ascii="Arial" w:eastAsia="Times New Roman" w:hAnsi="Arial" w:cs="Arial"/>
                  <w:color w:val="0000FF"/>
                  <w:u w:val="single"/>
                </w:rPr>
                <w:t>Procedure: ISBT Label Reprint</w:t>
              </w:r>
            </w:hyperlink>
          </w:p>
        </w:tc>
      </w:tr>
      <w:tr w:rsidR="00DE57DC" w:rsidRPr="009A329E" w14:paraId="7561F895"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183B921" w14:textId="77777777" w:rsidR="00DE57DC" w:rsidRPr="009A329E" w:rsidRDefault="000649F6" w:rsidP="009A329E">
            <w:pPr>
              <w:spacing w:after="0" w:line="240" w:lineRule="auto"/>
              <w:rPr>
                <w:rFonts w:ascii="Arial" w:eastAsia="Times New Roman" w:hAnsi="Arial" w:cs="Arial"/>
                <w:color w:val="0000FF"/>
                <w:u w:val="single"/>
              </w:rPr>
            </w:pPr>
            <w:hyperlink r:id="rId34" w:history="1">
              <w:r w:rsidR="00DE57DC" w:rsidRPr="009A329E">
                <w:rPr>
                  <w:rFonts w:ascii="Arial" w:eastAsia="Times New Roman" w:hAnsi="Arial" w:cs="Arial"/>
                  <w:color w:val="0000FF"/>
                  <w:u w:val="single"/>
                </w:rPr>
                <w:t>Procedure: ISBT 128 Donation Identification Number Label Sets</w:t>
              </w:r>
            </w:hyperlink>
          </w:p>
        </w:tc>
      </w:tr>
      <w:tr w:rsidR="00DE57DC" w:rsidRPr="009A329E" w14:paraId="3A4E375B"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A8A64EA" w14:textId="77777777" w:rsidR="00DE57DC" w:rsidRPr="009A329E" w:rsidRDefault="000649F6" w:rsidP="009A329E">
            <w:pPr>
              <w:spacing w:after="0" w:line="240" w:lineRule="auto"/>
              <w:rPr>
                <w:rFonts w:ascii="Arial" w:eastAsia="Times New Roman" w:hAnsi="Arial" w:cs="Arial"/>
                <w:color w:val="0000FF"/>
                <w:u w:val="single"/>
              </w:rPr>
            </w:pPr>
            <w:hyperlink r:id="rId35" w:history="1">
              <w:r w:rsidR="00DE57DC" w:rsidRPr="009A329E">
                <w:rPr>
                  <w:rFonts w:ascii="Arial" w:eastAsia="Times New Roman" w:hAnsi="Arial" w:cs="Arial"/>
                  <w:color w:val="0000FF"/>
                  <w:u w:val="single"/>
                </w:rPr>
                <w:t>Procedure: Internal Assessments</w:t>
              </w:r>
            </w:hyperlink>
          </w:p>
        </w:tc>
      </w:tr>
      <w:tr w:rsidR="00DE57DC" w:rsidRPr="009A329E" w14:paraId="6F0FBD2F"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5AE696F" w14:textId="77777777" w:rsidR="00DE57DC" w:rsidRPr="009A329E" w:rsidRDefault="000649F6" w:rsidP="009A329E">
            <w:pPr>
              <w:spacing w:after="0" w:line="240" w:lineRule="auto"/>
              <w:rPr>
                <w:rFonts w:ascii="Arial" w:eastAsia="Times New Roman" w:hAnsi="Arial" w:cs="Arial"/>
                <w:color w:val="0000FF"/>
                <w:u w:val="single"/>
              </w:rPr>
            </w:pPr>
            <w:hyperlink r:id="rId36" w:history="1">
              <w:r w:rsidR="00DE57DC" w:rsidRPr="009A329E">
                <w:rPr>
                  <w:rFonts w:ascii="Arial" w:eastAsia="Times New Roman" w:hAnsi="Arial" w:cs="Arial"/>
                  <w:color w:val="0000FF"/>
                  <w:u w:val="single"/>
                </w:rPr>
                <w:t>Procedure: Infusion of Cryopreserved Products</w:t>
              </w:r>
            </w:hyperlink>
          </w:p>
        </w:tc>
      </w:tr>
      <w:tr w:rsidR="00DE57DC" w:rsidRPr="009A329E" w14:paraId="3E4ACBF5"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9D9A990" w14:textId="77777777" w:rsidR="00DE57DC" w:rsidRPr="009A329E" w:rsidRDefault="000649F6" w:rsidP="009A329E">
            <w:pPr>
              <w:spacing w:after="0" w:line="240" w:lineRule="auto"/>
              <w:rPr>
                <w:rFonts w:ascii="Arial" w:eastAsia="Times New Roman" w:hAnsi="Arial" w:cs="Arial"/>
                <w:color w:val="0000FF"/>
                <w:u w:val="single"/>
              </w:rPr>
            </w:pPr>
            <w:hyperlink r:id="rId37" w:history="1">
              <w:r w:rsidR="00DE57DC" w:rsidRPr="009A329E">
                <w:rPr>
                  <w:rFonts w:ascii="Arial" w:eastAsia="Times New Roman" w:hAnsi="Arial" w:cs="Arial"/>
                  <w:color w:val="0000FF"/>
                  <w:u w:val="single"/>
                </w:rPr>
                <w:t>Procedure: Infectious Disease Marker Testing</w:t>
              </w:r>
            </w:hyperlink>
          </w:p>
        </w:tc>
      </w:tr>
      <w:tr w:rsidR="00DE57DC" w:rsidRPr="009A329E" w14:paraId="6F296BFD"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67F5D41" w14:textId="77777777" w:rsidR="00DE57DC" w:rsidRPr="009A329E" w:rsidRDefault="000649F6" w:rsidP="009A329E">
            <w:pPr>
              <w:spacing w:after="0" w:line="240" w:lineRule="auto"/>
              <w:rPr>
                <w:rFonts w:ascii="Arial" w:eastAsia="Times New Roman" w:hAnsi="Arial" w:cs="Arial"/>
                <w:color w:val="0000FF"/>
                <w:u w:val="single"/>
              </w:rPr>
            </w:pPr>
            <w:hyperlink r:id="rId38" w:history="1">
              <w:r w:rsidR="00DE57DC" w:rsidRPr="009A329E">
                <w:rPr>
                  <w:rFonts w:ascii="Arial" w:eastAsia="Times New Roman" w:hAnsi="Arial" w:cs="Arial"/>
                  <w:color w:val="0000FF"/>
                  <w:u w:val="single"/>
                </w:rPr>
                <w:t>Procedure: Hood Quality Control and Disinfection</w:t>
              </w:r>
            </w:hyperlink>
          </w:p>
        </w:tc>
      </w:tr>
      <w:tr w:rsidR="00DE57DC" w:rsidRPr="009A329E" w14:paraId="2B9F1E04"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404EA58" w14:textId="77777777" w:rsidR="00DE57DC" w:rsidRPr="009A329E" w:rsidRDefault="000649F6" w:rsidP="009A329E">
            <w:pPr>
              <w:spacing w:after="0" w:line="240" w:lineRule="auto"/>
              <w:rPr>
                <w:rFonts w:ascii="Arial" w:eastAsia="Times New Roman" w:hAnsi="Arial" w:cs="Arial"/>
                <w:color w:val="0000FF"/>
                <w:u w:val="single"/>
              </w:rPr>
            </w:pPr>
            <w:hyperlink r:id="rId39" w:history="1">
              <w:r w:rsidR="00DE57DC" w:rsidRPr="009A329E">
                <w:rPr>
                  <w:rFonts w:ascii="Arial" w:eastAsia="Times New Roman" w:hAnsi="Arial" w:cs="Arial"/>
                  <w:color w:val="0000FF"/>
                  <w:u w:val="single"/>
                </w:rPr>
                <w:t>Procedure: Equipment Management</w:t>
              </w:r>
            </w:hyperlink>
          </w:p>
        </w:tc>
      </w:tr>
      <w:tr w:rsidR="00DE57DC" w:rsidRPr="009A329E" w14:paraId="08B428D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124F5673" w14:textId="77777777" w:rsidR="00DE57DC" w:rsidRPr="009A329E" w:rsidRDefault="000649F6" w:rsidP="009A329E">
            <w:pPr>
              <w:spacing w:after="0" w:line="240" w:lineRule="auto"/>
              <w:rPr>
                <w:rFonts w:ascii="Arial" w:eastAsia="Times New Roman" w:hAnsi="Arial" w:cs="Arial"/>
                <w:color w:val="0000FF"/>
                <w:u w:val="single"/>
              </w:rPr>
            </w:pPr>
            <w:hyperlink r:id="rId40" w:history="1">
              <w:r w:rsidR="00DE57DC" w:rsidRPr="009A329E">
                <w:rPr>
                  <w:rFonts w:ascii="Arial" w:eastAsia="Times New Roman" w:hAnsi="Arial" w:cs="Arial"/>
                  <w:color w:val="0000FF"/>
                  <w:u w:val="single"/>
                </w:rPr>
                <w:t>Procedure: Environmental Services Cleaning/Disinfection in Cellular Therapy Lab</w:t>
              </w:r>
            </w:hyperlink>
          </w:p>
        </w:tc>
      </w:tr>
      <w:tr w:rsidR="00DE57DC" w:rsidRPr="009A329E" w14:paraId="4EF9AA5C"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028F4FEB" w14:textId="77777777" w:rsidR="00DE57DC" w:rsidRPr="009A329E" w:rsidRDefault="000649F6" w:rsidP="009A329E">
            <w:pPr>
              <w:spacing w:after="0" w:line="240" w:lineRule="auto"/>
              <w:rPr>
                <w:rFonts w:ascii="Arial" w:eastAsia="Times New Roman" w:hAnsi="Arial" w:cs="Arial"/>
                <w:color w:val="0000FF"/>
                <w:u w:val="single"/>
              </w:rPr>
            </w:pPr>
            <w:hyperlink r:id="rId41" w:history="1">
              <w:r w:rsidR="00DE57DC" w:rsidRPr="009A329E">
                <w:rPr>
                  <w:rFonts w:ascii="Arial" w:eastAsia="Times New Roman" w:hAnsi="Arial" w:cs="Arial"/>
                  <w:color w:val="0000FF"/>
                  <w:u w:val="single"/>
                </w:rPr>
                <w:t>Procedure: Environmental Monitoring</w:t>
              </w:r>
            </w:hyperlink>
          </w:p>
        </w:tc>
      </w:tr>
      <w:tr w:rsidR="00DE57DC" w:rsidRPr="009A329E" w14:paraId="1330DC00"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B0969E8" w14:textId="77777777" w:rsidR="00DE57DC" w:rsidRPr="009A329E" w:rsidRDefault="000649F6" w:rsidP="009A329E">
            <w:pPr>
              <w:spacing w:after="0" w:line="240" w:lineRule="auto"/>
              <w:rPr>
                <w:rFonts w:ascii="Arial" w:eastAsia="Times New Roman" w:hAnsi="Arial" w:cs="Arial"/>
                <w:color w:val="0000FF"/>
                <w:u w:val="single"/>
              </w:rPr>
            </w:pPr>
            <w:hyperlink r:id="rId42" w:history="1">
              <w:r w:rsidR="00DE57DC" w:rsidRPr="009A329E">
                <w:rPr>
                  <w:rFonts w:ascii="Arial" w:eastAsia="Times New Roman" w:hAnsi="Arial" w:cs="Arial"/>
                  <w:color w:val="0000FF"/>
                  <w:u w:val="single"/>
                </w:rPr>
                <w:t>Procedure: Environmental Disinfection in Cellular Therapy Lab</w:t>
              </w:r>
            </w:hyperlink>
          </w:p>
        </w:tc>
      </w:tr>
      <w:tr w:rsidR="00DE57DC" w:rsidRPr="009A329E" w14:paraId="5D9C6283"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C164686" w14:textId="77777777" w:rsidR="00DE57DC" w:rsidRPr="009A329E" w:rsidRDefault="000649F6" w:rsidP="009A329E">
            <w:pPr>
              <w:spacing w:after="0" w:line="240" w:lineRule="auto"/>
              <w:rPr>
                <w:rFonts w:ascii="Arial" w:eastAsia="Times New Roman" w:hAnsi="Arial" w:cs="Arial"/>
                <w:color w:val="0000FF"/>
                <w:u w:val="single"/>
              </w:rPr>
            </w:pPr>
            <w:hyperlink r:id="rId43" w:history="1">
              <w:r w:rsidR="00DE57DC" w:rsidRPr="009A329E">
                <w:rPr>
                  <w:rFonts w:ascii="Arial" w:eastAsia="Times New Roman" w:hAnsi="Arial" w:cs="Arial"/>
                  <w:color w:val="0000FF"/>
                  <w:u w:val="single"/>
                </w:rPr>
                <w:t>Procedure: Director Designation and Responsibilities: Cellular Therapy Processing Facility</w:t>
              </w:r>
            </w:hyperlink>
          </w:p>
        </w:tc>
      </w:tr>
      <w:tr w:rsidR="00DE57DC" w:rsidRPr="009A329E" w14:paraId="5398A7CC"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7FB026B" w14:textId="77777777" w:rsidR="00DE57DC" w:rsidRPr="009A329E" w:rsidRDefault="000649F6" w:rsidP="009A329E">
            <w:pPr>
              <w:spacing w:after="0" w:line="240" w:lineRule="auto"/>
              <w:rPr>
                <w:rFonts w:ascii="Arial" w:eastAsia="Times New Roman" w:hAnsi="Arial" w:cs="Arial"/>
                <w:color w:val="0000FF"/>
                <w:u w:val="single"/>
              </w:rPr>
            </w:pPr>
            <w:hyperlink r:id="rId44" w:history="1">
              <w:r w:rsidR="00DE57DC" w:rsidRPr="009A329E">
                <w:rPr>
                  <w:rFonts w:ascii="Arial" w:eastAsia="Times New Roman" w:hAnsi="Arial" w:cs="Arial"/>
                  <w:color w:val="0000FF"/>
                  <w:u w:val="single"/>
                </w:rPr>
                <w:t>Procedure: Data Entry and Electronic Records</w:t>
              </w:r>
            </w:hyperlink>
          </w:p>
        </w:tc>
      </w:tr>
      <w:tr w:rsidR="00DE57DC" w:rsidRPr="009A329E" w14:paraId="5ED92D97"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226A30A7" w14:textId="77777777" w:rsidR="00DE57DC" w:rsidRPr="009A329E" w:rsidRDefault="000649F6" w:rsidP="009A329E">
            <w:pPr>
              <w:spacing w:after="0" w:line="240" w:lineRule="auto"/>
              <w:rPr>
                <w:rFonts w:ascii="Arial" w:eastAsia="Times New Roman" w:hAnsi="Arial" w:cs="Arial"/>
                <w:color w:val="0000FF"/>
                <w:u w:val="single"/>
              </w:rPr>
            </w:pPr>
            <w:hyperlink r:id="rId45" w:history="1">
              <w:r w:rsidR="00DE57DC" w:rsidRPr="009A329E">
                <w:rPr>
                  <w:rFonts w:ascii="Arial" w:eastAsia="Times New Roman" w:hAnsi="Arial" w:cs="Arial"/>
                  <w:color w:val="0000FF"/>
                  <w:u w:val="single"/>
                </w:rPr>
                <w:t>Procedure: Computer Downtime</w:t>
              </w:r>
            </w:hyperlink>
          </w:p>
        </w:tc>
      </w:tr>
      <w:tr w:rsidR="00DE57DC" w:rsidRPr="009A329E" w14:paraId="6039BCF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33E12AF5" w14:textId="77777777" w:rsidR="00DE57DC" w:rsidRPr="009A329E" w:rsidRDefault="000649F6" w:rsidP="009A329E">
            <w:pPr>
              <w:spacing w:after="0" w:line="240" w:lineRule="auto"/>
              <w:rPr>
                <w:rFonts w:ascii="Arial" w:eastAsia="Times New Roman" w:hAnsi="Arial" w:cs="Arial"/>
                <w:color w:val="0000FF"/>
                <w:u w:val="single"/>
              </w:rPr>
            </w:pPr>
            <w:hyperlink r:id="rId46" w:history="1">
              <w:r w:rsidR="00DE57DC" w:rsidRPr="009A329E">
                <w:rPr>
                  <w:rFonts w:ascii="Arial" w:eastAsia="Times New Roman" w:hAnsi="Arial" w:cs="Arial"/>
                  <w:color w:val="0000FF"/>
                  <w:u w:val="single"/>
                </w:rPr>
                <w:t>Procedure: Change Control Management and Risk Assessment</w:t>
              </w:r>
            </w:hyperlink>
          </w:p>
        </w:tc>
      </w:tr>
      <w:tr w:rsidR="00DE57DC" w:rsidRPr="009A329E" w14:paraId="6AE8B14B"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09039E9D" w14:textId="77777777" w:rsidR="00DE57DC" w:rsidRPr="009A329E" w:rsidRDefault="000649F6" w:rsidP="009A329E">
            <w:pPr>
              <w:spacing w:after="0" w:line="240" w:lineRule="auto"/>
              <w:rPr>
                <w:rFonts w:ascii="Arial" w:eastAsia="Times New Roman" w:hAnsi="Arial" w:cs="Arial"/>
                <w:color w:val="0000FF"/>
                <w:u w:val="single"/>
              </w:rPr>
            </w:pPr>
            <w:hyperlink r:id="rId47" w:history="1">
              <w:r w:rsidR="00DE57DC" w:rsidRPr="009A329E">
                <w:rPr>
                  <w:rFonts w:ascii="Arial" w:eastAsia="Times New Roman" w:hAnsi="Arial" w:cs="Arial"/>
                  <w:color w:val="0000FF"/>
                  <w:u w:val="single"/>
                </w:rPr>
                <w:t>Procedure: Cellular Therapy Product Terminology</w:t>
              </w:r>
            </w:hyperlink>
          </w:p>
        </w:tc>
      </w:tr>
      <w:tr w:rsidR="00DE57DC" w:rsidRPr="009A329E" w14:paraId="5354F263"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7BE6764A" w14:textId="77777777" w:rsidR="00DE57DC" w:rsidRPr="009A329E" w:rsidRDefault="000649F6" w:rsidP="009A329E">
            <w:pPr>
              <w:spacing w:after="0" w:line="240" w:lineRule="auto"/>
              <w:rPr>
                <w:rFonts w:ascii="Arial" w:eastAsia="Times New Roman" w:hAnsi="Arial" w:cs="Arial"/>
                <w:color w:val="0000FF"/>
                <w:u w:val="single"/>
              </w:rPr>
            </w:pPr>
            <w:hyperlink r:id="rId48" w:history="1">
              <w:r w:rsidR="00DE57DC" w:rsidRPr="009A329E">
                <w:rPr>
                  <w:rFonts w:ascii="Arial" w:eastAsia="Times New Roman" w:hAnsi="Arial" w:cs="Arial"/>
                  <w:color w:val="0000FF"/>
                  <w:u w:val="single"/>
                </w:rPr>
                <w:t>Procedure: Cellular Therapy Product Release</w:t>
              </w:r>
            </w:hyperlink>
          </w:p>
        </w:tc>
      </w:tr>
      <w:tr w:rsidR="00DE57DC" w:rsidRPr="009A329E" w14:paraId="29C00652"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6FC57C5" w14:textId="77777777" w:rsidR="00DE57DC" w:rsidRPr="009A329E" w:rsidRDefault="000649F6" w:rsidP="009A329E">
            <w:pPr>
              <w:spacing w:after="0" w:line="240" w:lineRule="auto"/>
              <w:rPr>
                <w:rFonts w:ascii="Arial" w:eastAsia="Times New Roman" w:hAnsi="Arial" w:cs="Arial"/>
                <w:color w:val="0000FF"/>
                <w:u w:val="single"/>
              </w:rPr>
            </w:pPr>
            <w:hyperlink r:id="rId49" w:history="1">
              <w:r w:rsidR="00DE57DC" w:rsidRPr="009A329E">
                <w:rPr>
                  <w:rFonts w:ascii="Arial" w:eastAsia="Times New Roman" w:hAnsi="Arial" w:cs="Arial"/>
                  <w:color w:val="0000FF"/>
                  <w:u w:val="single"/>
                </w:rPr>
                <w:t>Procedure: Cellular Therapy Laboratory Document and Record Management</w:t>
              </w:r>
            </w:hyperlink>
          </w:p>
        </w:tc>
      </w:tr>
      <w:tr w:rsidR="00DE57DC" w:rsidRPr="009A329E" w14:paraId="32C2B52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6BF44E4" w14:textId="77777777" w:rsidR="00DE57DC" w:rsidRPr="009A329E" w:rsidRDefault="000649F6" w:rsidP="009A329E">
            <w:pPr>
              <w:spacing w:after="0" w:line="240" w:lineRule="auto"/>
              <w:rPr>
                <w:rFonts w:ascii="Arial" w:eastAsia="Times New Roman" w:hAnsi="Arial" w:cs="Arial"/>
                <w:color w:val="0000FF"/>
                <w:u w:val="single"/>
              </w:rPr>
            </w:pPr>
            <w:hyperlink r:id="rId50" w:history="1">
              <w:r w:rsidR="00DE57DC" w:rsidRPr="009A329E">
                <w:rPr>
                  <w:rFonts w:ascii="Arial" w:eastAsia="Times New Roman" w:hAnsi="Arial" w:cs="Arial"/>
                  <w:color w:val="0000FF"/>
                  <w:u w:val="single"/>
                </w:rPr>
                <w:t>Procedure: Cellular Therapy Lab Supplier Qualification</w:t>
              </w:r>
            </w:hyperlink>
          </w:p>
        </w:tc>
      </w:tr>
      <w:tr w:rsidR="00DE57DC" w:rsidRPr="009A329E" w14:paraId="52B5594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72AC2FDE" w14:textId="77777777" w:rsidR="00DE57DC" w:rsidRPr="009A329E" w:rsidRDefault="000649F6" w:rsidP="009A329E">
            <w:pPr>
              <w:spacing w:after="0" w:line="240" w:lineRule="auto"/>
              <w:rPr>
                <w:rFonts w:ascii="Arial" w:eastAsia="Times New Roman" w:hAnsi="Arial" w:cs="Arial"/>
                <w:color w:val="0000FF"/>
                <w:u w:val="single"/>
              </w:rPr>
            </w:pPr>
            <w:hyperlink r:id="rId51" w:history="1">
              <w:r w:rsidR="00DE57DC" w:rsidRPr="009A329E">
                <w:rPr>
                  <w:rFonts w:ascii="Arial" w:eastAsia="Times New Roman" w:hAnsi="Arial" w:cs="Arial"/>
                  <w:color w:val="0000FF"/>
                  <w:u w:val="single"/>
                </w:rPr>
                <w:t>Procedure: Cellular Therapy Lab Sterile Connecting Device Operation</w:t>
              </w:r>
            </w:hyperlink>
          </w:p>
        </w:tc>
      </w:tr>
      <w:tr w:rsidR="00DE57DC" w:rsidRPr="009A329E" w14:paraId="24F814B4"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122EB590" w14:textId="77777777" w:rsidR="00DE57DC" w:rsidRPr="009A329E" w:rsidRDefault="000649F6" w:rsidP="009A329E">
            <w:pPr>
              <w:spacing w:after="0" w:line="240" w:lineRule="auto"/>
              <w:rPr>
                <w:rFonts w:ascii="Arial" w:eastAsia="Times New Roman" w:hAnsi="Arial" w:cs="Arial"/>
                <w:color w:val="0000FF"/>
                <w:u w:val="single"/>
              </w:rPr>
            </w:pPr>
            <w:hyperlink r:id="rId52" w:history="1">
              <w:r w:rsidR="00DE57DC" w:rsidRPr="009A329E">
                <w:rPr>
                  <w:rFonts w:ascii="Arial" w:eastAsia="Times New Roman" w:hAnsi="Arial" w:cs="Arial"/>
                  <w:color w:val="0000FF"/>
                  <w:u w:val="single"/>
                </w:rPr>
                <w:t>Procedure: Cellular Therapy Lab Security</w:t>
              </w:r>
            </w:hyperlink>
          </w:p>
        </w:tc>
      </w:tr>
      <w:tr w:rsidR="00DE57DC" w:rsidRPr="009A329E" w14:paraId="79825A1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C3F0A7E" w14:textId="77777777" w:rsidR="00DE57DC" w:rsidRPr="009A329E" w:rsidRDefault="000649F6" w:rsidP="009A329E">
            <w:pPr>
              <w:spacing w:after="0" w:line="240" w:lineRule="auto"/>
              <w:rPr>
                <w:rFonts w:ascii="Arial" w:eastAsia="Times New Roman" w:hAnsi="Arial" w:cs="Arial"/>
                <w:color w:val="0000FF"/>
                <w:u w:val="single"/>
              </w:rPr>
            </w:pPr>
            <w:hyperlink r:id="rId53" w:history="1">
              <w:r w:rsidR="00DE57DC" w:rsidRPr="009A329E">
                <w:rPr>
                  <w:rFonts w:ascii="Arial" w:eastAsia="Times New Roman" w:hAnsi="Arial" w:cs="Arial"/>
                  <w:color w:val="0000FF"/>
                  <w:u w:val="single"/>
                </w:rPr>
                <w:t>Procedure: Cellular Therapy Lab Research Requests</w:t>
              </w:r>
            </w:hyperlink>
          </w:p>
        </w:tc>
      </w:tr>
      <w:tr w:rsidR="00DE57DC" w:rsidRPr="009A329E" w14:paraId="2682855C"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18C707CA" w14:textId="77777777" w:rsidR="00DE57DC" w:rsidRPr="009A329E" w:rsidRDefault="000649F6" w:rsidP="009A329E">
            <w:pPr>
              <w:spacing w:after="0" w:line="240" w:lineRule="auto"/>
              <w:rPr>
                <w:rFonts w:ascii="Arial" w:eastAsia="Times New Roman" w:hAnsi="Arial" w:cs="Arial"/>
                <w:color w:val="0000FF"/>
                <w:u w:val="single"/>
              </w:rPr>
            </w:pPr>
            <w:hyperlink r:id="rId54" w:history="1">
              <w:r w:rsidR="00DE57DC" w:rsidRPr="009A329E">
                <w:rPr>
                  <w:rFonts w:ascii="Arial" w:eastAsia="Times New Roman" w:hAnsi="Arial" w:cs="Arial"/>
                  <w:color w:val="0000FF"/>
                  <w:u w:val="single"/>
                </w:rPr>
                <w:t>Procedure: Cellular Therapy Lab Quality Management Plan</w:t>
              </w:r>
            </w:hyperlink>
          </w:p>
        </w:tc>
      </w:tr>
      <w:tr w:rsidR="00DE57DC" w:rsidRPr="009A329E" w14:paraId="384BC66C"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7842DE01" w14:textId="77777777" w:rsidR="00DE57DC" w:rsidRPr="009A329E" w:rsidRDefault="000649F6" w:rsidP="009A329E">
            <w:pPr>
              <w:spacing w:after="0" w:line="240" w:lineRule="auto"/>
              <w:rPr>
                <w:rFonts w:ascii="Arial" w:eastAsia="Times New Roman" w:hAnsi="Arial" w:cs="Arial"/>
                <w:color w:val="0000FF"/>
                <w:u w:val="single"/>
              </w:rPr>
            </w:pPr>
            <w:hyperlink r:id="rId55" w:history="1">
              <w:r w:rsidR="00DE57DC" w:rsidRPr="009A329E">
                <w:rPr>
                  <w:rFonts w:ascii="Arial" w:eastAsia="Times New Roman" w:hAnsi="Arial" w:cs="Arial"/>
                  <w:color w:val="0000FF"/>
                  <w:u w:val="single"/>
                </w:rPr>
                <w:t>Procedure: Cellular Therapy Lab On-Boarding, Training and Competency</w:t>
              </w:r>
            </w:hyperlink>
          </w:p>
        </w:tc>
      </w:tr>
      <w:tr w:rsidR="00DE57DC" w:rsidRPr="009A329E" w14:paraId="22032C8F"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E07F307" w14:textId="77777777" w:rsidR="00DE57DC" w:rsidRPr="009A329E" w:rsidRDefault="000649F6" w:rsidP="009A329E">
            <w:pPr>
              <w:spacing w:after="0" w:line="240" w:lineRule="auto"/>
              <w:rPr>
                <w:rFonts w:ascii="Arial" w:eastAsia="Times New Roman" w:hAnsi="Arial" w:cs="Arial"/>
                <w:color w:val="0000FF"/>
                <w:u w:val="single"/>
              </w:rPr>
            </w:pPr>
            <w:hyperlink r:id="rId56" w:history="1">
              <w:r w:rsidR="00DE57DC" w:rsidRPr="009A329E">
                <w:rPr>
                  <w:rFonts w:ascii="Arial" w:eastAsia="Times New Roman" w:hAnsi="Arial" w:cs="Arial"/>
                  <w:color w:val="0000FF"/>
                  <w:u w:val="single"/>
                </w:rPr>
                <w:t>Procedure: Cellular Therapy Lab Occurrence Management</w:t>
              </w:r>
            </w:hyperlink>
          </w:p>
        </w:tc>
      </w:tr>
      <w:tr w:rsidR="00DE57DC" w:rsidRPr="009A329E" w14:paraId="708B4876"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7303C6F" w14:textId="77777777" w:rsidR="00DE57DC" w:rsidRPr="009A329E" w:rsidRDefault="000649F6" w:rsidP="009A329E">
            <w:pPr>
              <w:spacing w:after="0" w:line="240" w:lineRule="auto"/>
              <w:rPr>
                <w:rFonts w:ascii="Arial" w:eastAsia="Times New Roman" w:hAnsi="Arial" w:cs="Arial"/>
                <w:color w:val="0000FF"/>
                <w:u w:val="single"/>
              </w:rPr>
            </w:pPr>
            <w:hyperlink r:id="rId57" w:history="1">
              <w:r w:rsidR="00DE57DC" w:rsidRPr="009A329E">
                <w:rPr>
                  <w:rFonts w:ascii="Arial" w:eastAsia="Times New Roman" w:hAnsi="Arial" w:cs="Arial"/>
                  <w:color w:val="0000FF"/>
                  <w:u w:val="single"/>
                </w:rPr>
                <w:t>Procedure: Cellular Therapy Lab Liquid Nitrogen Safety</w:t>
              </w:r>
            </w:hyperlink>
          </w:p>
        </w:tc>
      </w:tr>
      <w:tr w:rsidR="00DE57DC" w:rsidRPr="009A329E" w14:paraId="69E6DF90"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2A67C46A" w14:textId="77777777" w:rsidR="00DE57DC" w:rsidRPr="009A329E" w:rsidRDefault="000649F6" w:rsidP="009A329E">
            <w:pPr>
              <w:spacing w:after="0" w:line="240" w:lineRule="auto"/>
              <w:rPr>
                <w:rFonts w:ascii="Arial" w:eastAsia="Times New Roman" w:hAnsi="Arial" w:cs="Arial"/>
                <w:color w:val="0000FF"/>
                <w:u w:val="single"/>
              </w:rPr>
            </w:pPr>
            <w:hyperlink r:id="rId58" w:history="1">
              <w:r w:rsidR="00DE57DC" w:rsidRPr="009A329E">
                <w:rPr>
                  <w:rFonts w:ascii="Arial" w:eastAsia="Times New Roman" w:hAnsi="Arial" w:cs="Arial"/>
                  <w:color w:val="0000FF"/>
                  <w:u w:val="single"/>
                </w:rPr>
                <w:t>Procedure: Cellular Therapy Lab Inspection Protocol</w:t>
              </w:r>
            </w:hyperlink>
          </w:p>
        </w:tc>
      </w:tr>
      <w:tr w:rsidR="00DE57DC" w:rsidRPr="009A329E" w14:paraId="0D63503F"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591B74F9" w14:textId="77777777" w:rsidR="00DE57DC" w:rsidRPr="009A329E" w:rsidRDefault="000649F6" w:rsidP="009A329E">
            <w:pPr>
              <w:spacing w:after="0" w:line="240" w:lineRule="auto"/>
              <w:rPr>
                <w:rFonts w:ascii="Arial" w:eastAsia="Times New Roman" w:hAnsi="Arial" w:cs="Arial"/>
                <w:color w:val="0000FF"/>
                <w:u w:val="single"/>
              </w:rPr>
            </w:pPr>
            <w:hyperlink r:id="rId59" w:history="1">
              <w:r w:rsidR="00DE57DC" w:rsidRPr="009A329E">
                <w:rPr>
                  <w:rFonts w:ascii="Arial" w:eastAsia="Times New Roman" w:hAnsi="Arial" w:cs="Arial"/>
                  <w:color w:val="0000FF"/>
                  <w:u w:val="single"/>
                </w:rPr>
                <w:t>Procedure: Cellular Therapy Lab Emergency Plan</w:t>
              </w:r>
            </w:hyperlink>
          </w:p>
        </w:tc>
      </w:tr>
      <w:tr w:rsidR="00DE57DC" w:rsidRPr="009A329E" w14:paraId="67BAF1AE"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0DD60CEF" w14:textId="77777777" w:rsidR="00DE57DC" w:rsidRPr="009A329E" w:rsidRDefault="000649F6" w:rsidP="009A329E">
            <w:pPr>
              <w:spacing w:after="0" w:line="240" w:lineRule="auto"/>
              <w:rPr>
                <w:rFonts w:ascii="Arial" w:eastAsia="Times New Roman" w:hAnsi="Arial" w:cs="Arial"/>
                <w:color w:val="0000FF"/>
                <w:u w:val="single"/>
              </w:rPr>
            </w:pPr>
            <w:hyperlink r:id="rId60" w:history="1">
              <w:r w:rsidR="00DE57DC" w:rsidRPr="009A329E">
                <w:rPr>
                  <w:rFonts w:ascii="Arial" w:eastAsia="Times New Roman" w:hAnsi="Arial" w:cs="Arial"/>
                  <w:color w:val="0000FF"/>
                  <w:u w:val="single"/>
                </w:rPr>
                <w:t>Procedure: Calculation Recording</w:t>
              </w:r>
            </w:hyperlink>
          </w:p>
        </w:tc>
      </w:tr>
      <w:tr w:rsidR="00DE57DC" w:rsidRPr="009A329E" w14:paraId="0A730AD9"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4ACBE091" w14:textId="77777777" w:rsidR="00DE57DC" w:rsidRPr="009A329E" w:rsidRDefault="000649F6" w:rsidP="009A329E">
            <w:pPr>
              <w:spacing w:after="0" w:line="240" w:lineRule="auto"/>
              <w:rPr>
                <w:rFonts w:ascii="Arial" w:eastAsia="Times New Roman" w:hAnsi="Arial" w:cs="Arial"/>
                <w:color w:val="0000FF"/>
                <w:u w:val="single"/>
              </w:rPr>
            </w:pPr>
            <w:hyperlink r:id="rId61" w:history="1">
              <w:r w:rsidR="00DE57DC" w:rsidRPr="009A329E">
                <w:rPr>
                  <w:rFonts w:ascii="Arial" w:eastAsia="Times New Roman" w:hAnsi="Arial" w:cs="Arial"/>
                  <w:color w:val="0000FF"/>
                  <w:u w:val="single"/>
                </w:rPr>
                <w:t>Procedure: Aseptic Technique for Cell Processing</w:t>
              </w:r>
            </w:hyperlink>
          </w:p>
        </w:tc>
      </w:tr>
      <w:tr w:rsidR="00DE57DC" w:rsidRPr="009A329E" w14:paraId="524C9E4B"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9147EAD" w14:textId="77777777" w:rsidR="00DE57DC" w:rsidRPr="009A329E" w:rsidRDefault="000649F6" w:rsidP="009A329E">
            <w:pPr>
              <w:spacing w:after="0" w:line="240" w:lineRule="auto"/>
              <w:rPr>
                <w:rFonts w:ascii="Arial" w:eastAsia="Times New Roman" w:hAnsi="Arial" w:cs="Arial"/>
                <w:color w:val="0000FF"/>
                <w:u w:val="single"/>
              </w:rPr>
            </w:pPr>
            <w:hyperlink r:id="rId62" w:history="1">
              <w:r w:rsidR="00DE57DC" w:rsidRPr="009A329E">
                <w:rPr>
                  <w:rFonts w:ascii="Arial" w:eastAsia="Times New Roman" w:hAnsi="Arial" w:cs="Arial"/>
                  <w:color w:val="0000FF"/>
                  <w:u w:val="single"/>
                </w:rPr>
                <w:t>Procedure Receipt of Cellular Therapy Products</w:t>
              </w:r>
            </w:hyperlink>
          </w:p>
        </w:tc>
      </w:tr>
      <w:tr w:rsidR="00DE57DC" w:rsidRPr="009A329E" w14:paraId="19C0275F" w14:textId="77777777" w:rsidTr="009A329E">
        <w:trPr>
          <w:trHeight w:val="270"/>
        </w:trPr>
        <w:tc>
          <w:tcPr>
            <w:tcW w:w="9840" w:type="dxa"/>
            <w:tcBorders>
              <w:top w:val="nil"/>
              <w:left w:val="single" w:sz="4" w:space="0" w:color="A9A9A9"/>
              <w:bottom w:val="single" w:sz="4" w:space="0" w:color="A9A9A9"/>
              <w:right w:val="single" w:sz="4" w:space="0" w:color="A9A9A9"/>
            </w:tcBorders>
            <w:shd w:val="clear" w:color="000000" w:fill="FFFFFF"/>
            <w:noWrap/>
            <w:hideMark/>
          </w:tcPr>
          <w:p w14:paraId="60618F37" w14:textId="77777777" w:rsidR="00DE57DC" w:rsidRPr="009A329E" w:rsidRDefault="000649F6" w:rsidP="009A329E">
            <w:pPr>
              <w:spacing w:after="0" w:line="240" w:lineRule="auto"/>
              <w:rPr>
                <w:rFonts w:ascii="Arial" w:eastAsia="Times New Roman" w:hAnsi="Arial" w:cs="Arial"/>
                <w:color w:val="0000FF"/>
                <w:u w:val="single"/>
              </w:rPr>
            </w:pPr>
            <w:hyperlink r:id="rId63" w:history="1">
              <w:r w:rsidR="00DE57DC" w:rsidRPr="009A329E">
                <w:rPr>
                  <w:rFonts w:ascii="Arial" w:eastAsia="Times New Roman" w:hAnsi="Arial" w:cs="Arial"/>
                  <w:color w:val="0000FF"/>
                  <w:u w:val="single"/>
                </w:rPr>
                <w:t>Investigation of Cellular Therapy Product Infusion Reactions</w:t>
              </w:r>
            </w:hyperlink>
          </w:p>
        </w:tc>
      </w:tr>
    </w:tbl>
    <w:p w14:paraId="1CD901A3" w14:textId="42C4800F" w:rsidR="003B510A" w:rsidRDefault="003B510A" w:rsidP="00DE57DC">
      <w:pPr>
        <w:pStyle w:val="Heading2"/>
        <w:spacing w:after="0" w:line="240" w:lineRule="auto"/>
        <w:jc w:val="both"/>
        <w:rPr>
          <w:rFonts w:ascii="Arial" w:hAnsi="Arial" w:cs="Arial"/>
          <w:b w:val="0"/>
          <w:bCs w:val="0"/>
        </w:rPr>
      </w:pPr>
    </w:p>
    <w:sectPr w:rsidR="003B510A" w:rsidSect="00C92D76">
      <w:footerReference w:type="default" r:id="rId6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30CD" w14:textId="77777777" w:rsidR="002A3953" w:rsidRDefault="002A3953" w:rsidP="009825DC">
      <w:pPr>
        <w:spacing w:after="0" w:line="240" w:lineRule="auto"/>
      </w:pPr>
      <w:r>
        <w:separator/>
      </w:r>
    </w:p>
  </w:endnote>
  <w:endnote w:type="continuationSeparator" w:id="0">
    <w:p w14:paraId="411A318C" w14:textId="77777777" w:rsidR="002A3953" w:rsidRDefault="002A3953" w:rsidP="0098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729075"/>
      <w:docPartObj>
        <w:docPartGallery w:val="Page Numbers (Bottom of Page)"/>
        <w:docPartUnique/>
      </w:docPartObj>
    </w:sdtPr>
    <w:sdtEndPr/>
    <w:sdtContent>
      <w:sdt>
        <w:sdtPr>
          <w:id w:val="-1769616900"/>
          <w:docPartObj>
            <w:docPartGallery w:val="Page Numbers (Top of Page)"/>
            <w:docPartUnique/>
          </w:docPartObj>
        </w:sdtPr>
        <w:sdtEndPr/>
        <w:sdtContent>
          <w:p w14:paraId="7982D86E" w14:textId="7D92EA84" w:rsidR="009825DC" w:rsidRDefault="009825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sdt>
    <w:sdtPr>
      <w:alias w:val="Title"/>
      <w:tag w:val=""/>
      <w:id w:val="-161165264"/>
      <w:placeholder>
        <w:docPart w:val="39D03C59B4B544539E98D0A5D65DF2D1"/>
      </w:placeholder>
      <w:dataBinding w:prefixMappings="xmlns:ns0='http://purl.org/dc/elements/1.1/' xmlns:ns1='http://schemas.openxmlformats.org/package/2006/metadata/core-properties' " w:xpath="/ns1:coreProperties[1]/ns0:title[1]" w:storeItemID="{6C3C8BC8-F283-45AE-878A-BAB7291924A1}"/>
      <w:text/>
    </w:sdtPr>
    <w:sdtEndPr/>
    <w:sdtContent>
      <w:p w14:paraId="57E4078A" w14:textId="10F9954D" w:rsidR="009825DC" w:rsidRDefault="00E86392">
        <w:pPr>
          <w:pStyle w:val="Footer"/>
        </w:pPr>
        <w:r>
          <w:t>Version 11-18-24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ED26" w14:textId="77777777" w:rsidR="002A3953" w:rsidRDefault="002A3953" w:rsidP="009825DC">
      <w:pPr>
        <w:spacing w:after="0" w:line="240" w:lineRule="auto"/>
      </w:pPr>
      <w:r>
        <w:separator/>
      </w:r>
    </w:p>
  </w:footnote>
  <w:footnote w:type="continuationSeparator" w:id="0">
    <w:p w14:paraId="74DB91A5" w14:textId="77777777" w:rsidR="002A3953" w:rsidRDefault="002A3953" w:rsidP="00982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F05"/>
    <w:multiLevelType w:val="hybridMultilevel"/>
    <w:tmpl w:val="1284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6D7D"/>
    <w:multiLevelType w:val="hybridMultilevel"/>
    <w:tmpl w:val="FD1CCD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84982"/>
    <w:multiLevelType w:val="hybridMultilevel"/>
    <w:tmpl w:val="6BF6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527CA"/>
    <w:multiLevelType w:val="hybridMultilevel"/>
    <w:tmpl w:val="8D00AABA"/>
    <w:lvl w:ilvl="0" w:tplc="4C76A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571C92"/>
    <w:multiLevelType w:val="hybridMultilevel"/>
    <w:tmpl w:val="E3A84512"/>
    <w:lvl w:ilvl="0" w:tplc="6BF64A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76FED"/>
    <w:multiLevelType w:val="multilevel"/>
    <w:tmpl w:val="6CDCD5E8"/>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43E31B8"/>
    <w:multiLevelType w:val="hybridMultilevel"/>
    <w:tmpl w:val="C0FE4F94"/>
    <w:lvl w:ilvl="0" w:tplc="4042A984">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C6477"/>
    <w:multiLevelType w:val="hybridMultilevel"/>
    <w:tmpl w:val="FC76EEA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DB729D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877550180">
    <w:abstractNumId w:val="8"/>
  </w:num>
  <w:num w:numId="2" w16cid:durableId="1812550471">
    <w:abstractNumId w:val="5"/>
  </w:num>
  <w:num w:numId="3" w16cid:durableId="605623675">
    <w:abstractNumId w:val="4"/>
  </w:num>
  <w:num w:numId="4" w16cid:durableId="921767217">
    <w:abstractNumId w:val="1"/>
  </w:num>
  <w:num w:numId="5" w16cid:durableId="1147011441">
    <w:abstractNumId w:val="7"/>
  </w:num>
  <w:num w:numId="6" w16cid:durableId="431626857">
    <w:abstractNumId w:val="6"/>
  </w:num>
  <w:num w:numId="7" w16cid:durableId="283851196">
    <w:abstractNumId w:val="2"/>
  </w:num>
  <w:num w:numId="8" w16cid:durableId="167411133">
    <w:abstractNumId w:val="0"/>
  </w:num>
  <w:num w:numId="9" w16cid:durableId="36144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Frontiers in Immu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9xfv2vv0fa0qerwv5vtwr1r2trs9p25etr&quot;&gt;AGP-Converted v2-Converted v20&lt;record-ids&gt;&lt;item&gt;263&lt;/item&gt;&lt;item&gt;265&lt;/item&gt;&lt;item&gt;1768&lt;/item&gt;&lt;item&gt;1919&lt;/item&gt;&lt;item&gt;3062&lt;/item&gt;&lt;item&gt;3064&lt;/item&gt;&lt;item&gt;3076&lt;/item&gt;&lt;item&gt;3084&lt;/item&gt;&lt;item&gt;3087&lt;/item&gt;&lt;item&gt;3093&lt;/item&gt;&lt;item&gt;3100&lt;/item&gt;&lt;item&gt;3241&lt;/item&gt;&lt;item&gt;3446&lt;/item&gt;&lt;item&gt;3617&lt;/item&gt;&lt;item&gt;3664&lt;/item&gt;&lt;item&gt;3831&lt;/item&gt;&lt;item&gt;5775&lt;/item&gt;&lt;item&gt;5784&lt;/item&gt;&lt;item&gt;5791&lt;/item&gt;&lt;item&gt;6653&lt;/item&gt;&lt;item&gt;6960&lt;/item&gt;&lt;item&gt;6967&lt;/item&gt;&lt;item&gt;7000&lt;/item&gt;&lt;item&gt;7111&lt;/item&gt;&lt;item&gt;7340&lt;/item&gt;&lt;item&gt;7553&lt;/item&gt;&lt;item&gt;7657&lt;/item&gt;&lt;item&gt;7658&lt;/item&gt;&lt;item&gt;7669&lt;/item&gt;&lt;item&gt;7680&lt;/item&gt;&lt;item&gt;7686&lt;/item&gt;&lt;item&gt;7812&lt;/item&gt;&lt;item&gt;7991&lt;/item&gt;&lt;item&gt;7996&lt;/item&gt;&lt;/record-ids&gt;&lt;/item&gt;&lt;/Libraries&gt;"/>
  </w:docVars>
  <w:rsids>
    <w:rsidRoot w:val="00C92D76"/>
    <w:rsid w:val="00012DFA"/>
    <w:rsid w:val="00012F4D"/>
    <w:rsid w:val="000224C9"/>
    <w:rsid w:val="000312A6"/>
    <w:rsid w:val="0004770F"/>
    <w:rsid w:val="00052DE6"/>
    <w:rsid w:val="00063E29"/>
    <w:rsid w:val="000649F6"/>
    <w:rsid w:val="000969D1"/>
    <w:rsid w:val="000B7215"/>
    <w:rsid w:val="000C1F85"/>
    <w:rsid w:val="000C24AB"/>
    <w:rsid w:val="000D6283"/>
    <w:rsid w:val="000E7671"/>
    <w:rsid w:val="000F2641"/>
    <w:rsid w:val="00100BAE"/>
    <w:rsid w:val="00110B65"/>
    <w:rsid w:val="00124549"/>
    <w:rsid w:val="00126EFF"/>
    <w:rsid w:val="00127613"/>
    <w:rsid w:val="00130066"/>
    <w:rsid w:val="00152424"/>
    <w:rsid w:val="00152984"/>
    <w:rsid w:val="00153163"/>
    <w:rsid w:val="001815AC"/>
    <w:rsid w:val="001A03FC"/>
    <w:rsid w:val="001B1717"/>
    <w:rsid w:val="001C5762"/>
    <w:rsid w:val="001C7B11"/>
    <w:rsid w:val="001D271E"/>
    <w:rsid w:val="001D2C74"/>
    <w:rsid w:val="001D3FAC"/>
    <w:rsid w:val="001D6099"/>
    <w:rsid w:val="001D73A5"/>
    <w:rsid w:val="001E54F2"/>
    <w:rsid w:val="001F0B18"/>
    <w:rsid w:val="001F1BD0"/>
    <w:rsid w:val="002265F9"/>
    <w:rsid w:val="00233270"/>
    <w:rsid w:val="0025453A"/>
    <w:rsid w:val="002A3953"/>
    <w:rsid w:val="002A6F06"/>
    <w:rsid w:val="002A73FB"/>
    <w:rsid w:val="002B1BC9"/>
    <w:rsid w:val="002B3A8B"/>
    <w:rsid w:val="002B5A6D"/>
    <w:rsid w:val="002B771A"/>
    <w:rsid w:val="002C2331"/>
    <w:rsid w:val="002C4342"/>
    <w:rsid w:val="002D18A1"/>
    <w:rsid w:val="002D72B9"/>
    <w:rsid w:val="002D7C9D"/>
    <w:rsid w:val="00303737"/>
    <w:rsid w:val="00323269"/>
    <w:rsid w:val="00331766"/>
    <w:rsid w:val="00361138"/>
    <w:rsid w:val="00367760"/>
    <w:rsid w:val="00370179"/>
    <w:rsid w:val="00390B3C"/>
    <w:rsid w:val="003A04A0"/>
    <w:rsid w:val="003B21A4"/>
    <w:rsid w:val="003B390B"/>
    <w:rsid w:val="003B510A"/>
    <w:rsid w:val="003C4BA5"/>
    <w:rsid w:val="003C7163"/>
    <w:rsid w:val="003D0422"/>
    <w:rsid w:val="003D7A81"/>
    <w:rsid w:val="003E7533"/>
    <w:rsid w:val="003F039D"/>
    <w:rsid w:val="00401225"/>
    <w:rsid w:val="004128E8"/>
    <w:rsid w:val="00440BE5"/>
    <w:rsid w:val="004472BF"/>
    <w:rsid w:val="0046106A"/>
    <w:rsid w:val="004744C4"/>
    <w:rsid w:val="00481351"/>
    <w:rsid w:val="00497A5F"/>
    <w:rsid w:val="004B0E20"/>
    <w:rsid w:val="004B1BED"/>
    <w:rsid w:val="004B3372"/>
    <w:rsid w:val="004B4A44"/>
    <w:rsid w:val="004B6BD0"/>
    <w:rsid w:val="004C7A3A"/>
    <w:rsid w:val="004F74CB"/>
    <w:rsid w:val="00502172"/>
    <w:rsid w:val="00502653"/>
    <w:rsid w:val="00517C64"/>
    <w:rsid w:val="00520294"/>
    <w:rsid w:val="00520372"/>
    <w:rsid w:val="00544C47"/>
    <w:rsid w:val="00557ACE"/>
    <w:rsid w:val="0056197A"/>
    <w:rsid w:val="005954F7"/>
    <w:rsid w:val="00595EE7"/>
    <w:rsid w:val="005D1536"/>
    <w:rsid w:val="005D3E83"/>
    <w:rsid w:val="005F1C20"/>
    <w:rsid w:val="0061470F"/>
    <w:rsid w:val="00620538"/>
    <w:rsid w:val="0065384A"/>
    <w:rsid w:val="00674CAE"/>
    <w:rsid w:val="0068201E"/>
    <w:rsid w:val="0069370B"/>
    <w:rsid w:val="006A0640"/>
    <w:rsid w:val="006A4992"/>
    <w:rsid w:val="006B04F3"/>
    <w:rsid w:val="006C19E8"/>
    <w:rsid w:val="006C4F60"/>
    <w:rsid w:val="006C7ED6"/>
    <w:rsid w:val="006D0E09"/>
    <w:rsid w:val="006E3D7E"/>
    <w:rsid w:val="006F7D19"/>
    <w:rsid w:val="00705625"/>
    <w:rsid w:val="007056DF"/>
    <w:rsid w:val="0071168B"/>
    <w:rsid w:val="007208C7"/>
    <w:rsid w:val="007258EF"/>
    <w:rsid w:val="00730EB9"/>
    <w:rsid w:val="00740BB9"/>
    <w:rsid w:val="00741FBE"/>
    <w:rsid w:val="00766481"/>
    <w:rsid w:val="00796EBD"/>
    <w:rsid w:val="007A702B"/>
    <w:rsid w:val="007D003B"/>
    <w:rsid w:val="007D467A"/>
    <w:rsid w:val="007F3B15"/>
    <w:rsid w:val="007F5FBC"/>
    <w:rsid w:val="00812B73"/>
    <w:rsid w:val="00831E1F"/>
    <w:rsid w:val="00836012"/>
    <w:rsid w:val="0085422A"/>
    <w:rsid w:val="008650C8"/>
    <w:rsid w:val="0086754A"/>
    <w:rsid w:val="00883DDA"/>
    <w:rsid w:val="00887320"/>
    <w:rsid w:val="00895457"/>
    <w:rsid w:val="008963A4"/>
    <w:rsid w:val="008A4409"/>
    <w:rsid w:val="008A56A5"/>
    <w:rsid w:val="008C574C"/>
    <w:rsid w:val="008E2E60"/>
    <w:rsid w:val="008F443F"/>
    <w:rsid w:val="009059BB"/>
    <w:rsid w:val="00907AA0"/>
    <w:rsid w:val="0095445F"/>
    <w:rsid w:val="00957E62"/>
    <w:rsid w:val="00972C3B"/>
    <w:rsid w:val="00975A52"/>
    <w:rsid w:val="009825DC"/>
    <w:rsid w:val="0098463A"/>
    <w:rsid w:val="00996807"/>
    <w:rsid w:val="009A004D"/>
    <w:rsid w:val="009A6E00"/>
    <w:rsid w:val="009A7D6F"/>
    <w:rsid w:val="009B1578"/>
    <w:rsid w:val="009B62F1"/>
    <w:rsid w:val="009C58BD"/>
    <w:rsid w:val="009E1AE3"/>
    <w:rsid w:val="009E6A76"/>
    <w:rsid w:val="009F14E0"/>
    <w:rsid w:val="009F6D25"/>
    <w:rsid w:val="00A04E1B"/>
    <w:rsid w:val="00A1264E"/>
    <w:rsid w:val="00A136FB"/>
    <w:rsid w:val="00A13F16"/>
    <w:rsid w:val="00A23AF2"/>
    <w:rsid w:val="00A279FE"/>
    <w:rsid w:val="00A36DC1"/>
    <w:rsid w:val="00A4026B"/>
    <w:rsid w:val="00A410C0"/>
    <w:rsid w:val="00A54D38"/>
    <w:rsid w:val="00A566A3"/>
    <w:rsid w:val="00A57943"/>
    <w:rsid w:val="00A600EB"/>
    <w:rsid w:val="00A60938"/>
    <w:rsid w:val="00A65774"/>
    <w:rsid w:val="00A660F7"/>
    <w:rsid w:val="00A66B85"/>
    <w:rsid w:val="00A811FE"/>
    <w:rsid w:val="00A91216"/>
    <w:rsid w:val="00A94F81"/>
    <w:rsid w:val="00A978EC"/>
    <w:rsid w:val="00AA1AD9"/>
    <w:rsid w:val="00AC0448"/>
    <w:rsid w:val="00AD1F2B"/>
    <w:rsid w:val="00AD6761"/>
    <w:rsid w:val="00AE2EFA"/>
    <w:rsid w:val="00AF1353"/>
    <w:rsid w:val="00AF23AE"/>
    <w:rsid w:val="00B02C04"/>
    <w:rsid w:val="00B053BE"/>
    <w:rsid w:val="00B30437"/>
    <w:rsid w:val="00B34EB2"/>
    <w:rsid w:val="00B36EDF"/>
    <w:rsid w:val="00B4761F"/>
    <w:rsid w:val="00B533BF"/>
    <w:rsid w:val="00BA0C5B"/>
    <w:rsid w:val="00BA44BC"/>
    <w:rsid w:val="00BA4B5A"/>
    <w:rsid w:val="00BB4992"/>
    <w:rsid w:val="00BB74BE"/>
    <w:rsid w:val="00BB793C"/>
    <w:rsid w:val="00BC4AD0"/>
    <w:rsid w:val="00BF0BDA"/>
    <w:rsid w:val="00BF6305"/>
    <w:rsid w:val="00BF6A3C"/>
    <w:rsid w:val="00C110EF"/>
    <w:rsid w:val="00C15459"/>
    <w:rsid w:val="00C30887"/>
    <w:rsid w:val="00C37648"/>
    <w:rsid w:val="00C51D29"/>
    <w:rsid w:val="00C671A4"/>
    <w:rsid w:val="00C902F3"/>
    <w:rsid w:val="00C92D76"/>
    <w:rsid w:val="00C94AFC"/>
    <w:rsid w:val="00CA3296"/>
    <w:rsid w:val="00CA6B7E"/>
    <w:rsid w:val="00CC6214"/>
    <w:rsid w:val="00CD4670"/>
    <w:rsid w:val="00CE3CD5"/>
    <w:rsid w:val="00CE55FF"/>
    <w:rsid w:val="00CF3638"/>
    <w:rsid w:val="00CF400F"/>
    <w:rsid w:val="00D021F2"/>
    <w:rsid w:val="00D034C3"/>
    <w:rsid w:val="00D11635"/>
    <w:rsid w:val="00D11C74"/>
    <w:rsid w:val="00D14A51"/>
    <w:rsid w:val="00D14EF6"/>
    <w:rsid w:val="00D23AEF"/>
    <w:rsid w:val="00D24088"/>
    <w:rsid w:val="00D26652"/>
    <w:rsid w:val="00D557F1"/>
    <w:rsid w:val="00D61536"/>
    <w:rsid w:val="00D632C8"/>
    <w:rsid w:val="00D67F28"/>
    <w:rsid w:val="00D72D4C"/>
    <w:rsid w:val="00D93A41"/>
    <w:rsid w:val="00D960A4"/>
    <w:rsid w:val="00DC2529"/>
    <w:rsid w:val="00DD0B56"/>
    <w:rsid w:val="00DE2843"/>
    <w:rsid w:val="00DE57DC"/>
    <w:rsid w:val="00DF4544"/>
    <w:rsid w:val="00E04C16"/>
    <w:rsid w:val="00E16F6A"/>
    <w:rsid w:val="00E20CB4"/>
    <w:rsid w:val="00E2255E"/>
    <w:rsid w:val="00E31981"/>
    <w:rsid w:val="00E4298C"/>
    <w:rsid w:val="00E63BD9"/>
    <w:rsid w:val="00E811B5"/>
    <w:rsid w:val="00E86392"/>
    <w:rsid w:val="00E90255"/>
    <w:rsid w:val="00E97106"/>
    <w:rsid w:val="00EA6523"/>
    <w:rsid w:val="00EC7D91"/>
    <w:rsid w:val="00F105FA"/>
    <w:rsid w:val="00F22CE7"/>
    <w:rsid w:val="00F35C54"/>
    <w:rsid w:val="00F4703A"/>
    <w:rsid w:val="00F53D71"/>
    <w:rsid w:val="00F57330"/>
    <w:rsid w:val="00F6415E"/>
    <w:rsid w:val="00F646F9"/>
    <w:rsid w:val="00F74747"/>
    <w:rsid w:val="00F92946"/>
    <w:rsid w:val="00F96E65"/>
    <w:rsid w:val="00FA0786"/>
    <w:rsid w:val="00FA14C8"/>
    <w:rsid w:val="00FB0B7C"/>
    <w:rsid w:val="00FB3558"/>
    <w:rsid w:val="00FC5AD8"/>
    <w:rsid w:val="00FE1707"/>
    <w:rsid w:val="00FE4862"/>
    <w:rsid w:val="00FE6F71"/>
    <w:rsid w:val="00FE7457"/>
    <w:rsid w:val="00FF626C"/>
    <w:rsid w:val="00FF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950D"/>
  <w15:docId w15:val="{AB34498C-DA0E-4176-9EA4-1BDFB21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D76"/>
    <w:pPr>
      <w:keepNext/>
      <w:keepLines/>
      <w:spacing w:before="120" w:after="120"/>
      <w:outlineLvl w:val="0"/>
    </w:pPr>
    <w:rPr>
      <w:rFonts w:asciiTheme="majorHAnsi" w:eastAsiaTheme="majorEastAsia" w:hAnsiTheme="majorHAnsi" w:cstheme="majorBidi"/>
      <w:b/>
      <w:caps/>
      <w:sz w:val="24"/>
      <w:szCs w:val="32"/>
    </w:rPr>
  </w:style>
  <w:style w:type="paragraph" w:styleId="Heading2">
    <w:name w:val="heading 2"/>
    <w:basedOn w:val="Normal"/>
    <w:next w:val="Normal"/>
    <w:link w:val="Heading2Char"/>
    <w:uiPriority w:val="9"/>
    <w:unhideWhenUsed/>
    <w:qFormat/>
    <w:rsid w:val="004B0E20"/>
    <w:pPr>
      <w:outlineLvl w:val="1"/>
    </w:pPr>
    <w:rPr>
      <w:b/>
      <w:bCs/>
      <w:i/>
      <w:iCs/>
    </w:rPr>
  </w:style>
  <w:style w:type="paragraph" w:styleId="Heading3">
    <w:name w:val="heading 3"/>
    <w:basedOn w:val="Normal"/>
    <w:next w:val="Normal"/>
    <w:link w:val="Heading3Char"/>
    <w:uiPriority w:val="9"/>
    <w:unhideWhenUsed/>
    <w:qFormat/>
    <w:rsid w:val="004B0E2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2D76"/>
    <w:rPr>
      <w:rFonts w:asciiTheme="majorHAnsi" w:eastAsiaTheme="majorEastAsia" w:hAnsiTheme="majorHAnsi" w:cstheme="majorBidi"/>
      <w:b/>
      <w:caps/>
      <w:sz w:val="24"/>
      <w:szCs w:val="32"/>
    </w:rPr>
  </w:style>
  <w:style w:type="character" w:customStyle="1" w:styleId="Heading2Char">
    <w:name w:val="Heading 2 Char"/>
    <w:basedOn w:val="DefaultParagraphFont"/>
    <w:link w:val="Heading2"/>
    <w:uiPriority w:val="9"/>
    <w:rsid w:val="004B0E20"/>
    <w:rPr>
      <w:b/>
      <w:bCs/>
      <w:i/>
      <w:iCs/>
    </w:rPr>
  </w:style>
  <w:style w:type="character" w:customStyle="1" w:styleId="Heading3Char">
    <w:name w:val="Heading 3 Char"/>
    <w:basedOn w:val="DefaultParagraphFont"/>
    <w:link w:val="Heading3"/>
    <w:uiPriority w:val="9"/>
    <w:rsid w:val="004B0E20"/>
  </w:style>
  <w:style w:type="paragraph" w:styleId="Header">
    <w:name w:val="header"/>
    <w:basedOn w:val="Normal"/>
    <w:link w:val="HeaderChar"/>
    <w:uiPriority w:val="99"/>
    <w:unhideWhenUsed/>
    <w:rsid w:val="00982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DC"/>
  </w:style>
  <w:style w:type="paragraph" w:styleId="Footer">
    <w:name w:val="footer"/>
    <w:basedOn w:val="Normal"/>
    <w:link w:val="FooterChar"/>
    <w:uiPriority w:val="99"/>
    <w:unhideWhenUsed/>
    <w:rsid w:val="00982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DC"/>
  </w:style>
  <w:style w:type="character" w:styleId="PlaceholderText">
    <w:name w:val="Placeholder Text"/>
    <w:basedOn w:val="DefaultParagraphFont"/>
    <w:uiPriority w:val="99"/>
    <w:semiHidden/>
    <w:rsid w:val="009825DC"/>
    <w:rPr>
      <w:color w:val="808080"/>
    </w:rPr>
  </w:style>
  <w:style w:type="paragraph" w:styleId="ListParagraph">
    <w:name w:val="List Paragraph"/>
    <w:basedOn w:val="Normal"/>
    <w:uiPriority w:val="34"/>
    <w:qFormat/>
    <w:rsid w:val="00D24088"/>
    <w:pPr>
      <w:ind w:left="720"/>
      <w:contextualSpacing/>
    </w:pPr>
  </w:style>
  <w:style w:type="character" w:styleId="CommentReference">
    <w:name w:val="annotation reference"/>
    <w:basedOn w:val="DefaultParagraphFont"/>
    <w:uiPriority w:val="99"/>
    <w:unhideWhenUsed/>
    <w:rsid w:val="00883DDA"/>
    <w:rPr>
      <w:sz w:val="16"/>
      <w:szCs w:val="16"/>
    </w:rPr>
  </w:style>
  <w:style w:type="paragraph" w:styleId="CommentText">
    <w:name w:val="annotation text"/>
    <w:basedOn w:val="Normal"/>
    <w:link w:val="CommentTextChar"/>
    <w:uiPriority w:val="99"/>
    <w:unhideWhenUsed/>
    <w:rsid w:val="00883DDA"/>
    <w:pPr>
      <w:spacing w:line="240" w:lineRule="auto"/>
    </w:pPr>
    <w:rPr>
      <w:sz w:val="20"/>
      <w:szCs w:val="20"/>
    </w:rPr>
  </w:style>
  <w:style w:type="character" w:customStyle="1" w:styleId="CommentTextChar">
    <w:name w:val="Comment Text Char"/>
    <w:basedOn w:val="DefaultParagraphFont"/>
    <w:link w:val="CommentText"/>
    <w:uiPriority w:val="99"/>
    <w:rsid w:val="00883DDA"/>
    <w:rPr>
      <w:sz w:val="20"/>
      <w:szCs w:val="20"/>
    </w:rPr>
  </w:style>
  <w:style w:type="paragraph" w:styleId="CommentSubject">
    <w:name w:val="annotation subject"/>
    <w:basedOn w:val="CommentText"/>
    <w:next w:val="CommentText"/>
    <w:link w:val="CommentSubjectChar"/>
    <w:uiPriority w:val="99"/>
    <w:semiHidden/>
    <w:unhideWhenUsed/>
    <w:rsid w:val="00883DDA"/>
    <w:rPr>
      <w:b/>
      <w:bCs/>
    </w:rPr>
  </w:style>
  <w:style w:type="character" w:customStyle="1" w:styleId="CommentSubjectChar">
    <w:name w:val="Comment Subject Char"/>
    <w:basedOn w:val="CommentTextChar"/>
    <w:link w:val="CommentSubject"/>
    <w:uiPriority w:val="99"/>
    <w:semiHidden/>
    <w:rsid w:val="00883DDA"/>
    <w:rPr>
      <w:b/>
      <w:bCs/>
      <w:sz w:val="20"/>
      <w:szCs w:val="20"/>
    </w:rPr>
  </w:style>
  <w:style w:type="paragraph" w:styleId="BodyText">
    <w:name w:val="Body Text"/>
    <w:basedOn w:val="Normal"/>
    <w:link w:val="BodyTextChar"/>
    <w:qFormat/>
    <w:rsid w:val="00C671A4"/>
    <w:pPr>
      <w:spacing w:after="0" w:line="240" w:lineRule="auto"/>
      <w:jc w:val="both"/>
    </w:pPr>
    <w:rPr>
      <w:rFonts w:ascii="Arial" w:eastAsia="Times" w:hAnsi="Arial" w:cs="Times New Roman"/>
      <w:i/>
      <w:color w:val="0000FF"/>
      <w:sz w:val="20"/>
      <w:szCs w:val="20"/>
    </w:rPr>
  </w:style>
  <w:style w:type="character" w:customStyle="1" w:styleId="BodyTextChar">
    <w:name w:val="Body Text Char"/>
    <w:basedOn w:val="DefaultParagraphFont"/>
    <w:link w:val="BodyText"/>
    <w:rsid w:val="00C671A4"/>
    <w:rPr>
      <w:rFonts w:ascii="Arial" w:eastAsia="Times" w:hAnsi="Arial" w:cs="Times New Roman"/>
      <w:i/>
      <w:color w:val="0000FF"/>
      <w:sz w:val="20"/>
      <w:szCs w:val="20"/>
    </w:rPr>
  </w:style>
  <w:style w:type="character" w:customStyle="1" w:styleId="contentpasted0">
    <w:name w:val="contentpasted0"/>
    <w:basedOn w:val="DefaultParagraphFont"/>
    <w:rsid w:val="007258EF"/>
  </w:style>
  <w:style w:type="paragraph" w:customStyle="1" w:styleId="Style2">
    <w:name w:val="Style2"/>
    <w:basedOn w:val="Normal"/>
    <w:rsid w:val="00A04E1B"/>
    <w:pPr>
      <w:numPr>
        <w:numId w:val="2"/>
      </w:numPr>
      <w:tabs>
        <w:tab w:val="left" w:pos="900"/>
      </w:tabs>
      <w:spacing w:after="0" w:line="240" w:lineRule="auto"/>
      <w:ind w:left="540"/>
      <w:jc w:val="both"/>
    </w:pPr>
    <w:rPr>
      <w:rFonts w:ascii="Arial" w:eastAsia="Times" w:hAnsi="Arial" w:cs="Times New Roman"/>
      <w:sz w:val="20"/>
      <w:szCs w:val="20"/>
    </w:rPr>
  </w:style>
  <w:style w:type="numbering" w:styleId="111111">
    <w:name w:val="Outline List 2"/>
    <w:basedOn w:val="NoList"/>
    <w:semiHidden/>
    <w:rsid w:val="00A04E1B"/>
    <w:pPr>
      <w:numPr>
        <w:numId w:val="1"/>
      </w:numPr>
    </w:pPr>
  </w:style>
  <w:style w:type="paragraph" w:styleId="Caption">
    <w:name w:val="caption"/>
    <w:next w:val="BodyText"/>
    <w:link w:val="CaptionChar"/>
    <w:uiPriority w:val="35"/>
    <w:qFormat/>
    <w:rsid w:val="00BA44BC"/>
    <w:pPr>
      <w:keepNext/>
      <w:keepLines/>
      <w:spacing w:before="240" w:after="120" w:line="240" w:lineRule="auto"/>
      <w:ind w:left="1440" w:hanging="1440"/>
      <w:jc w:val="both"/>
      <w:outlineLvl w:val="4"/>
    </w:pPr>
    <w:rPr>
      <w:rFonts w:ascii="Arial" w:eastAsia="Times New Roman" w:hAnsi="Arial" w:cs="Arial"/>
      <w:b/>
      <w:bCs/>
      <w:sz w:val="24"/>
    </w:rPr>
  </w:style>
  <w:style w:type="character" w:customStyle="1" w:styleId="CaptionChar">
    <w:name w:val="Caption Char"/>
    <w:link w:val="Caption"/>
    <w:rsid w:val="00BA44BC"/>
    <w:rPr>
      <w:rFonts w:ascii="Arial" w:eastAsia="Times New Roman" w:hAnsi="Arial" w:cs="Arial"/>
      <w:b/>
      <w:bCs/>
      <w:sz w:val="24"/>
    </w:rPr>
  </w:style>
  <w:style w:type="character" w:styleId="Hyperlink">
    <w:name w:val="Hyperlink"/>
    <w:uiPriority w:val="99"/>
    <w:rsid w:val="002A6F06"/>
    <w:rPr>
      <w:color w:val="0000FF"/>
      <w:u w:val="single"/>
    </w:rPr>
  </w:style>
  <w:style w:type="paragraph" w:styleId="BodyText3">
    <w:name w:val="Body Text 3"/>
    <w:basedOn w:val="Normal"/>
    <w:link w:val="BodyText3Char"/>
    <w:uiPriority w:val="99"/>
    <w:semiHidden/>
    <w:unhideWhenUsed/>
    <w:rsid w:val="00FE4862"/>
    <w:pPr>
      <w:spacing w:after="120"/>
    </w:pPr>
    <w:rPr>
      <w:sz w:val="16"/>
      <w:szCs w:val="16"/>
    </w:rPr>
  </w:style>
  <w:style w:type="character" w:customStyle="1" w:styleId="BodyText3Char">
    <w:name w:val="Body Text 3 Char"/>
    <w:basedOn w:val="DefaultParagraphFont"/>
    <w:link w:val="BodyText3"/>
    <w:uiPriority w:val="99"/>
    <w:semiHidden/>
    <w:rsid w:val="00FE4862"/>
    <w:rPr>
      <w:sz w:val="16"/>
      <w:szCs w:val="16"/>
    </w:rPr>
  </w:style>
  <w:style w:type="paragraph" w:customStyle="1" w:styleId="TableText10pt">
    <w:name w:val="Table Text 10pt"/>
    <w:link w:val="TableText10ptChar"/>
    <w:qFormat/>
    <w:rsid w:val="003E7533"/>
    <w:pPr>
      <w:keepLines/>
      <w:spacing w:before="20" w:after="20" w:line="240" w:lineRule="auto"/>
      <w:jc w:val="both"/>
    </w:pPr>
    <w:rPr>
      <w:rFonts w:ascii="Arial" w:eastAsia="Times New Roman" w:hAnsi="Arial" w:cs="Times New Roman"/>
      <w:sz w:val="20"/>
      <w:szCs w:val="24"/>
    </w:rPr>
  </w:style>
  <w:style w:type="character" w:customStyle="1" w:styleId="TableText10ptChar">
    <w:name w:val="Table Text 10pt Char"/>
    <w:link w:val="TableText10pt"/>
    <w:rsid w:val="003E7533"/>
    <w:rPr>
      <w:rFonts w:ascii="Arial" w:eastAsia="Times New Roman" w:hAnsi="Arial" w:cs="Times New Roman"/>
      <w:sz w:val="20"/>
      <w:szCs w:val="24"/>
    </w:rPr>
  </w:style>
  <w:style w:type="paragraph" w:styleId="Revision">
    <w:name w:val="Revision"/>
    <w:hidden/>
    <w:uiPriority w:val="99"/>
    <w:semiHidden/>
    <w:rsid w:val="00705625"/>
    <w:pPr>
      <w:spacing w:after="0" w:line="240" w:lineRule="auto"/>
    </w:pPr>
  </w:style>
  <w:style w:type="paragraph" w:customStyle="1" w:styleId="EndNoteBibliographyTitle">
    <w:name w:val="EndNote Bibliography Title"/>
    <w:basedOn w:val="Normal"/>
    <w:link w:val="EndNoteBibliographyTitleChar"/>
    <w:rsid w:val="00E9025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90255"/>
    <w:rPr>
      <w:rFonts w:ascii="Calibri" w:hAnsi="Calibri" w:cs="Calibri"/>
      <w:noProof/>
    </w:rPr>
  </w:style>
  <w:style w:type="paragraph" w:customStyle="1" w:styleId="EndNoteBibliography">
    <w:name w:val="EndNote Bibliography"/>
    <w:basedOn w:val="Normal"/>
    <w:link w:val="EndNoteBibliographyChar"/>
    <w:rsid w:val="00E9025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9025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3371">
      <w:bodyDiv w:val="1"/>
      <w:marLeft w:val="0"/>
      <w:marRight w:val="0"/>
      <w:marTop w:val="0"/>
      <w:marBottom w:val="0"/>
      <w:divBdr>
        <w:top w:val="none" w:sz="0" w:space="0" w:color="auto"/>
        <w:left w:val="none" w:sz="0" w:space="0" w:color="auto"/>
        <w:bottom w:val="none" w:sz="0" w:space="0" w:color="auto"/>
        <w:right w:val="none" w:sz="0" w:space="0" w:color="auto"/>
      </w:divBdr>
      <w:divsChild>
        <w:div w:id="253708907">
          <w:marLeft w:val="0"/>
          <w:marRight w:val="0"/>
          <w:marTop w:val="0"/>
          <w:marBottom w:val="0"/>
          <w:divBdr>
            <w:top w:val="none" w:sz="0" w:space="0" w:color="auto"/>
            <w:left w:val="none" w:sz="0" w:space="0" w:color="auto"/>
            <w:bottom w:val="none" w:sz="0" w:space="0" w:color="auto"/>
            <w:right w:val="none" w:sz="0" w:space="0" w:color="auto"/>
          </w:divBdr>
        </w:div>
      </w:divsChild>
    </w:div>
    <w:div w:id="186456729">
      <w:bodyDiv w:val="1"/>
      <w:marLeft w:val="0"/>
      <w:marRight w:val="0"/>
      <w:marTop w:val="0"/>
      <w:marBottom w:val="0"/>
      <w:divBdr>
        <w:top w:val="none" w:sz="0" w:space="0" w:color="auto"/>
        <w:left w:val="none" w:sz="0" w:space="0" w:color="auto"/>
        <w:bottom w:val="none" w:sz="0" w:space="0" w:color="auto"/>
        <w:right w:val="none" w:sz="0" w:space="0" w:color="auto"/>
      </w:divBdr>
      <w:divsChild>
        <w:div w:id="1638491173">
          <w:marLeft w:val="0"/>
          <w:marRight w:val="0"/>
          <w:marTop w:val="0"/>
          <w:marBottom w:val="0"/>
          <w:divBdr>
            <w:top w:val="none" w:sz="0" w:space="0" w:color="auto"/>
            <w:left w:val="none" w:sz="0" w:space="0" w:color="auto"/>
            <w:bottom w:val="none" w:sz="0" w:space="0" w:color="auto"/>
            <w:right w:val="none" w:sz="0" w:space="0" w:color="auto"/>
          </w:divBdr>
        </w:div>
      </w:divsChild>
    </w:div>
    <w:div w:id="339550817">
      <w:bodyDiv w:val="1"/>
      <w:marLeft w:val="0"/>
      <w:marRight w:val="0"/>
      <w:marTop w:val="0"/>
      <w:marBottom w:val="0"/>
      <w:divBdr>
        <w:top w:val="none" w:sz="0" w:space="0" w:color="auto"/>
        <w:left w:val="none" w:sz="0" w:space="0" w:color="auto"/>
        <w:bottom w:val="none" w:sz="0" w:space="0" w:color="auto"/>
        <w:right w:val="none" w:sz="0" w:space="0" w:color="auto"/>
      </w:divBdr>
    </w:div>
    <w:div w:id="583225275">
      <w:bodyDiv w:val="1"/>
      <w:marLeft w:val="0"/>
      <w:marRight w:val="0"/>
      <w:marTop w:val="0"/>
      <w:marBottom w:val="0"/>
      <w:divBdr>
        <w:top w:val="none" w:sz="0" w:space="0" w:color="auto"/>
        <w:left w:val="none" w:sz="0" w:space="0" w:color="auto"/>
        <w:bottom w:val="none" w:sz="0" w:space="0" w:color="auto"/>
        <w:right w:val="none" w:sz="0" w:space="0" w:color="auto"/>
      </w:divBdr>
      <w:divsChild>
        <w:div w:id="1608582502">
          <w:marLeft w:val="0"/>
          <w:marRight w:val="0"/>
          <w:marTop w:val="0"/>
          <w:marBottom w:val="0"/>
          <w:divBdr>
            <w:top w:val="none" w:sz="0" w:space="0" w:color="auto"/>
            <w:left w:val="none" w:sz="0" w:space="0" w:color="auto"/>
            <w:bottom w:val="none" w:sz="0" w:space="0" w:color="auto"/>
            <w:right w:val="none" w:sz="0" w:space="0" w:color="auto"/>
          </w:divBdr>
        </w:div>
      </w:divsChild>
    </w:div>
    <w:div w:id="701587492">
      <w:bodyDiv w:val="1"/>
      <w:marLeft w:val="0"/>
      <w:marRight w:val="0"/>
      <w:marTop w:val="0"/>
      <w:marBottom w:val="0"/>
      <w:divBdr>
        <w:top w:val="none" w:sz="0" w:space="0" w:color="auto"/>
        <w:left w:val="none" w:sz="0" w:space="0" w:color="auto"/>
        <w:bottom w:val="none" w:sz="0" w:space="0" w:color="auto"/>
        <w:right w:val="none" w:sz="0" w:space="0" w:color="auto"/>
      </w:divBdr>
      <w:divsChild>
        <w:div w:id="734662932">
          <w:marLeft w:val="0"/>
          <w:marRight w:val="0"/>
          <w:marTop w:val="0"/>
          <w:marBottom w:val="0"/>
          <w:divBdr>
            <w:top w:val="none" w:sz="0" w:space="0" w:color="auto"/>
            <w:left w:val="none" w:sz="0" w:space="0" w:color="auto"/>
            <w:bottom w:val="none" w:sz="0" w:space="0" w:color="auto"/>
            <w:right w:val="none" w:sz="0" w:space="0" w:color="auto"/>
          </w:divBdr>
        </w:div>
      </w:divsChild>
    </w:div>
    <w:div w:id="758522885">
      <w:bodyDiv w:val="1"/>
      <w:marLeft w:val="0"/>
      <w:marRight w:val="0"/>
      <w:marTop w:val="0"/>
      <w:marBottom w:val="0"/>
      <w:divBdr>
        <w:top w:val="none" w:sz="0" w:space="0" w:color="auto"/>
        <w:left w:val="none" w:sz="0" w:space="0" w:color="auto"/>
        <w:bottom w:val="none" w:sz="0" w:space="0" w:color="auto"/>
        <w:right w:val="none" w:sz="0" w:space="0" w:color="auto"/>
      </w:divBdr>
      <w:divsChild>
        <w:div w:id="575166525">
          <w:marLeft w:val="0"/>
          <w:marRight w:val="0"/>
          <w:marTop w:val="0"/>
          <w:marBottom w:val="0"/>
          <w:divBdr>
            <w:top w:val="none" w:sz="0" w:space="0" w:color="auto"/>
            <w:left w:val="none" w:sz="0" w:space="0" w:color="auto"/>
            <w:bottom w:val="none" w:sz="0" w:space="0" w:color="auto"/>
            <w:right w:val="none" w:sz="0" w:space="0" w:color="auto"/>
          </w:divBdr>
        </w:div>
      </w:divsChild>
    </w:div>
    <w:div w:id="882212846">
      <w:bodyDiv w:val="1"/>
      <w:marLeft w:val="0"/>
      <w:marRight w:val="0"/>
      <w:marTop w:val="0"/>
      <w:marBottom w:val="0"/>
      <w:divBdr>
        <w:top w:val="none" w:sz="0" w:space="0" w:color="auto"/>
        <w:left w:val="none" w:sz="0" w:space="0" w:color="auto"/>
        <w:bottom w:val="none" w:sz="0" w:space="0" w:color="auto"/>
        <w:right w:val="none" w:sz="0" w:space="0" w:color="auto"/>
      </w:divBdr>
      <w:divsChild>
        <w:div w:id="369502849">
          <w:marLeft w:val="0"/>
          <w:marRight w:val="0"/>
          <w:marTop w:val="0"/>
          <w:marBottom w:val="0"/>
          <w:divBdr>
            <w:top w:val="none" w:sz="0" w:space="0" w:color="auto"/>
            <w:left w:val="none" w:sz="0" w:space="0" w:color="auto"/>
            <w:bottom w:val="none" w:sz="0" w:space="0" w:color="auto"/>
            <w:right w:val="none" w:sz="0" w:space="0" w:color="auto"/>
          </w:divBdr>
        </w:div>
      </w:divsChild>
    </w:div>
    <w:div w:id="983507008">
      <w:bodyDiv w:val="1"/>
      <w:marLeft w:val="0"/>
      <w:marRight w:val="0"/>
      <w:marTop w:val="0"/>
      <w:marBottom w:val="0"/>
      <w:divBdr>
        <w:top w:val="none" w:sz="0" w:space="0" w:color="auto"/>
        <w:left w:val="none" w:sz="0" w:space="0" w:color="auto"/>
        <w:bottom w:val="none" w:sz="0" w:space="0" w:color="auto"/>
        <w:right w:val="none" w:sz="0" w:space="0" w:color="auto"/>
      </w:divBdr>
    </w:div>
    <w:div w:id="1019165344">
      <w:bodyDiv w:val="1"/>
      <w:marLeft w:val="0"/>
      <w:marRight w:val="0"/>
      <w:marTop w:val="0"/>
      <w:marBottom w:val="0"/>
      <w:divBdr>
        <w:top w:val="none" w:sz="0" w:space="0" w:color="auto"/>
        <w:left w:val="none" w:sz="0" w:space="0" w:color="auto"/>
        <w:bottom w:val="none" w:sz="0" w:space="0" w:color="auto"/>
        <w:right w:val="none" w:sz="0" w:space="0" w:color="auto"/>
      </w:divBdr>
      <w:divsChild>
        <w:div w:id="1094937035">
          <w:marLeft w:val="0"/>
          <w:marRight w:val="0"/>
          <w:marTop w:val="0"/>
          <w:marBottom w:val="0"/>
          <w:divBdr>
            <w:top w:val="none" w:sz="0" w:space="0" w:color="auto"/>
            <w:left w:val="none" w:sz="0" w:space="0" w:color="auto"/>
            <w:bottom w:val="none" w:sz="0" w:space="0" w:color="auto"/>
            <w:right w:val="none" w:sz="0" w:space="0" w:color="auto"/>
          </w:divBdr>
        </w:div>
      </w:divsChild>
    </w:div>
    <w:div w:id="1280992723">
      <w:bodyDiv w:val="1"/>
      <w:marLeft w:val="0"/>
      <w:marRight w:val="0"/>
      <w:marTop w:val="0"/>
      <w:marBottom w:val="0"/>
      <w:divBdr>
        <w:top w:val="none" w:sz="0" w:space="0" w:color="auto"/>
        <w:left w:val="none" w:sz="0" w:space="0" w:color="auto"/>
        <w:bottom w:val="none" w:sz="0" w:space="0" w:color="auto"/>
        <w:right w:val="none" w:sz="0" w:space="0" w:color="auto"/>
      </w:divBdr>
      <w:divsChild>
        <w:div w:id="882984593">
          <w:marLeft w:val="0"/>
          <w:marRight w:val="0"/>
          <w:marTop w:val="0"/>
          <w:marBottom w:val="0"/>
          <w:divBdr>
            <w:top w:val="none" w:sz="0" w:space="0" w:color="auto"/>
            <w:left w:val="none" w:sz="0" w:space="0" w:color="auto"/>
            <w:bottom w:val="none" w:sz="0" w:space="0" w:color="auto"/>
            <w:right w:val="none" w:sz="0" w:space="0" w:color="auto"/>
          </w:divBdr>
        </w:div>
      </w:divsChild>
    </w:div>
    <w:div w:id="1285232874">
      <w:bodyDiv w:val="1"/>
      <w:marLeft w:val="0"/>
      <w:marRight w:val="0"/>
      <w:marTop w:val="0"/>
      <w:marBottom w:val="0"/>
      <w:divBdr>
        <w:top w:val="none" w:sz="0" w:space="0" w:color="auto"/>
        <w:left w:val="none" w:sz="0" w:space="0" w:color="auto"/>
        <w:bottom w:val="none" w:sz="0" w:space="0" w:color="auto"/>
        <w:right w:val="none" w:sz="0" w:space="0" w:color="auto"/>
      </w:divBdr>
    </w:div>
    <w:div w:id="2094693847">
      <w:bodyDiv w:val="1"/>
      <w:marLeft w:val="0"/>
      <w:marRight w:val="0"/>
      <w:marTop w:val="0"/>
      <w:marBottom w:val="0"/>
      <w:divBdr>
        <w:top w:val="none" w:sz="0" w:space="0" w:color="auto"/>
        <w:left w:val="none" w:sz="0" w:space="0" w:color="auto"/>
        <w:bottom w:val="none" w:sz="0" w:space="0" w:color="auto"/>
        <w:right w:val="none" w:sz="0" w:space="0" w:color="auto"/>
      </w:divBdr>
      <w:divsChild>
        <w:div w:id="7071485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uhealth.policytech.com/dotNet/documents/?app=pt&amp;source=unspecified&amp;docid=151226" TargetMode="External"/><Relationship Id="rId21" Type="http://schemas.openxmlformats.org/officeDocument/2006/relationships/hyperlink" Target="https://iuhealth.policytech.com/dotNet/documents/?app=pt&amp;source=unspecified&amp;docid=151275" TargetMode="External"/><Relationship Id="rId34" Type="http://schemas.openxmlformats.org/officeDocument/2006/relationships/hyperlink" Target="https://iuhealth.policytech.com/dotNet/documents/?app=pt&amp;source=unspecified&amp;docid=151219" TargetMode="External"/><Relationship Id="rId42" Type="http://schemas.openxmlformats.org/officeDocument/2006/relationships/hyperlink" Target="https://iuhealth.policytech.com/dotNet/documents/?app=pt&amp;source=unspecified&amp;docid=151210" TargetMode="External"/><Relationship Id="rId47" Type="http://schemas.openxmlformats.org/officeDocument/2006/relationships/hyperlink" Target="https://iuhealth.policytech.com/dotNet/documents/?app=pt&amp;source=unspecified&amp;docid=151201" TargetMode="External"/><Relationship Id="rId50" Type="http://schemas.openxmlformats.org/officeDocument/2006/relationships/hyperlink" Target="https://iuhealth.policytech.com/dotNet/documents/?app=pt&amp;source=unspecified&amp;docid=151239" TargetMode="External"/><Relationship Id="rId55" Type="http://schemas.openxmlformats.org/officeDocument/2006/relationships/hyperlink" Target="https://iuhealth.policytech.com/dotNet/documents/?app=pt&amp;source=unspecified&amp;docid=151238" TargetMode="External"/><Relationship Id="rId63" Type="http://schemas.openxmlformats.org/officeDocument/2006/relationships/hyperlink" Target="https://iuhealth.policytech.com/dotNet/documents/?app=pt&amp;source=unspecified&amp;docid=15117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uhealth.policytech.com/dotNet/documents/?app=pt&amp;source=unspecified&amp;docid=151284" TargetMode="External"/><Relationship Id="rId29" Type="http://schemas.openxmlformats.org/officeDocument/2006/relationships/hyperlink" Target="https://iuhealth.policytech.com/dotNet/documents/?app=pt&amp;source=unspecified&amp;docid=151183" TargetMode="External"/><Relationship Id="rId11" Type="http://schemas.openxmlformats.org/officeDocument/2006/relationships/hyperlink" Target="https://iuhealth.policytech.com/dotNet/documents/?app=pt&amp;source=unspecified&amp;docid=151289" TargetMode="External"/><Relationship Id="rId24" Type="http://schemas.openxmlformats.org/officeDocument/2006/relationships/hyperlink" Target="https://iuhealth.policytech.com/dotNet/documents/?app=pt&amp;source=unspecified&amp;docid=151228" TargetMode="External"/><Relationship Id="rId32" Type="http://schemas.openxmlformats.org/officeDocument/2006/relationships/hyperlink" Target="https://iuhealth.policytech.com/dotNet/documents/?app=pt&amp;source=unspecified&amp;docid=151222" TargetMode="External"/><Relationship Id="rId37" Type="http://schemas.openxmlformats.org/officeDocument/2006/relationships/hyperlink" Target="https://iuhealth.policytech.com/dotNet/documents/?app=pt&amp;source=unspecified&amp;docid=150958" TargetMode="External"/><Relationship Id="rId40" Type="http://schemas.openxmlformats.org/officeDocument/2006/relationships/hyperlink" Target="https://iuhealth.policytech.com/dotNet/documents/?app=pt&amp;source=unspecified&amp;docid=151055" TargetMode="External"/><Relationship Id="rId45" Type="http://schemas.openxmlformats.org/officeDocument/2006/relationships/hyperlink" Target="https://iuhealth.policytech.com/dotNet/documents/?app=pt&amp;source=unspecified&amp;docid=151053" TargetMode="External"/><Relationship Id="rId53" Type="http://schemas.openxmlformats.org/officeDocument/2006/relationships/hyperlink" Target="https://iuhealth.policytech.com/dotNet/documents/?app=pt&amp;source=unspecified&amp;docid=153451" TargetMode="External"/><Relationship Id="rId58" Type="http://schemas.openxmlformats.org/officeDocument/2006/relationships/hyperlink" Target="https://iuhealth.policytech.com/dotNet/documents/?app=pt&amp;source=unspecified&amp;docid=150972"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iuhealth.policytech.com/dotNet/documents/?app=pt&amp;source=unspecified&amp;docid=151189" TargetMode="External"/><Relationship Id="rId19" Type="http://schemas.openxmlformats.org/officeDocument/2006/relationships/hyperlink" Target="https://iuhealth.policytech.com/dotNet/documents/?app=pt&amp;source=unspecified&amp;docid=151276" TargetMode="External"/><Relationship Id="rId14" Type="http://schemas.openxmlformats.org/officeDocument/2006/relationships/hyperlink" Target="https://iuhealth.policytech.com/dotNet/documents/?app=pt&amp;source=unspecified&amp;docid=151286" TargetMode="External"/><Relationship Id="rId22" Type="http://schemas.openxmlformats.org/officeDocument/2006/relationships/hyperlink" Target="https://iuhealth.policytech.com/dotNet/documents/?app=pt&amp;source=unspecified&amp;docid=151274" TargetMode="External"/><Relationship Id="rId27" Type="http://schemas.openxmlformats.org/officeDocument/2006/relationships/hyperlink" Target="https://iuhealth.policytech.com/dotNet/documents/?app=pt&amp;source=unspecified&amp;docid=151225" TargetMode="External"/><Relationship Id="rId30" Type="http://schemas.openxmlformats.org/officeDocument/2006/relationships/hyperlink" Target="https://iuhealth.policytech.com/dotNet/documents/?app=pt&amp;source=unspecified&amp;docid=151257" TargetMode="External"/><Relationship Id="rId35" Type="http://schemas.openxmlformats.org/officeDocument/2006/relationships/hyperlink" Target="https://iuhealth.policytech.com/dotNet/documents/?app=pt&amp;source=unspecified&amp;docid=181911" TargetMode="External"/><Relationship Id="rId43" Type="http://schemas.openxmlformats.org/officeDocument/2006/relationships/hyperlink" Target="https://iuhealth.policytech.com/dotNet/documents/?app=pt&amp;source=unspecified&amp;docid=151207" TargetMode="External"/><Relationship Id="rId48" Type="http://schemas.openxmlformats.org/officeDocument/2006/relationships/hyperlink" Target="https://iuhealth.policytech.com/dotNet/documents/?app=pt&amp;source=unspecified&amp;docid=151200" TargetMode="External"/><Relationship Id="rId56" Type="http://schemas.openxmlformats.org/officeDocument/2006/relationships/hyperlink" Target="https://iuhealth.policytech.com/dotNet/documents/?app=pt&amp;source=unspecified&amp;docid=152504"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iuhealth.policytech.com/dotNet/documents/?app=pt&amp;source=unspecified&amp;docid=151198" TargetMode="External"/><Relationship Id="rId3" Type="http://schemas.openxmlformats.org/officeDocument/2006/relationships/styles" Target="styles.xml"/><Relationship Id="rId12" Type="http://schemas.openxmlformats.org/officeDocument/2006/relationships/hyperlink" Target="https://iuhealth.policytech.com/dotNet/documents/?app=pt&amp;source=unspecified&amp;docid=151288" TargetMode="External"/><Relationship Id="rId17" Type="http://schemas.openxmlformats.org/officeDocument/2006/relationships/hyperlink" Target="https://iuhealth.policytech.com/dotNet/documents/?app=pt&amp;source=unspecified&amp;docid=160795" TargetMode="External"/><Relationship Id="rId25" Type="http://schemas.openxmlformats.org/officeDocument/2006/relationships/hyperlink" Target="https://iuhealth.policytech.com/dotNet/documents/?app=pt&amp;source=unspecified&amp;docid=151227" TargetMode="External"/><Relationship Id="rId33" Type="http://schemas.openxmlformats.org/officeDocument/2006/relationships/hyperlink" Target="https://iuhealth.policytech.com/dotNet/documents/?app=pt&amp;source=unspecified&amp;docid=151220" TargetMode="External"/><Relationship Id="rId38" Type="http://schemas.openxmlformats.org/officeDocument/2006/relationships/hyperlink" Target="https://iuhealth.policytech.com/dotNet/documents/?app=pt&amp;source=unspecified&amp;docid=151218" TargetMode="External"/><Relationship Id="rId46" Type="http://schemas.openxmlformats.org/officeDocument/2006/relationships/hyperlink" Target="https://iuhealth.policytech.com/dotNet/documents/?app=pt&amp;source=unspecified&amp;docid=151052" TargetMode="External"/><Relationship Id="rId59" Type="http://schemas.openxmlformats.org/officeDocument/2006/relationships/hyperlink" Target="https://iuhealth.policytech.com/dotNet/documents/?app=pt&amp;source=unspecified&amp;docid=172557" TargetMode="External"/><Relationship Id="rId67" Type="http://schemas.openxmlformats.org/officeDocument/2006/relationships/theme" Target="theme/theme1.xml"/><Relationship Id="rId20" Type="http://schemas.openxmlformats.org/officeDocument/2006/relationships/hyperlink" Target="https://iuhealth.policytech.com/dotNet/documents/?app=pt&amp;source=unspecified&amp;docid=151229" TargetMode="External"/><Relationship Id="rId41" Type="http://schemas.openxmlformats.org/officeDocument/2006/relationships/hyperlink" Target="https://iuhealth.policytech.com/dotNet/documents/?app=pt&amp;source=unspecified&amp;docid=153490" TargetMode="External"/><Relationship Id="rId54" Type="http://schemas.openxmlformats.org/officeDocument/2006/relationships/hyperlink" Target="https://iuhealth.policytech.com/dotNet/documents/?app=pt&amp;source=unspecified&amp;docid=175691" TargetMode="External"/><Relationship Id="rId62" Type="http://schemas.openxmlformats.org/officeDocument/2006/relationships/hyperlink" Target="https://iuhealth.policytech.com/dotNet/documents/?app=pt&amp;source=unspecified&amp;docid=15123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health.policytech.com/dotNet/documents/?app=pt&amp;source=unspecified&amp;docid=151285" TargetMode="External"/><Relationship Id="rId23" Type="http://schemas.openxmlformats.org/officeDocument/2006/relationships/hyperlink" Target="https://iuhealth.policytech.com/dotNet/documents/?app=pt&amp;source=unspecified&amp;docid=151273" TargetMode="External"/><Relationship Id="rId28" Type="http://schemas.openxmlformats.org/officeDocument/2006/relationships/hyperlink" Target="https://iuhealth.policytech.com/dotNet/documents/?app=pt&amp;source=unspecified&amp;docid=151184" TargetMode="External"/><Relationship Id="rId36" Type="http://schemas.openxmlformats.org/officeDocument/2006/relationships/hyperlink" Target="https://iuhealth.policytech.com/dotNet/documents/?app=pt&amp;source=unspecified&amp;docid=150960" TargetMode="External"/><Relationship Id="rId49" Type="http://schemas.openxmlformats.org/officeDocument/2006/relationships/hyperlink" Target="https://iuhealth.policytech.com/dotNet/documents/?app=pt&amp;source=unspecified&amp;docid=151240" TargetMode="External"/><Relationship Id="rId57" Type="http://schemas.openxmlformats.org/officeDocument/2006/relationships/hyperlink" Target="https://iuhealth.policytech.com/dotNet/documents/?app=pt&amp;source=unspecified&amp;docid=150973" TargetMode="External"/><Relationship Id="rId10" Type="http://schemas.openxmlformats.org/officeDocument/2006/relationships/image" Target="media/image3.png"/><Relationship Id="rId31" Type="http://schemas.openxmlformats.org/officeDocument/2006/relationships/hyperlink" Target="https://iuhealth.policytech.com/dotNet/documents/?app=pt&amp;source=unspecified&amp;docid=151223" TargetMode="External"/><Relationship Id="rId44" Type="http://schemas.openxmlformats.org/officeDocument/2006/relationships/hyperlink" Target="https://iuhealth.policytech.com/dotNet/documents/?app=pt&amp;source=unspecified&amp;docid=151241" TargetMode="External"/><Relationship Id="rId52" Type="http://schemas.openxmlformats.org/officeDocument/2006/relationships/hyperlink" Target="https://iuhealth.policytech.com/dotNet/documents/?app=pt&amp;source=unspecified&amp;docid=151197" TargetMode="External"/><Relationship Id="rId60" Type="http://schemas.openxmlformats.org/officeDocument/2006/relationships/hyperlink" Target="https://iuhealth.policytech.com/dotNet/documents/?app=pt&amp;source=unspecified&amp;docid=15119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iuhealth.policytech.com/dotNet/documents/?app=pt&amp;source=unspecified&amp;docid=151287" TargetMode="External"/><Relationship Id="rId18" Type="http://schemas.openxmlformats.org/officeDocument/2006/relationships/hyperlink" Target="https://iuhealth.policytech.com/dotNet/documents/?app=pt&amp;source=unspecified&amp;docid=161509" TargetMode="External"/><Relationship Id="rId39" Type="http://schemas.openxmlformats.org/officeDocument/2006/relationships/hyperlink" Target="https://iuhealth.policytech.com/dotNet/documents/?app=pt&amp;source=unspecified&amp;docid=1512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D03C59B4B544539E98D0A5D65DF2D1"/>
        <w:category>
          <w:name w:val="General"/>
          <w:gallery w:val="placeholder"/>
        </w:category>
        <w:types>
          <w:type w:val="bbPlcHdr"/>
        </w:types>
        <w:behaviors>
          <w:behavior w:val="content"/>
        </w:behaviors>
        <w:guid w:val="{DB65EA4D-486F-4492-BB6D-A5E725027343}"/>
      </w:docPartPr>
      <w:docPartBody>
        <w:p w:rsidR="00E03841" w:rsidRDefault="006A4DA4">
          <w:r w:rsidRPr="00AC106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A4"/>
    <w:rsid w:val="000B7890"/>
    <w:rsid w:val="001417F9"/>
    <w:rsid w:val="00185B5F"/>
    <w:rsid w:val="002B2BA1"/>
    <w:rsid w:val="00333CCE"/>
    <w:rsid w:val="005A6B32"/>
    <w:rsid w:val="006A4DA4"/>
    <w:rsid w:val="00780401"/>
    <w:rsid w:val="007A337B"/>
    <w:rsid w:val="007A702B"/>
    <w:rsid w:val="00817096"/>
    <w:rsid w:val="00836012"/>
    <w:rsid w:val="00845DF6"/>
    <w:rsid w:val="00A10500"/>
    <w:rsid w:val="00A218F3"/>
    <w:rsid w:val="00B110D3"/>
    <w:rsid w:val="00BB301E"/>
    <w:rsid w:val="00C7591A"/>
    <w:rsid w:val="00CF67D9"/>
    <w:rsid w:val="00DD627A"/>
    <w:rsid w:val="00E03841"/>
    <w:rsid w:val="00EB7B95"/>
    <w:rsid w:val="00F546FD"/>
    <w:rsid w:val="00FD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D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31CCF-4B1A-47EB-B4EA-324E2608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11-18-24</dc:title>
  <dc:subject/>
  <dc:creator>Hopewell, Emily L.</dc:creator>
  <cp:keywords/>
  <dc:description/>
  <cp:lastModifiedBy>Harris, Hillary G</cp:lastModifiedBy>
  <cp:revision>2</cp:revision>
  <dcterms:created xsi:type="dcterms:W3CDTF">2024-11-20T14:53:00Z</dcterms:created>
  <dcterms:modified xsi:type="dcterms:W3CDTF">2024-11-20T14:53:00Z</dcterms:modified>
</cp:coreProperties>
</file>