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9CA44" w14:textId="7233B5F4" w:rsidR="00617425" w:rsidRDefault="007C1521" w:rsidP="00FD2831">
      <w:pPr>
        <w:spacing w:after="0" w:line="276" w:lineRule="auto"/>
        <w:jc w:val="center"/>
        <w:rPr>
          <w:rFonts w:ascii="Arial" w:hAnsi="Arial" w:cs="Arial"/>
          <w:b/>
          <w:bCs/>
          <w:color w:val="212121"/>
          <w:sz w:val="22"/>
          <w:szCs w:val="22"/>
        </w:rPr>
      </w:pPr>
      <w:r w:rsidRPr="007C1521">
        <w:rPr>
          <w:rFonts w:ascii="Arial" w:hAnsi="Arial" w:cs="Arial"/>
          <w:b/>
          <w:bCs/>
          <w:color w:val="212121"/>
          <w:sz w:val="22"/>
          <w:szCs w:val="22"/>
        </w:rPr>
        <w:t>Compassionate use of</w:t>
      </w:r>
      <w:r w:rsidRPr="007C1521">
        <w:rPr>
          <w:rStyle w:val="apple-converted-space"/>
          <w:rFonts w:ascii="Arial" w:hAnsi="Arial" w:cs="Arial"/>
          <w:b/>
          <w:bCs/>
          <w:color w:val="212121"/>
          <w:sz w:val="22"/>
          <w:szCs w:val="22"/>
        </w:rPr>
        <w:t> </w:t>
      </w:r>
      <w:r w:rsidRPr="007C1521">
        <w:rPr>
          <w:rFonts w:ascii="Arial" w:hAnsi="Arial" w:cs="Arial"/>
          <w:b/>
          <w:bCs/>
          <w:color w:val="212121"/>
          <w:sz w:val="22"/>
          <w:szCs w:val="22"/>
        </w:rPr>
        <w:t>αβ+ T Cell/CD19+ B cell Depletion in a single patient with Severe Aplastic Anemia using the CliniMACS Plus®</w:t>
      </w:r>
    </w:p>
    <w:p w14:paraId="2019602E" w14:textId="77777777" w:rsidR="007C1521" w:rsidRPr="007C1521" w:rsidRDefault="007C1521" w:rsidP="00FD2831">
      <w:pPr>
        <w:spacing w:after="0" w:line="276" w:lineRule="auto"/>
        <w:jc w:val="center"/>
        <w:rPr>
          <w:rFonts w:ascii="Arial" w:hAnsi="Arial" w:cs="Arial"/>
          <w:b/>
          <w:bCs/>
          <w:sz w:val="22"/>
          <w:szCs w:val="22"/>
        </w:rPr>
      </w:pPr>
    </w:p>
    <w:p w14:paraId="219CB66D" w14:textId="77777777" w:rsidR="00617425" w:rsidRPr="0026633E" w:rsidRDefault="00617425" w:rsidP="0026633E">
      <w:pPr>
        <w:spacing w:after="0" w:line="276" w:lineRule="auto"/>
        <w:rPr>
          <w:rFonts w:ascii="Arial" w:hAnsi="Arial" w:cs="Arial"/>
          <w:sz w:val="22"/>
          <w:szCs w:val="22"/>
        </w:rPr>
      </w:pPr>
      <w:r w:rsidRPr="0026633E">
        <w:rPr>
          <w:rFonts w:ascii="Arial" w:hAnsi="Arial" w:cs="Arial"/>
          <w:b/>
          <w:bCs/>
          <w:sz w:val="22"/>
          <w:szCs w:val="22"/>
        </w:rPr>
        <w:t>Institution name</w:t>
      </w:r>
      <w:r w:rsidRPr="0026633E">
        <w:rPr>
          <w:rFonts w:ascii="Arial" w:hAnsi="Arial" w:cs="Arial"/>
          <w:sz w:val="22"/>
          <w:szCs w:val="22"/>
        </w:rPr>
        <w:t>: Riley Hospital for Children – Indiana University</w:t>
      </w:r>
    </w:p>
    <w:p w14:paraId="23C03F99" w14:textId="77777777" w:rsidR="007C1521" w:rsidRPr="0026633E" w:rsidRDefault="00617425" w:rsidP="0026633E">
      <w:pPr>
        <w:spacing w:after="0" w:line="276" w:lineRule="auto"/>
        <w:rPr>
          <w:rFonts w:ascii="Arial" w:hAnsi="Arial" w:cs="Arial"/>
          <w:sz w:val="22"/>
          <w:szCs w:val="22"/>
        </w:rPr>
      </w:pPr>
      <w:r w:rsidRPr="0026633E">
        <w:rPr>
          <w:rFonts w:ascii="Arial" w:hAnsi="Arial" w:cs="Arial"/>
          <w:b/>
          <w:bCs/>
          <w:sz w:val="22"/>
          <w:szCs w:val="22"/>
        </w:rPr>
        <w:t>Sponsor:</w:t>
      </w:r>
      <w:r w:rsidRPr="0026633E">
        <w:rPr>
          <w:rFonts w:ascii="Arial" w:hAnsi="Arial" w:cs="Arial"/>
          <w:sz w:val="22"/>
          <w:szCs w:val="22"/>
        </w:rPr>
        <w:t xml:space="preserve"> </w:t>
      </w:r>
    </w:p>
    <w:p w14:paraId="140F34CA" w14:textId="2016BF93" w:rsidR="00617425" w:rsidRPr="0026633E" w:rsidRDefault="007C1521" w:rsidP="0026633E">
      <w:pPr>
        <w:spacing w:after="0" w:line="276" w:lineRule="auto"/>
        <w:rPr>
          <w:rFonts w:ascii="Arial" w:hAnsi="Arial" w:cs="Arial"/>
          <w:sz w:val="22"/>
          <w:szCs w:val="22"/>
        </w:rPr>
      </w:pPr>
      <w:r w:rsidRPr="0026633E">
        <w:rPr>
          <w:rFonts w:ascii="Arial" w:hAnsi="Arial" w:cs="Arial"/>
          <w:sz w:val="22"/>
          <w:szCs w:val="22"/>
        </w:rPr>
        <w:t>Jonathan Bardahl</w:t>
      </w:r>
      <w:r w:rsidR="00617425" w:rsidRPr="0026633E">
        <w:rPr>
          <w:rFonts w:ascii="Arial" w:hAnsi="Arial" w:cs="Arial"/>
          <w:sz w:val="22"/>
          <w:szCs w:val="22"/>
        </w:rPr>
        <w:t>, DO</w:t>
      </w:r>
    </w:p>
    <w:p w14:paraId="2668DDE9" w14:textId="77777777" w:rsidR="00617425" w:rsidRPr="0026633E" w:rsidRDefault="00617425" w:rsidP="0026633E">
      <w:pPr>
        <w:spacing w:after="0" w:line="276" w:lineRule="auto"/>
        <w:rPr>
          <w:rFonts w:ascii="Arial" w:hAnsi="Arial" w:cs="Arial"/>
          <w:sz w:val="22"/>
          <w:szCs w:val="22"/>
        </w:rPr>
      </w:pPr>
      <w:r w:rsidRPr="0026633E">
        <w:rPr>
          <w:rFonts w:ascii="Arial" w:hAnsi="Arial" w:cs="Arial"/>
          <w:sz w:val="22"/>
          <w:szCs w:val="22"/>
        </w:rPr>
        <w:t>Riley Hospital for Children</w:t>
      </w:r>
    </w:p>
    <w:p w14:paraId="2015F3C9" w14:textId="77777777" w:rsidR="00617425" w:rsidRPr="0026633E" w:rsidRDefault="00617425" w:rsidP="0026633E">
      <w:pPr>
        <w:spacing w:after="0" w:line="276" w:lineRule="auto"/>
        <w:rPr>
          <w:rFonts w:ascii="Arial" w:hAnsi="Arial" w:cs="Arial"/>
          <w:sz w:val="22"/>
          <w:szCs w:val="22"/>
        </w:rPr>
      </w:pPr>
      <w:r w:rsidRPr="0026633E">
        <w:rPr>
          <w:rFonts w:ascii="Arial" w:hAnsi="Arial" w:cs="Arial"/>
          <w:sz w:val="22"/>
          <w:szCs w:val="22"/>
        </w:rPr>
        <w:t xml:space="preserve">705 Riley Hospital Dr., Rm. 4340 </w:t>
      </w:r>
    </w:p>
    <w:p w14:paraId="05362C15" w14:textId="77777777" w:rsidR="00617425" w:rsidRPr="0026633E" w:rsidRDefault="00617425" w:rsidP="0026633E">
      <w:pPr>
        <w:spacing w:after="0" w:line="276" w:lineRule="auto"/>
        <w:rPr>
          <w:rFonts w:ascii="Arial" w:hAnsi="Arial" w:cs="Arial"/>
          <w:sz w:val="22"/>
          <w:szCs w:val="22"/>
        </w:rPr>
      </w:pPr>
      <w:r w:rsidRPr="0026633E">
        <w:rPr>
          <w:rFonts w:ascii="Arial" w:hAnsi="Arial" w:cs="Arial"/>
          <w:sz w:val="22"/>
          <w:szCs w:val="22"/>
        </w:rPr>
        <w:t>Indianapolis, IN 46202</w:t>
      </w:r>
    </w:p>
    <w:p w14:paraId="0A45CEBD" w14:textId="20CCA49E" w:rsidR="00617425" w:rsidRPr="0026633E" w:rsidRDefault="00617425" w:rsidP="0026633E">
      <w:pPr>
        <w:spacing w:after="0" w:line="276" w:lineRule="auto"/>
        <w:rPr>
          <w:rFonts w:ascii="Arial" w:hAnsi="Arial" w:cs="Arial"/>
          <w:sz w:val="22"/>
          <w:szCs w:val="22"/>
        </w:rPr>
      </w:pPr>
      <w:r w:rsidRPr="0026633E">
        <w:rPr>
          <w:rFonts w:ascii="Arial" w:hAnsi="Arial" w:cs="Arial"/>
          <w:sz w:val="22"/>
          <w:szCs w:val="22"/>
        </w:rPr>
        <w:t xml:space="preserve">Phone: (317) </w:t>
      </w:r>
      <w:r w:rsidR="007C1521" w:rsidRPr="0026633E">
        <w:rPr>
          <w:rFonts w:ascii="Arial" w:hAnsi="Arial" w:cs="Arial"/>
          <w:sz w:val="22"/>
          <w:szCs w:val="22"/>
        </w:rPr>
        <w:t>944-8784</w:t>
      </w:r>
      <w:r w:rsidRPr="0026633E">
        <w:rPr>
          <w:rFonts w:ascii="Arial" w:hAnsi="Arial" w:cs="Arial"/>
          <w:sz w:val="22"/>
          <w:szCs w:val="22"/>
        </w:rPr>
        <w:t xml:space="preserve"> </w:t>
      </w:r>
    </w:p>
    <w:p w14:paraId="3318E979" w14:textId="21FC3D7E" w:rsidR="00617425" w:rsidRPr="0026633E" w:rsidRDefault="00617425" w:rsidP="0026633E">
      <w:pPr>
        <w:spacing w:after="0" w:line="276" w:lineRule="auto"/>
        <w:rPr>
          <w:rFonts w:ascii="Arial" w:hAnsi="Arial" w:cs="Arial"/>
          <w:sz w:val="22"/>
          <w:szCs w:val="22"/>
        </w:rPr>
      </w:pPr>
      <w:r w:rsidRPr="0026633E">
        <w:rPr>
          <w:rFonts w:ascii="Arial" w:hAnsi="Arial" w:cs="Arial"/>
          <w:sz w:val="22"/>
          <w:szCs w:val="22"/>
        </w:rPr>
        <w:t>Email:</w:t>
      </w:r>
      <w:r w:rsidR="007C1521" w:rsidRPr="0026633E">
        <w:rPr>
          <w:rFonts w:ascii="Arial" w:hAnsi="Arial" w:cs="Arial"/>
          <w:sz w:val="22"/>
          <w:szCs w:val="22"/>
        </w:rPr>
        <w:t xml:space="preserve"> </w:t>
      </w:r>
      <w:hyperlink r:id="rId8" w:history="1">
        <w:r w:rsidR="007C1521" w:rsidRPr="0026633E">
          <w:rPr>
            <w:rStyle w:val="Hyperlink"/>
            <w:rFonts w:ascii="Arial" w:hAnsi="Arial" w:cs="Arial"/>
            <w:sz w:val="22"/>
            <w:szCs w:val="22"/>
          </w:rPr>
          <w:t>jbardahl@iu.edu</w:t>
        </w:r>
      </w:hyperlink>
      <w:r w:rsidR="007C1521" w:rsidRPr="0026633E">
        <w:rPr>
          <w:rFonts w:ascii="Arial" w:hAnsi="Arial" w:cs="Arial"/>
          <w:sz w:val="22"/>
          <w:szCs w:val="22"/>
        </w:rPr>
        <w:t xml:space="preserve"> </w:t>
      </w:r>
    </w:p>
    <w:p w14:paraId="42E68C2F" w14:textId="77777777" w:rsidR="00617425" w:rsidRPr="0026633E" w:rsidRDefault="00617425" w:rsidP="0026633E">
      <w:pPr>
        <w:spacing w:line="276" w:lineRule="auto"/>
        <w:rPr>
          <w:rFonts w:ascii="Arial" w:hAnsi="Arial" w:cs="Arial"/>
          <w:b/>
          <w:bCs/>
          <w:sz w:val="22"/>
          <w:szCs w:val="22"/>
        </w:rPr>
      </w:pPr>
    </w:p>
    <w:p w14:paraId="599F94ED" w14:textId="3300DD13" w:rsidR="00F97BB7" w:rsidRPr="0026633E" w:rsidRDefault="00617425" w:rsidP="0026633E">
      <w:pPr>
        <w:pStyle w:val="ListParagraph"/>
        <w:numPr>
          <w:ilvl w:val="0"/>
          <w:numId w:val="1"/>
        </w:numPr>
        <w:spacing w:line="276" w:lineRule="auto"/>
        <w:rPr>
          <w:rFonts w:ascii="Arial" w:hAnsi="Arial" w:cs="Arial"/>
          <w:b/>
          <w:bCs/>
          <w:sz w:val="22"/>
          <w:szCs w:val="22"/>
        </w:rPr>
      </w:pPr>
      <w:r w:rsidRPr="0026633E">
        <w:rPr>
          <w:rFonts w:ascii="Arial" w:hAnsi="Arial" w:cs="Arial"/>
          <w:b/>
          <w:bCs/>
          <w:sz w:val="22"/>
          <w:szCs w:val="22"/>
        </w:rPr>
        <w:t>Brief Clinical History and Rationale for Use in this patient</w:t>
      </w:r>
    </w:p>
    <w:p w14:paraId="1CA1E237" w14:textId="49B66900" w:rsidR="00617425" w:rsidRPr="0026633E" w:rsidRDefault="00617425" w:rsidP="0026633E">
      <w:pPr>
        <w:pStyle w:val="ListParagraph"/>
        <w:numPr>
          <w:ilvl w:val="1"/>
          <w:numId w:val="1"/>
        </w:numPr>
        <w:spacing w:line="276" w:lineRule="auto"/>
        <w:rPr>
          <w:rFonts w:ascii="Arial" w:hAnsi="Arial" w:cs="Arial"/>
          <w:b/>
          <w:bCs/>
          <w:sz w:val="22"/>
          <w:szCs w:val="22"/>
        </w:rPr>
      </w:pPr>
      <w:r w:rsidRPr="0026633E">
        <w:rPr>
          <w:rFonts w:ascii="Arial" w:hAnsi="Arial" w:cs="Arial"/>
          <w:b/>
          <w:bCs/>
          <w:sz w:val="22"/>
          <w:szCs w:val="22"/>
        </w:rPr>
        <w:t>Patient information</w:t>
      </w:r>
    </w:p>
    <w:p w14:paraId="36295B19" w14:textId="36ACC2B0" w:rsidR="00D44EFE" w:rsidRPr="0026633E" w:rsidRDefault="00D44EFE" w:rsidP="0026633E">
      <w:pPr>
        <w:pStyle w:val="ListParagraph"/>
        <w:spacing w:line="276" w:lineRule="auto"/>
        <w:ind w:left="1095"/>
        <w:rPr>
          <w:rFonts w:ascii="Arial" w:hAnsi="Arial" w:cs="Arial"/>
          <w:sz w:val="22"/>
          <w:szCs w:val="22"/>
        </w:rPr>
      </w:pPr>
      <w:r w:rsidRPr="0026633E">
        <w:rPr>
          <w:rFonts w:ascii="Arial" w:hAnsi="Arial" w:cs="Arial"/>
          <w:sz w:val="22"/>
          <w:szCs w:val="22"/>
        </w:rPr>
        <w:t xml:space="preserve">Age: </w:t>
      </w:r>
      <w:r w:rsidR="007C1521" w:rsidRPr="0026633E">
        <w:rPr>
          <w:rFonts w:ascii="Arial" w:hAnsi="Arial" w:cs="Arial"/>
          <w:sz w:val="22"/>
          <w:szCs w:val="22"/>
        </w:rPr>
        <w:t>17</w:t>
      </w:r>
      <w:r w:rsidR="0041799F" w:rsidRPr="0026633E">
        <w:rPr>
          <w:rFonts w:ascii="Arial" w:hAnsi="Arial" w:cs="Arial"/>
          <w:sz w:val="22"/>
          <w:szCs w:val="22"/>
        </w:rPr>
        <w:t xml:space="preserve"> years old</w:t>
      </w:r>
    </w:p>
    <w:p w14:paraId="686756CE" w14:textId="4F2B7862" w:rsidR="00D44EFE" w:rsidRPr="0026633E" w:rsidRDefault="00D44EFE" w:rsidP="0026633E">
      <w:pPr>
        <w:pStyle w:val="ListParagraph"/>
        <w:spacing w:line="276" w:lineRule="auto"/>
        <w:ind w:left="1095"/>
        <w:rPr>
          <w:rFonts w:ascii="Arial" w:hAnsi="Arial" w:cs="Arial"/>
          <w:sz w:val="22"/>
          <w:szCs w:val="22"/>
        </w:rPr>
      </w:pPr>
      <w:r w:rsidRPr="0026633E">
        <w:rPr>
          <w:rFonts w:ascii="Arial" w:hAnsi="Arial" w:cs="Arial"/>
          <w:sz w:val="22"/>
          <w:szCs w:val="22"/>
        </w:rPr>
        <w:t>Gender:</w:t>
      </w:r>
      <w:r w:rsidR="0041799F" w:rsidRPr="0026633E">
        <w:rPr>
          <w:rFonts w:ascii="Arial" w:hAnsi="Arial" w:cs="Arial"/>
          <w:sz w:val="22"/>
          <w:szCs w:val="22"/>
        </w:rPr>
        <w:t xml:space="preserve"> female </w:t>
      </w:r>
    </w:p>
    <w:p w14:paraId="7514DDF2" w14:textId="112A1AB1" w:rsidR="00D44EFE" w:rsidRPr="0026633E" w:rsidRDefault="00D44EFE" w:rsidP="0026633E">
      <w:pPr>
        <w:pStyle w:val="ListParagraph"/>
        <w:spacing w:line="276" w:lineRule="auto"/>
        <w:ind w:left="1095"/>
        <w:rPr>
          <w:rFonts w:ascii="Arial" w:hAnsi="Arial" w:cs="Arial"/>
          <w:sz w:val="22"/>
          <w:szCs w:val="22"/>
        </w:rPr>
      </w:pPr>
      <w:r w:rsidRPr="0026633E">
        <w:rPr>
          <w:rFonts w:ascii="Arial" w:hAnsi="Arial" w:cs="Arial"/>
          <w:sz w:val="22"/>
          <w:szCs w:val="22"/>
        </w:rPr>
        <w:t xml:space="preserve">Weight: </w:t>
      </w:r>
      <w:r w:rsidR="007C1521" w:rsidRPr="0026633E">
        <w:rPr>
          <w:rFonts w:ascii="Arial" w:hAnsi="Arial" w:cs="Arial"/>
          <w:sz w:val="22"/>
          <w:szCs w:val="22"/>
        </w:rPr>
        <w:t>54.4</w:t>
      </w:r>
      <w:r w:rsidR="0041799F" w:rsidRPr="0026633E">
        <w:rPr>
          <w:rFonts w:ascii="Arial" w:hAnsi="Arial" w:cs="Arial"/>
          <w:sz w:val="22"/>
          <w:szCs w:val="22"/>
        </w:rPr>
        <w:t xml:space="preserve">kg </w:t>
      </w:r>
    </w:p>
    <w:p w14:paraId="3FDE6173" w14:textId="4EB700FB" w:rsidR="00C53E30" w:rsidRDefault="00D44EFE" w:rsidP="0026633E">
      <w:pPr>
        <w:pStyle w:val="ListParagraph"/>
        <w:spacing w:line="276" w:lineRule="auto"/>
        <w:ind w:left="1095"/>
        <w:rPr>
          <w:rFonts w:ascii="Arial" w:hAnsi="Arial" w:cs="Arial"/>
          <w:sz w:val="22"/>
          <w:szCs w:val="22"/>
        </w:rPr>
      </w:pPr>
      <w:r w:rsidRPr="0026633E">
        <w:rPr>
          <w:rFonts w:ascii="Arial" w:hAnsi="Arial" w:cs="Arial"/>
          <w:sz w:val="22"/>
          <w:szCs w:val="22"/>
        </w:rPr>
        <w:t xml:space="preserve">Diagnosis: </w:t>
      </w:r>
      <w:r w:rsidR="007C1521" w:rsidRPr="0026633E">
        <w:rPr>
          <w:rFonts w:ascii="Arial" w:hAnsi="Arial" w:cs="Arial"/>
          <w:sz w:val="22"/>
          <w:szCs w:val="22"/>
        </w:rPr>
        <w:t>Refractory Severe Aplastic Anemia after immunosuppressive therapy (IST)</w:t>
      </w:r>
    </w:p>
    <w:p w14:paraId="5BAD5918" w14:textId="77777777" w:rsidR="00D6112B" w:rsidRPr="0026633E" w:rsidRDefault="00D6112B" w:rsidP="0026633E">
      <w:pPr>
        <w:pStyle w:val="ListParagraph"/>
        <w:spacing w:line="276" w:lineRule="auto"/>
        <w:ind w:left="1095"/>
        <w:rPr>
          <w:rFonts w:ascii="Arial" w:hAnsi="Arial" w:cs="Arial"/>
          <w:sz w:val="22"/>
          <w:szCs w:val="22"/>
        </w:rPr>
      </w:pPr>
    </w:p>
    <w:p w14:paraId="1C7EB610" w14:textId="102E9433" w:rsidR="00C53E30" w:rsidRPr="0026633E" w:rsidRDefault="00617425" w:rsidP="0026633E">
      <w:pPr>
        <w:pStyle w:val="ListParagraph"/>
        <w:numPr>
          <w:ilvl w:val="1"/>
          <w:numId w:val="1"/>
        </w:numPr>
        <w:spacing w:line="276" w:lineRule="auto"/>
        <w:rPr>
          <w:rFonts w:ascii="Arial" w:hAnsi="Arial" w:cs="Arial"/>
          <w:b/>
          <w:bCs/>
          <w:sz w:val="22"/>
          <w:szCs w:val="22"/>
        </w:rPr>
      </w:pPr>
      <w:r w:rsidRPr="0026633E">
        <w:rPr>
          <w:rFonts w:ascii="Arial" w:hAnsi="Arial" w:cs="Arial"/>
          <w:b/>
          <w:bCs/>
          <w:sz w:val="22"/>
          <w:szCs w:val="22"/>
        </w:rPr>
        <w:t xml:space="preserve">Clinical history and reasoning for </w:t>
      </w:r>
      <w:r w:rsidR="006B6589" w:rsidRPr="0026633E">
        <w:rPr>
          <w:rFonts w:ascii="Arial" w:hAnsi="Arial" w:cs="Arial"/>
          <w:b/>
          <w:bCs/>
          <w:color w:val="212121"/>
          <w:sz w:val="22"/>
          <w:szCs w:val="22"/>
        </w:rPr>
        <w:t>αβ+ T Cell/CD19+ B cell Depletion</w:t>
      </w:r>
      <w:r w:rsidRPr="0026633E">
        <w:rPr>
          <w:rFonts w:ascii="Arial" w:hAnsi="Arial" w:cs="Arial"/>
          <w:b/>
          <w:bCs/>
          <w:sz w:val="22"/>
          <w:szCs w:val="22"/>
        </w:rPr>
        <w:t xml:space="preserve"> of peripheral blood stem cell graft </w:t>
      </w:r>
    </w:p>
    <w:p w14:paraId="4694CABD" w14:textId="727E1239" w:rsidR="00E55928" w:rsidRPr="0026633E" w:rsidRDefault="00C51FC9" w:rsidP="0026633E">
      <w:pPr>
        <w:pStyle w:val="ListParagraph"/>
        <w:spacing w:line="276" w:lineRule="auto"/>
        <w:ind w:left="1095"/>
        <w:rPr>
          <w:rFonts w:ascii="Arial" w:hAnsi="Arial" w:cs="Arial"/>
          <w:sz w:val="22"/>
          <w:szCs w:val="22"/>
        </w:rPr>
      </w:pPr>
      <w:r w:rsidRPr="0026633E">
        <w:rPr>
          <w:rFonts w:ascii="Arial" w:hAnsi="Arial" w:cs="Arial"/>
          <w:sz w:val="22"/>
          <w:szCs w:val="22"/>
        </w:rPr>
        <w:t xml:space="preserve">This patient is a </w:t>
      </w:r>
      <w:r w:rsidR="006B6589" w:rsidRPr="0026633E">
        <w:rPr>
          <w:rFonts w:ascii="Arial" w:hAnsi="Arial" w:cs="Arial"/>
          <w:sz w:val="22"/>
          <w:szCs w:val="22"/>
        </w:rPr>
        <w:t>17-</w:t>
      </w:r>
      <w:r w:rsidRPr="0026633E">
        <w:rPr>
          <w:rFonts w:ascii="Arial" w:hAnsi="Arial" w:cs="Arial"/>
          <w:sz w:val="22"/>
          <w:szCs w:val="22"/>
        </w:rPr>
        <w:t>yea</w:t>
      </w:r>
      <w:r w:rsidR="006B6589" w:rsidRPr="0026633E">
        <w:rPr>
          <w:rFonts w:ascii="Arial" w:hAnsi="Arial" w:cs="Arial"/>
          <w:sz w:val="22"/>
          <w:szCs w:val="22"/>
        </w:rPr>
        <w:t>r-</w:t>
      </w:r>
      <w:r w:rsidRPr="0026633E">
        <w:rPr>
          <w:rFonts w:ascii="Arial" w:hAnsi="Arial" w:cs="Arial"/>
          <w:sz w:val="22"/>
          <w:szCs w:val="22"/>
        </w:rPr>
        <w:t xml:space="preserve">old with a history of </w:t>
      </w:r>
      <w:r w:rsidR="006B6589" w:rsidRPr="0026633E">
        <w:rPr>
          <w:rFonts w:ascii="Arial" w:hAnsi="Arial" w:cs="Arial"/>
          <w:sz w:val="22"/>
          <w:szCs w:val="22"/>
        </w:rPr>
        <w:t>refractory severe aplastic anemia after</w:t>
      </w:r>
      <w:r w:rsidR="00E55928" w:rsidRPr="0026633E">
        <w:rPr>
          <w:rFonts w:ascii="Arial" w:hAnsi="Arial" w:cs="Arial"/>
          <w:sz w:val="22"/>
          <w:szCs w:val="22"/>
        </w:rPr>
        <w:t xml:space="preserve"> IST</w:t>
      </w:r>
      <w:r w:rsidR="006B6589" w:rsidRPr="0026633E">
        <w:rPr>
          <w:rFonts w:ascii="Arial" w:hAnsi="Arial" w:cs="Arial"/>
          <w:sz w:val="22"/>
          <w:szCs w:val="22"/>
        </w:rPr>
        <w:t xml:space="preserve"> </w:t>
      </w:r>
      <w:r w:rsidR="00E55928" w:rsidRPr="0026633E">
        <w:rPr>
          <w:rFonts w:ascii="Arial" w:hAnsi="Arial" w:cs="Arial"/>
          <w:sz w:val="22"/>
          <w:szCs w:val="22"/>
        </w:rPr>
        <w:t xml:space="preserve">who </w:t>
      </w:r>
      <w:r w:rsidR="006B6589" w:rsidRPr="0026633E">
        <w:rPr>
          <w:rFonts w:ascii="Arial" w:hAnsi="Arial" w:cs="Arial"/>
          <w:sz w:val="22"/>
          <w:szCs w:val="22"/>
        </w:rPr>
        <w:t xml:space="preserve">originally </w:t>
      </w:r>
      <w:r w:rsidR="00E55928" w:rsidRPr="0026633E">
        <w:rPr>
          <w:rFonts w:ascii="Arial" w:hAnsi="Arial" w:cs="Arial"/>
          <w:sz w:val="22"/>
          <w:szCs w:val="22"/>
        </w:rPr>
        <w:t xml:space="preserve">presented </w:t>
      </w:r>
      <w:r w:rsidR="006B6589" w:rsidRPr="0026633E">
        <w:rPr>
          <w:rFonts w:ascii="Arial" w:hAnsi="Arial" w:cs="Arial"/>
          <w:sz w:val="22"/>
          <w:szCs w:val="22"/>
        </w:rPr>
        <w:t>in October 202</w:t>
      </w:r>
      <w:r w:rsidR="00E55928" w:rsidRPr="0026633E">
        <w:rPr>
          <w:rFonts w:ascii="Arial" w:hAnsi="Arial" w:cs="Arial"/>
          <w:sz w:val="22"/>
          <w:szCs w:val="22"/>
        </w:rPr>
        <w:t>4</w:t>
      </w:r>
      <w:r w:rsidR="00863414" w:rsidRPr="0026633E">
        <w:rPr>
          <w:rFonts w:ascii="Arial" w:hAnsi="Arial" w:cs="Arial"/>
          <w:sz w:val="22"/>
          <w:szCs w:val="22"/>
        </w:rPr>
        <w:t xml:space="preserve">. </w:t>
      </w:r>
      <w:r w:rsidR="006B6589" w:rsidRPr="0026633E">
        <w:rPr>
          <w:rFonts w:ascii="Arial" w:hAnsi="Arial" w:cs="Arial"/>
          <w:sz w:val="22"/>
          <w:szCs w:val="22"/>
        </w:rPr>
        <w:t>Unfortunately, she did not have</w:t>
      </w:r>
      <w:r w:rsidR="00E55928" w:rsidRPr="0026633E">
        <w:rPr>
          <w:rFonts w:ascii="Arial" w:hAnsi="Arial" w:cs="Arial"/>
          <w:sz w:val="22"/>
          <w:szCs w:val="22"/>
        </w:rPr>
        <w:t xml:space="preserve"> a</w:t>
      </w:r>
      <w:r w:rsidR="006B6589" w:rsidRPr="0026633E">
        <w:rPr>
          <w:rFonts w:ascii="Arial" w:hAnsi="Arial" w:cs="Arial"/>
          <w:sz w:val="22"/>
          <w:szCs w:val="22"/>
        </w:rPr>
        <w:t xml:space="preserve"> matched sibling donor and was started on IST in October 202</w:t>
      </w:r>
      <w:r w:rsidR="00E55928" w:rsidRPr="0026633E">
        <w:rPr>
          <w:rFonts w:ascii="Arial" w:hAnsi="Arial" w:cs="Arial"/>
          <w:sz w:val="22"/>
          <w:szCs w:val="22"/>
        </w:rPr>
        <w:t xml:space="preserve">4. She has had several complications during IST including: </w:t>
      </w:r>
    </w:p>
    <w:p w14:paraId="780434BF" w14:textId="77777777" w:rsidR="00E55928" w:rsidRPr="0026633E" w:rsidRDefault="00E55928" w:rsidP="0026633E">
      <w:pPr>
        <w:pStyle w:val="ListParagraph"/>
        <w:numPr>
          <w:ilvl w:val="0"/>
          <w:numId w:val="6"/>
        </w:numPr>
        <w:spacing w:line="276" w:lineRule="auto"/>
        <w:rPr>
          <w:rFonts w:ascii="Arial" w:hAnsi="Arial" w:cs="Arial"/>
          <w:sz w:val="22"/>
          <w:szCs w:val="22"/>
        </w:rPr>
      </w:pPr>
      <w:r w:rsidRPr="0026633E">
        <w:rPr>
          <w:rFonts w:ascii="Arial" w:hAnsi="Arial" w:cs="Arial"/>
          <w:sz w:val="22"/>
          <w:szCs w:val="22"/>
        </w:rPr>
        <w:t>multiple admissions for febrile neutropenia</w:t>
      </w:r>
    </w:p>
    <w:p w14:paraId="2E9865FD" w14:textId="77777777" w:rsidR="00E55928" w:rsidRPr="0026633E" w:rsidRDefault="00E55928" w:rsidP="0026633E">
      <w:pPr>
        <w:pStyle w:val="ListParagraph"/>
        <w:numPr>
          <w:ilvl w:val="0"/>
          <w:numId w:val="6"/>
        </w:numPr>
        <w:spacing w:line="276" w:lineRule="auto"/>
        <w:rPr>
          <w:rFonts w:ascii="Arial" w:hAnsi="Arial" w:cs="Arial"/>
          <w:sz w:val="22"/>
          <w:szCs w:val="22"/>
        </w:rPr>
      </w:pPr>
      <w:r w:rsidRPr="0026633E">
        <w:rPr>
          <w:rFonts w:ascii="Arial" w:hAnsi="Arial" w:cs="Arial"/>
          <w:sz w:val="22"/>
          <w:szCs w:val="22"/>
        </w:rPr>
        <w:t xml:space="preserve">A persistent tongue lesion that was concerning for fungal infection but was biopsied and found to be negative </w:t>
      </w:r>
    </w:p>
    <w:p w14:paraId="1BBF3775" w14:textId="77777777" w:rsidR="00E55928" w:rsidRPr="0026633E" w:rsidRDefault="00E55928" w:rsidP="0026633E">
      <w:pPr>
        <w:pStyle w:val="ListParagraph"/>
        <w:numPr>
          <w:ilvl w:val="0"/>
          <w:numId w:val="6"/>
        </w:numPr>
        <w:spacing w:line="276" w:lineRule="auto"/>
        <w:rPr>
          <w:rFonts w:ascii="Arial" w:hAnsi="Arial" w:cs="Arial"/>
          <w:sz w:val="22"/>
          <w:szCs w:val="22"/>
        </w:rPr>
      </w:pPr>
      <w:r w:rsidRPr="0026633E">
        <w:rPr>
          <w:rFonts w:ascii="Arial" w:hAnsi="Arial" w:cs="Arial"/>
          <w:sz w:val="22"/>
          <w:szCs w:val="22"/>
        </w:rPr>
        <w:t xml:space="preserve">Peri-mandibular lymph node swelling thought to be infectious but biopsy negative </w:t>
      </w:r>
    </w:p>
    <w:p w14:paraId="726902D6" w14:textId="77777777" w:rsidR="00E55928" w:rsidRPr="0026633E" w:rsidRDefault="00E55928" w:rsidP="0026633E">
      <w:pPr>
        <w:pStyle w:val="ListParagraph"/>
        <w:numPr>
          <w:ilvl w:val="0"/>
          <w:numId w:val="6"/>
        </w:numPr>
        <w:spacing w:line="276" w:lineRule="auto"/>
        <w:rPr>
          <w:rFonts w:ascii="Arial" w:hAnsi="Arial" w:cs="Arial"/>
          <w:sz w:val="22"/>
          <w:szCs w:val="22"/>
        </w:rPr>
      </w:pPr>
      <w:r w:rsidRPr="0026633E">
        <w:rPr>
          <w:rFonts w:ascii="Arial" w:hAnsi="Arial" w:cs="Arial"/>
          <w:sz w:val="22"/>
          <w:szCs w:val="22"/>
        </w:rPr>
        <w:t xml:space="preserve">Acute kidney injury from IST (cyclosporine and/or tacrolimus) </w:t>
      </w:r>
    </w:p>
    <w:p w14:paraId="3E9CD4D5" w14:textId="77777777" w:rsidR="00E55928" w:rsidRPr="0026633E" w:rsidRDefault="00E55928" w:rsidP="0026633E">
      <w:pPr>
        <w:pStyle w:val="ListParagraph"/>
        <w:numPr>
          <w:ilvl w:val="0"/>
          <w:numId w:val="6"/>
        </w:numPr>
        <w:spacing w:line="276" w:lineRule="auto"/>
        <w:rPr>
          <w:rFonts w:ascii="Arial" w:hAnsi="Arial" w:cs="Arial"/>
          <w:sz w:val="22"/>
          <w:szCs w:val="22"/>
        </w:rPr>
      </w:pPr>
      <w:r w:rsidRPr="0026633E">
        <w:rPr>
          <w:rFonts w:ascii="Arial" w:hAnsi="Arial" w:cs="Arial"/>
          <w:sz w:val="22"/>
          <w:szCs w:val="22"/>
        </w:rPr>
        <w:t xml:space="preserve">Mild iron overload. </w:t>
      </w:r>
    </w:p>
    <w:p w14:paraId="38F9D76A" w14:textId="10436336" w:rsidR="00C53E30" w:rsidRPr="0026633E" w:rsidRDefault="00E55928" w:rsidP="0026633E">
      <w:pPr>
        <w:spacing w:line="276" w:lineRule="auto"/>
        <w:ind w:left="1095"/>
        <w:rPr>
          <w:rFonts w:ascii="Arial" w:hAnsi="Arial" w:cs="Arial"/>
          <w:sz w:val="22"/>
          <w:szCs w:val="22"/>
        </w:rPr>
      </w:pPr>
      <w:r w:rsidRPr="0026633E">
        <w:rPr>
          <w:rFonts w:ascii="Arial" w:hAnsi="Arial" w:cs="Arial"/>
          <w:sz w:val="22"/>
          <w:szCs w:val="22"/>
        </w:rPr>
        <w:t>She is 5 months from the initiation of IST and has not had a hematological response</w:t>
      </w:r>
      <w:r w:rsidR="00C53E30" w:rsidRPr="0026633E">
        <w:rPr>
          <w:rFonts w:ascii="Arial" w:hAnsi="Arial" w:cs="Arial"/>
          <w:sz w:val="22"/>
          <w:szCs w:val="22"/>
        </w:rPr>
        <w:t xml:space="preserve"> thus far</w:t>
      </w:r>
      <w:r w:rsidRPr="0026633E">
        <w:rPr>
          <w:rFonts w:ascii="Arial" w:hAnsi="Arial" w:cs="Arial"/>
          <w:sz w:val="22"/>
          <w:szCs w:val="22"/>
        </w:rPr>
        <w:t xml:space="preserve"> requiring platelet transfusions 1-2 times a week and blood transfusions 2-3 times a month. At this point in her treatment alternative unrelated transplant or haplo-identical transplant would be strongly considered and</w:t>
      </w:r>
      <w:r w:rsidR="00C53E30" w:rsidRPr="0026633E">
        <w:rPr>
          <w:rFonts w:ascii="Arial" w:hAnsi="Arial" w:cs="Arial"/>
          <w:sz w:val="22"/>
          <w:szCs w:val="22"/>
        </w:rPr>
        <w:t xml:space="preserve"> is</w:t>
      </w:r>
      <w:r w:rsidRPr="0026633E">
        <w:rPr>
          <w:rFonts w:ascii="Arial" w:hAnsi="Arial" w:cs="Arial"/>
          <w:sz w:val="22"/>
          <w:szCs w:val="22"/>
        </w:rPr>
        <w:t xml:space="preserve"> her best chance at long term survival. We had requested &gt;5 unrelated donors from various national bone marrow programs but </w:t>
      </w:r>
      <w:r w:rsidR="00C53E30" w:rsidRPr="0026633E">
        <w:rPr>
          <w:rFonts w:ascii="Arial" w:hAnsi="Arial" w:cs="Arial"/>
          <w:sz w:val="22"/>
          <w:szCs w:val="22"/>
        </w:rPr>
        <w:t xml:space="preserve">no donors responded to our request, so we plan to proceed with haplo-identical transplant using her older sister. </w:t>
      </w:r>
    </w:p>
    <w:p w14:paraId="65F9827A" w14:textId="5B0FA2E1" w:rsidR="00662C69" w:rsidRPr="0026633E" w:rsidRDefault="0066539E" w:rsidP="0026633E">
      <w:pPr>
        <w:spacing w:line="276" w:lineRule="auto"/>
        <w:ind w:left="1095"/>
        <w:rPr>
          <w:rFonts w:ascii="Arial" w:hAnsi="Arial" w:cs="Arial"/>
          <w:sz w:val="22"/>
          <w:szCs w:val="22"/>
        </w:rPr>
      </w:pPr>
      <w:r w:rsidRPr="0026633E">
        <w:rPr>
          <w:rFonts w:ascii="Arial" w:hAnsi="Arial" w:cs="Arial"/>
          <w:sz w:val="22"/>
          <w:szCs w:val="22"/>
        </w:rPr>
        <w:t>Haplo</w:t>
      </w:r>
      <w:r w:rsidR="00C53E30" w:rsidRPr="0026633E">
        <w:rPr>
          <w:rFonts w:ascii="Arial" w:hAnsi="Arial" w:cs="Arial"/>
          <w:sz w:val="22"/>
          <w:szCs w:val="22"/>
        </w:rPr>
        <w:t>-identical</w:t>
      </w:r>
      <w:r w:rsidRPr="0026633E">
        <w:rPr>
          <w:rFonts w:ascii="Arial" w:hAnsi="Arial" w:cs="Arial"/>
          <w:sz w:val="22"/>
          <w:szCs w:val="22"/>
        </w:rPr>
        <w:t xml:space="preserve"> stem cell transplants </w:t>
      </w:r>
      <w:r w:rsidR="00C53E30" w:rsidRPr="0026633E">
        <w:rPr>
          <w:rFonts w:ascii="Arial" w:hAnsi="Arial" w:cs="Arial"/>
          <w:sz w:val="22"/>
          <w:szCs w:val="22"/>
        </w:rPr>
        <w:t>require</w:t>
      </w:r>
      <w:r w:rsidRPr="0026633E">
        <w:rPr>
          <w:rFonts w:ascii="Arial" w:hAnsi="Arial" w:cs="Arial"/>
          <w:sz w:val="22"/>
          <w:szCs w:val="22"/>
        </w:rPr>
        <w:t xml:space="preserve"> profound T </w:t>
      </w:r>
      <w:r w:rsidR="00C53E30" w:rsidRPr="0026633E">
        <w:rPr>
          <w:rFonts w:ascii="Arial" w:hAnsi="Arial" w:cs="Arial"/>
          <w:sz w:val="22"/>
          <w:szCs w:val="22"/>
        </w:rPr>
        <w:t>c</w:t>
      </w:r>
      <w:r w:rsidRPr="0026633E">
        <w:rPr>
          <w:rFonts w:ascii="Arial" w:hAnsi="Arial" w:cs="Arial"/>
          <w:sz w:val="22"/>
          <w:szCs w:val="22"/>
        </w:rPr>
        <w:t>ell depletion strategies of the graft to minimize the risk of severe graft versus host disease. This can be performed using</w:t>
      </w:r>
      <w:r w:rsidR="00C53E30" w:rsidRPr="0026633E">
        <w:rPr>
          <w:rFonts w:ascii="Arial" w:hAnsi="Arial" w:cs="Arial"/>
          <w:sz w:val="22"/>
          <w:szCs w:val="22"/>
        </w:rPr>
        <w:t xml:space="preserve"> in-vivo methods (</w:t>
      </w:r>
      <w:r w:rsidR="00662C69" w:rsidRPr="0026633E">
        <w:rPr>
          <w:rFonts w:ascii="Arial" w:hAnsi="Arial" w:cs="Arial"/>
          <w:sz w:val="22"/>
          <w:szCs w:val="22"/>
        </w:rPr>
        <w:t>post-transplant</w:t>
      </w:r>
      <w:r w:rsidRPr="0026633E">
        <w:rPr>
          <w:rFonts w:ascii="Arial" w:hAnsi="Arial" w:cs="Arial"/>
          <w:sz w:val="22"/>
          <w:szCs w:val="22"/>
        </w:rPr>
        <w:t xml:space="preserve"> cyclophosphamide</w:t>
      </w:r>
      <w:r w:rsidR="00C53E30" w:rsidRPr="0026633E">
        <w:rPr>
          <w:rFonts w:ascii="Arial" w:hAnsi="Arial" w:cs="Arial"/>
          <w:sz w:val="22"/>
          <w:szCs w:val="22"/>
        </w:rPr>
        <w:t>)</w:t>
      </w:r>
      <w:r w:rsidRPr="0026633E">
        <w:rPr>
          <w:rFonts w:ascii="Arial" w:hAnsi="Arial" w:cs="Arial"/>
          <w:sz w:val="22"/>
          <w:szCs w:val="22"/>
        </w:rPr>
        <w:t xml:space="preserve"> or</w:t>
      </w:r>
      <w:r w:rsidR="00C53E30" w:rsidRPr="0026633E">
        <w:rPr>
          <w:rFonts w:ascii="Arial" w:hAnsi="Arial" w:cs="Arial"/>
          <w:sz w:val="22"/>
          <w:szCs w:val="22"/>
        </w:rPr>
        <w:t xml:space="preserve"> ex-vivo</w:t>
      </w:r>
      <w:r w:rsidRPr="0026633E">
        <w:rPr>
          <w:rFonts w:ascii="Arial" w:hAnsi="Arial" w:cs="Arial"/>
          <w:sz w:val="22"/>
          <w:szCs w:val="22"/>
        </w:rPr>
        <w:t xml:space="preserve"> </w:t>
      </w:r>
      <w:r w:rsidR="00C53E30" w:rsidRPr="0026633E">
        <w:rPr>
          <w:rFonts w:ascii="Arial" w:hAnsi="Arial" w:cs="Arial"/>
          <w:sz w:val="22"/>
          <w:szCs w:val="22"/>
        </w:rPr>
        <w:t>(</w:t>
      </w:r>
      <w:r w:rsidR="00662C69" w:rsidRPr="0026633E">
        <w:rPr>
          <w:rFonts w:ascii="Arial" w:hAnsi="Arial" w:cs="Arial"/>
          <w:sz w:val="22"/>
          <w:szCs w:val="22"/>
        </w:rPr>
        <w:t>x</w:t>
      </w:r>
      <w:r w:rsidR="00C53E30" w:rsidRPr="0026633E">
        <w:rPr>
          <w:rFonts w:ascii="Arial" w:hAnsi="Arial" w:cs="Arial"/>
          <w:sz w:val="22"/>
          <w:szCs w:val="22"/>
        </w:rPr>
        <w:t>)</w:t>
      </w:r>
      <w:r w:rsidRPr="0026633E">
        <w:rPr>
          <w:rFonts w:ascii="Arial" w:hAnsi="Arial" w:cs="Arial"/>
          <w:sz w:val="22"/>
          <w:szCs w:val="22"/>
        </w:rPr>
        <w:t xml:space="preserve">. </w:t>
      </w:r>
      <w:r w:rsidR="00C53E30" w:rsidRPr="0026633E">
        <w:rPr>
          <w:rFonts w:ascii="Arial" w:hAnsi="Arial" w:cs="Arial"/>
          <w:sz w:val="22"/>
          <w:szCs w:val="22"/>
        </w:rPr>
        <w:t>This patient has had several complications and toxicities thus far during her IST. We</w:t>
      </w:r>
      <w:r w:rsidRPr="0026633E">
        <w:rPr>
          <w:rFonts w:ascii="Arial" w:hAnsi="Arial" w:cs="Arial"/>
          <w:sz w:val="22"/>
          <w:szCs w:val="22"/>
        </w:rPr>
        <w:t xml:space="preserve"> </w:t>
      </w:r>
      <w:r w:rsidRPr="0026633E">
        <w:rPr>
          <w:rFonts w:ascii="Arial" w:hAnsi="Arial" w:cs="Arial"/>
          <w:sz w:val="22"/>
          <w:szCs w:val="22"/>
        </w:rPr>
        <w:lastRenderedPageBreak/>
        <w:t xml:space="preserve">need to eliminate the </w:t>
      </w:r>
      <w:r w:rsidR="00C53E30" w:rsidRPr="0026633E">
        <w:rPr>
          <w:rFonts w:ascii="Arial" w:hAnsi="Arial" w:cs="Arial"/>
          <w:sz w:val="22"/>
          <w:szCs w:val="22"/>
        </w:rPr>
        <w:t>post-transplant</w:t>
      </w:r>
      <w:r w:rsidRPr="0026633E">
        <w:rPr>
          <w:rFonts w:ascii="Arial" w:hAnsi="Arial" w:cs="Arial"/>
          <w:sz w:val="22"/>
          <w:szCs w:val="22"/>
        </w:rPr>
        <w:t xml:space="preserve"> cyclophosphamide infusion to decrease the risk of toxicity and therefore transplant related morbidity and mortality. By depleting the </w:t>
      </w:r>
      <w:r w:rsidR="00C53E30" w:rsidRPr="0026633E">
        <w:rPr>
          <w:rFonts w:ascii="Arial" w:hAnsi="Arial" w:cs="Arial"/>
          <w:sz w:val="22"/>
          <w:szCs w:val="22"/>
        </w:rPr>
        <w:t xml:space="preserve">αβ+ T Cell/CD19+ B cell with </w:t>
      </w:r>
      <w:r w:rsidRPr="0026633E">
        <w:rPr>
          <w:rFonts w:ascii="Arial" w:hAnsi="Arial" w:cs="Arial"/>
          <w:sz w:val="22"/>
          <w:szCs w:val="22"/>
        </w:rPr>
        <w:t>ex vivo</w:t>
      </w:r>
      <w:r w:rsidR="00C53E30" w:rsidRPr="0026633E">
        <w:rPr>
          <w:rFonts w:ascii="Arial" w:hAnsi="Arial" w:cs="Arial"/>
          <w:sz w:val="22"/>
          <w:szCs w:val="22"/>
        </w:rPr>
        <w:t xml:space="preserve"> depletion</w:t>
      </w:r>
      <w:r w:rsidRPr="0026633E">
        <w:rPr>
          <w:rFonts w:ascii="Arial" w:hAnsi="Arial" w:cs="Arial"/>
          <w:sz w:val="22"/>
          <w:szCs w:val="22"/>
        </w:rPr>
        <w:t xml:space="preserve"> we can remove the cells responsible for graft versus host disease</w:t>
      </w:r>
      <w:r w:rsidR="00C53E30" w:rsidRPr="0026633E">
        <w:rPr>
          <w:rFonts w:ascii="Arial" w:hAnsi="Arial" w:cs="Arial"/>
          <w:sz w:val="22"/>
          <w:szCs w:val="22"/>
        </w:rPr>
        <w:t xml:space="preserve"> (GvHD). Additionally, this method of graft manipulation will also allow for faster engraftment with higher number of CD34+ cells. This most likely will result in decreased periods of neutropenia and transfusion independence</w:t>
      </w:r>
      <w:r w:rsidR="00662C69" w:rsidRPr="0026633E">
        <w:rPr>
          <w:rFonts w:ascii="Arial" w:hAnsi="Arial" w:cs="Arial"/>
          <w:sz w:val="22"/>
          <w:szCs w:val="22"/>
        </w:rPr>
        <w:t xml:space="preserve"> for this patient. </w:t>
      </w:r>
    </w:p>
    <w:p w14:paraId="38CB5B0F" w14:textId="74B5160D" w:rsidR="00913A2D" w:rsidRPr="0026633E" w:rsidRDefault="00913A2D" w:rsidP="0026633E">
      <w:pPr>
        <w:spacing w:line="276" w:lineRule="auto"/>
        <w:ind w:left="1095"/>
        <w:rPr>
          <w:rFonts w:ascii="Arial" w:hAnsi="Arial" w:cs="Arial"/>
          <w:sz w:val="22"/>
          <w:szCs w:val="22"/>
          <w:u w:val="single"/>
        </w:rPr>
      </w:pPr>
      <w:r w:rsidRPr="0026633E">
        <w:rPr>
          <w:rFonts w:ascii="Arial" w:hAnsi="Arial" w:cs="Arial"/>
          <w:sz w:val="22"/>
          <w:szCs w:val="22"/>
          <w:u w:val="single"/>
        </w:rPr>
        <w:t xml:space="preserve">I am requesting compassionate use of </w:t>
      </w:r>
      <w:r w:rsidR="00662C69" w:rsidRPr="0026633E">
        <w:rPr>
          <w:rFonts w:ascii="Arial" w:hAnsi="Arial" w:cs="Arial"/>
          <w:sz w:val="22"/>
          <w:szCs w:val="22"/>
          <w:u w:val="single"/>
        </w:rPr>
        <w:t xml:space="preserve">αβ+ T Cell/CD19+ B cell </w:t>
      </w:r>
      <w:r w:rsidRPr="0026633E">
        <w:rPr>
          <w:rFonts w:ascii="Arial" w:hAnsi="Arial" w:cs="Arial"/>
          <w:sz w:val="22"/>
          <w:szCs w:val="22"/>
          <w:u w:val="single"/>
        </w:rPr>
        <w:t>depletion to provide this patient with the best</w:t>
      </w:r>
      <w:r w:rsidR="00662C69" w:rsidRPr="0026633E">
        <w:rPr>
          <w:rFonts w:ascii="Arial" w:hAnsi="Arial" w:cs="Arial"/>
          <w:sz w:val="22"/>
          <w:szCs w:val="22"/>
          <w:u w:val="single"/>
        </w:rPr>
        <w:t xml:space="preserve"> chance at cure for her refractory severe aplastic </w:t>
      </w:r>
      <w:r w:rsidR="00FD2831" w:rsidRPr="0026633E">
        <w:rPr>
          <w:rFonts w:ascii="Arial" w:hAnsi="Arial" w:cs="Arial"/>
          <w:sz w:val="22"/>
          <w:szCs w:val="22"/>
          <w:u w:val="single"/>
        </w:rPr>
        <w:t>anemia while</w:t>
      </w:r>
      <w:r w:rsidRPr="0026633E">
        <w:rPr>
          <w:rFonts w:ascii="Arial" w:hAnsi="Arial" w:cs="Arial"/>
          <w:sz w:val="22"/>
          <w:szCs w:val="22"/>
          <w:u w:val="single"/>
        </w:rPr>
        <w:t xml:space="preserve"> decreasing the toxicity by not using high doses of cyclophosphamide</w:t>
      </w:r>
      <w:r w:rsidR="00662C69" w:rsidRPr="0026633E">
        <w:rPr>
          <w:rFonts w:ascii="Arial" w:hAnsi="Arial" w:cs="Arial"/>
          <w:sz w:val="22"/>
          <w:szCs w:val="22"/>
          <w:u w:val="single"/>
        </w:rPr>
        <w:t xml:space="preserve"> or other immunosuppressants.</w:t>
      </w:r>
    </w:p>
    <w:p w14:paraId="514FC760" w14:textId="6AB3C117" w:rsidR="00F3142A" w:rsidRPr="0026633E" w:rsidRDefault="00913A2D" w:rsidP="0026633E">
      <w:pPr>
        <w:pStyle w:val="ListParagraph"/>
        <w:spacing w:line="276" w:lineRule="auto"/>
        <w:ind w:left="1095"/>
        <w:rPr>
          <w:rFonts w:ascii="Arial" w:hAnsi="Arial" w:cs="Arial"/>
          <w:sz w:val="22"/>
          <w:szCs w:val="22"/>
        </w:rPr>
      </w:pPr>
      <w:r w:rsidRPr="0026633E">
        <w:rPr>
          <w:rFonts w:ascii="Arial" w:hAnsi="Arial" w:cs="Arial"/>
          <w:sz w:val="22"/>
          <w:szCs w:val="22"/>
        </w:rPr>
        <w:t xml:space="preserve">The </w:t>
      </w:r>
      <w:r w:rsidR="00662C69" w:rsidRPr="0026633E">
        <w:rPr>
          <w:rFonts w:ascii="Arial" w:hAnsi="Arial" w:cs="Arial"/>
          <w:sz w:val="22"/>
          <w:szCs w:val="22"/>
        </w:rPr>
        <w:t xml:space="preserve">αβ+ T Cell/CD19+ B cell </w:t>
      </w:r>
      <w:r w:rsidRPr="0026633E">
        <w:rPr>
          <w:rFonts w:ascii="Arial" w:hAnsi="Arial" w:cs="Arial"/>
          <w:sz w:val="22"/>
          <w:szCs w:val="22"/>
        </w:rPr>
        <w:t>depletion is currently available on a clinical trial offered at our institution for a different underlying disease (NCT03619551).</w:t>
      </w:r>
      <w:r w:rsidR="00662C69" w:rsidRPr="0026633E">
        <w:rPr>
          <w:rFonts w:ascii="Arial" w:hAnsi="Arial" w:cs="Arial"/>
          <w:sz w:val="22"/>
          <w:szCs w:val="22"/>
        </w:rPr>
        <w:t xml:space="preserve"> We have also performed one additional treatment under an IND which has been very successful.</w:t>
      </w:r>
      <w:r w:rsidRPr="0026633E">
        <w:rPr>
          <w:rFonts w:ascii="Arial" w:hAnsi="Arial" w:cs="Arial"/>
          <w:sz w:val="22"/>
          <w:szCs w:val="22"/>
        </w:rPr>
        <w:t xml:space="preserve"> </w:t>
      </w:r>
      <w:r w:rsidR="00F3142A" w:rsidRPr="0026633E">
        <w:rPr>
          <w:rFonts w:ascii="Arial" w:hAnsi="Arial" w:cs="Arial"/>
          <w:sz w:val="22"/>
          <w:szCs w:val="22"/>
        </w:rPr>
        <w:t>This protocol is a derivation of this clinical trial that has been approve</w:t>
      </w:r>
      <w:r w:rsidR="00613FE0" w:rsidRPr="0026633E">
        <w:rPr>
          <w:rFonts w:ascii="Arial" w:hAnsi="Arial" w:cs="Arial"/>
          <w:sz w:val="22"/>
          <w:szCs w:val="22"/>
        </w:rPr>
        <w:t>d</w:t>
      </w:r>
      <w:r w:rsidR="00F3142A" w:rsidRPr="0026633E">
        <w:rPr>
          <w:rFonts w:ascii="Arial" w:hAnsi="Arial" w:cs="Arial"/>
          <w:sz w:val="22"/>
          <w:szCs w:val="22"/>
        </w:rPr>
        <w:t xml:space="preserve"> for other indications and used for this indication at other institutions. The </w:t>
      </w:r>
      <w:r w:rsidR="00662C69" w:rsidRPr="0026633E">
        <w:rPr>
          <w:rFonts w:ascii="Arial" w:hAnsi="Arial" w:cs="Arial"/>
          <w:sz w:val="22"/>
          <w:szCs w:val="22"/>
        </w:rPr>
        <w:t xml:space="preserve">αβ+ T Cell/CD19+ B cell </w:t>
      </w:r>
      <w:r w:rsidR="00F3142A" w:rsidRPr="0026633E">
        <w:rPr>
          <w:rFonts w:ascii="Arial" w:hAnsi="Arial" w:cs="Arial"/>
          <w:sz w:val="22"/>
          <w:szCs w:val="22"/>
        </w:rPr>
        <w:t>depletion will be completed based on the clinical trial offered at our institution, however the stem cell transplant preparative regimen will be different</w:t>
      </w:r>
      <w:r w:rsidR="00286085" w:rsidRPr="0026633E">
        <w:rPr>
          <w:rFonts w:ascii="Arial" w:hAnsi="Arial" w:cs="Arial"/>
          <w:sz w:val="22"/>
          <w:szCs w:val="22"/>
        </w:rPr>
        <w:t xml:space="preserve"> from the protocol</w:t>
      </w:r>
      <w:r w:rsidR="00F3142A" w:rsidRPr="0026633E">
        <w:rPr>
          <w:rFonts w:ascii="Arial" w:hAnsi="Arial" w:cs="Arial"/>
          <w:sz w:val="22"/>
          <w:szCs w:val="22"/>
        </w:rPr>
        <w:t xml:space="preserve"> to target her underlying </w:t>
      </w:r>
      <w:r w:rsidR="00662C69" w:rsidRPr="0026633E">
        <w:rPr>
          <w:rFonts w:ascii="Arial" w:hAnsi="Arial" w:cs="Arial"/>
          <w:sz w:val="22"/>
          <w:szCs w:val="22"/>
        </w:rPr>
        <w:t>severe aplastic anemia</w:t>
      </w:r>
      <w:r w:rsidR="00F3142A" w:rsidRPr="0026633E">
        <w:rPr>
          <w:rFonts w:ascii="Arial" w:hAnsi="Arial" w:cs="Arial"/>
          <w:sz w:val="22"/>
          <w:szCs w:val="22"/>
        </w:rPr>
        <w:t xml:space="preserve">. </w:t>
      </w:r>
    </w:p>
    <w:p w14:paraId="370A3791" w14:textId="77777777" w:rsidR="00F3142A" w:rsidRPr="0026633E" w:rsidRDefault="00F3142A" w:rsidP="0026633E">
      <w:pPr>
        <w:pStyle w:val="ListParagraph"/>
        <w:spacing w:line="276" w:lineRule="auto"/>
        <w:ind w:left="1095"/>
        <w:rPr>
          <w:rFonts w:ascii="Arial" w:hAnsi="Arial" w:cs="Arial"/>
          <w:sz w:val="22"/>
          <w:szCs w:val="22"/>
        </w:rPr>
      </w:pPr>
    </w:p>
    <w:p w14:paraId="3D39F158" w14:textId="7C128542" w:rsidR="00330F52" w:rsidRPr="0026633E" w:rsidRDefault="00F3142A" w:rsidP="0026633E">
      <w:pPr>
        <w:pStyle w:val="ListParagraph"/>
        <w:spacing w:line="276" w:lineRule="auto"/>
        <w:ind w:left="1095"/>
        <w:rPr>
          <w:rFonts w:ascii="Arial" w:hAnsi="Arial" w:cs="Arial"/>
          <w:sz w:val="22"/>
          <w:szCs w:val="22"/>
        </w:rPr>
      </w:pPr>
      <w:r w:rsidRPr="0026633E">
        <w:rPr>
          <w:rFonts w:ascii="Arial" w:hAnsi="Arial" w:cs="Arial"/>
          <w:sz w:val="22"/>
          <w:szCs w:val="22"/>
        </w:rPr>
        <w:t xml:space="preserve">The donor for this patient is her </w:t>
      </w:r>
      <w:r w:rsidR="00662C69" w:rsidRPr="0026633E">
        <w:rPr>
          <w:rFonts w:ascii="Arial" w:hAnsi="Arial" w:cs="Arial"/>
          <w:sz w:val="22"/>
          <w:szCs w:val="22"/>
        </w:rPr>
        <w:t>older sister</w:t>
      </w:r>
      <w:r w:rsidRPr="0026633E">
        <w:rPr>
          <w:rFonts w:ascii="Arial" w:hAnsi="Arial" w:cs="Arial"/>
          <w:sz w:val="22"/>
          <w:szCs w:val="22"/>
        </w:rPr>
        <w:t>. She is determined to be the best donor option available for this patient. She will undergo history, physical exam and blood work to determine suitability. The timeline for donor clearance and then collection will be mid</w:t>
      </w:r>
      <w:r w:rsidR="00613FE0" w:rsidRPr="0026633E">
        <w:rPr>
          <w:rFonts w:ascii="Arial" w:hAnsi="Arial" w:cs="Arial"/>
          <w:sz w:val="22"/>
          <w:szCs w:val="22"/>
        </w:rPr>
        <w:t>-</w:t>
      </w:r>
      <w:r w:rsidR="00662C69" w:rsidRPr="0026633E">
        <w:rPr>
          <w:rFonts w:ascii="Arial" w:hAnsi="Arial" w:cs="Arial"/>
          <w:sz w:val="22"/>
          <w:szCs w:val="22"/>
        </w:rPr>
        <w:t>April</w:t>
      </w:r>
      <w:r w:rsidRPr="0026633E">
        <w:rPr>
          <w:rFonts w:ascii="Arial" w:hAnsi="Arial" w:cs="Arial"/>
          <w:sz w:val="22"/>
          <w:szCs w:val="22"/>
        </w:rPr>
        <w:t xml:space="preserve">. The </w:t>
      </w:r>
      <w:r w:rsidR="00E50E2D" w:rsidRPr="0026633E">
        <w:rPr>
          <w:rFonts w:ascii="Arial" w:hAnsi="Arial" w:cs="Arial"/>
          <w:sz w:val="22"/>
          <w:szCs w:val="22"/>
        </w:rPr>
        <w:t>sister</w:t>
      </w:r>
      <w:r w:rsidRPr="0026633E">
        <w:rPr>
          <w:rFonts w:ascii="Arial" w:hAnsi="Arial" w:cs="Arial"/>
          <w:sz w:val="22"/>
          <w:szCs w:val="22"/>
        </w:rPr>
        <w:t>’s stem cells will be peripherally collected</w:t>
      </w:r>
      <w:r w:rsidR="00286085" w:rsidRPr="0026633E">
        <w:rPr>
          <w:rFonts w:ascii="Arial" w:hAnsi="Arial" w:cs="Arial"/>
          <w:sz w:val="22"/>
          <w:szCs w:val="22"/>
        </w:rPr>
        <w:t xml:space="preserve"> and will be </w:t>
      </w:r>
      <w:r w:rsidR="00662C69" w:rsidRPr="0026633E">
        <w:rPr>
          <w:rFonts w:ascii="Arial" w:hAnsi="Arial" w:cs="Arial"/>
          <w:sz w:val="22"/>
          <w:szCs w:val="22"/>
        </w:rPr>
        <w:t xml:space="preserve">αβ+ T Cell/CD19+ B cell </w:t>
      </w:r>
      <w:r w:rsidR="00286085" w:rsidRPr="0026633E">
        <w:rPr>
          <w:rFonts w:ascii="Arial" w:hAnsi="Arial" w:cs="Arial"/>
          <w:sz w:val="22"/>
          <w:szCs w:val="22"/>
        </w:rPr>
        <w:t>depleted using the technique described below.</w:t>
      </w:r>
      <w:r w:rsidRPr="0026633E">
        <w:rPr>
          <w:rFonts w:ascii="Arial" w:hAnsi="Arial" w:cs="Arial"/>
          <w:sz w:val="22"/>
          <w:szCs w:val="22"/>
        </w:rPr>
        <w:t xml:space="preserve">  After they have been </w:t>
      </w:r>
      <w:r w:rsidR="00E50E2D" w:rsidRPr="0026633E">
        <w:rPr>
          <w:rFonts w:ascii="Arial" w:hAnsi="Arial" w:cs="Arial"/>
          <w:sz w:val="22"/>
          <w:szCs w:val="22"/>
        </w:rPr>
        <w:t xml:space="preserve">αβ+ T Cell/CD19+ B cell </w:t>
      </w:r>
      <w:r w:rsidRPr="0026633E">
        <w:rPr>
          <w:rFonts w:ascii="Arial" w:hAnsi="Arial" w:cs="Arial"/>
          <w:sz w:val="22"/>
          <w:szCs w:val="22"/>
        </w:rPr>
        <w:t>depleted, they</w:t>
      </w:r>
      <w:r w:rsidR="00E50E2D" w:rsidRPr="0026633E">
        <w:rPr>
          <w:rFonts w:ascii="Arial" w:hAnsi="Arial" w:cs="Arial"/>
          <w:sz w:val="22"/>
          <w:szCs w:val="22"/>
        </w:rPr>
        <w:t xml:space="preserve"> may</w:t>
      </w:r>
      <w:r w:rsidRPr="0026633E">
        <w:rPr>
          <w:rFonts w:ascii="Arial" w:hAnsi="Arial" w:cs="Arial"/>
          <w:sz w:val="22"/>
          <w:szCs w:val="22"/>
        </w:rPr>
        <w:t xml:space="preserve"> be frozen until the cell infusion day</w:t>
      </w:r>
      <w:r w:rsidR="00286085" w:rsidRPr="0026633E">
        <w:rPr>
          <w:rFonts w:ascii="Arial" w:hAnsi="Arial" w:cs="Arial"/>
          <w:sz w:val="22"/>
          <w:szCs w:val="22"/>
        </w:rPr>
        <w:t>.</w:t>
      </w:r>
      <w:r w:rsidRPr="0026633E">
        <w:rPr>
          <w:rFonts w:ascii="Arial" w:hAnsi="Arial" w:cs="Arial"/>
          <w:sz w:val="22"/>
          <w:szCs w:val="22"/>
        </w:rPr>
        <w:t xml:space="preserve"> </w:t>
      </w:r>
      <w:r w:rsidR="00EE1905" w:rsidRPr="0026633E">
        <w:rPr>
          <w:rFonts w:ascii="Arial" w:hAnsi="Arial" w:cs="Arial"/>
          <w:sz w:val="22"/>
          <w:szCs w:val="22"/>
        </w:rPr>
        <w:t xml:space="preserve">Due to the tenuous clinical status of the patient’s </w:t>
      </w:r>
      <w:r w:rsidR="00E50E2D" w:rsidRPr="0026633E">
        <w:rPr>
          <w:rFonts w:ascii="Arial" w:hAnsi="Arial" w:cs="Arial"/>
          <w:sz w:val="22"/>
          <w:szCs w:val="22"/>
        </w:rPr>
        <w:t>severe aplastic anemia</w:t>
      </w:r>
      <w:r w:rsidR="00EE1905" w:rsidRPr="0026633E">
        <w:rPr>
          <w:rFonts w:ascii="Arial" w:hAnsi="Arial" w:cs="Arial"/>
          <w:sz w:val="22"/>
          <w:szCs w:val="22"/>
        </w:rPr>
        <w:t xml:space="preserve"> we need to proceed with stem cell transplant urgently. </w:t>
      </w:r>
    </w:p>
    <w:p w14:paraId="6AA3AF3A" w14:textId="77777777" w:rsidR="00EE1905" w:rsidRPr="0026633E" w:rsidRDefault="00EE1905" w:rsidP="0026633E">
      <w:pPr>
        <w:pStyle w:val="ListParagraph"/>
        <w:spacing w:line="276" w:lineRule="auto"/>
        <w:ind w:left="1095"/>
        <w:rPr>
          <w:rFonts w:ascii="Arial" w:hAnsi="Arial" w:cs="Arial"/>
          <w:sz w:val="22"/>
          <w:szCs w:val="22"/>
        </w:rPr>
      </w:pPr>
    </w:p>
    <w:p w14:paraId="5EA817C7" w14:textId="77777777" w:rsidR="00330F52" w:rsidRPr="0026633E" w:rsidRDefault="00330F52" w:rsidP="0026633E">
      <w:pPr>
        <w:pStyle w:val="ListParagraph"/>
        <w:numPr>
          <w:ilvl w:val="1"/>
          <w:numId w:val="1"/>
        </w:numPr>
        <w:spacing w:line="276" w:lineRule="auto"/>
        <w:rPr>
          <w:rFonts w:ascii="Arial" w:hAnsi="Arial" w:cs="Arial"/>
          <w:b/>
          <w:bCs/>
          <w:sz w:val="22"/>
          <w:szCs w:val="22"/>
        </w:rPr>
      </w:pPr>
      <w:r w:rsidRPr="0026633E">
        <w:rPr>
          <w:rFonts w:ascii="Arial" w:hAnsi="Arial" w:cs="Arial"/>
          <w:b/>
          <w:bCs/>
          <w:sz w:val="22"/>
          <w:szCs w:val="22"/>
        </w:rPr>
        <w:t>Patient Treatment Plan</w:t>
      </w:r>
    </w:p>
    <w:p w14:paraId="18010A0E" w14:textId="5135E903" w:rsidR="00E50E2D" w:rsidRPr="0026633E" w:rsidRDefault="00E50E2D" w:rsidP="0026633E">
      <w:pPr>
        <w:pStyle w:val="ListParagraph"/>
        <w:spacing w:line="276" w:lineRule="auto"/>
        <w:ind w:left="1095"/>
        <w:rPr>
          <w:rFonts w:ascii="Arial" w:hAnsi="Arial" w:cs="Arial"/>
          <w:sz w:val="22"/>
          <w:szCs w:val="22"/>
        </w:rPr>
      </w:pPr>
      <w:r w:rsidRPr="0026633E">
        <w:rPr>
          <w:rFonts w:ascii="Arial" w:hAnsi="Arial" w:cs="Arial"/>
          <w:sz w:val="22"/>
          <w:szCs w:val="22"/>
        </w:rPr>
        <w:t>The conditioning regimen uses FDA approved agents and is most proper for the patient’s underlying disease and would be considered standard of care (SOC)</w:t>
      </w:r>
      <w:r w:rsidR="00FD2831" w:rsidRPr="0026633E">
        <w:rPr>
          <w:rFonts w:ascii="Arial" w:hAnsi="Arial" w:cs="Arial"/>
          <w:sz w:val="22"/>
          <w:szCs w:val="22"/>
        </w:rPr>
        <w:t>.</w:t>
      </w:r>
    </w:p>
    <w:p w14:paraId="64E3B2B4" w14:textId="77777777" w:rsidR="00E50E2D" w:rsidRPr="0026633E" w:rsidRDefault="00E50E2D" w:rsidP="0026633E">
      <w:pPr>
        <w:pStyle w:val="ListParagraph"/>
        <w:spacing w:line="276" w:lineRule="auto"/>
        <w:ind w:left="1095"/>
        <w:rPr>
          <w:rFonts w:ascii="Arial" w:hAnsi="Arial" w:cs="Arial"/>
          <w:b/>
          <w:bCs/>
          <w:sz w:val="22"/>
          <w:szCs w:val="22"/>
        </w:rPr>
      </w:pPr>
    </w:p>
    <w:p w14:paraId="761354C6" w14:textId="133CEEF7" w:rsidR="00330F52" w:rsidRPr="0026633E" w:rsidRDefault="00330F52" w:rsidP="0026633E">
      <w:pPr>
        <w:pStyle w:val="ListParagraph"/>
        <w:spacing w:line="276" w:lineRule="auto"/>
        <w:ind w:left="1095"/>
        <w:rPr>
          <w:rFonts w:ascii="Arial" w:hAnsi="Arial" w:cs="Arial"/>
          <w:sz w:val="22"/>
          <w:szCs w:val="22"/>
        </w:rPr>
      </w:pPr>
      <w:r w:rsidRPr="0026633E">
        <w:rPr>
          <w:rFonts w:ascii="Arial" w:hAnsi="Arial" w:cs="Arial"/>
          <w:sz w:val="22"/>
          <w:szCs w:val="22"/>
        </w:rPr>
        <w:t>Day -</w:t>
      </w:r>
      <w:r w:rsidR="00E50E2D" w:rsidRPr="0026633E">
        <w:rPr>
          <w:rFonts w:ascii="Arial" w:hAnsi="Arial" w:cs="Arial"/>
          <w:sz w:val="22"/>
          <w:szCs w:val="22"/>
        </w:rPr>
        <w:t>9</w:t>
      </w:r>
      <w:r w:rsidRPr="0026633E">
        <w:rPr>
          <w:rFonts w:ascii="Arial" w:hAnsi="Arial" w:cs="Arial"/>
          <w:sz w:val="22"/>
          <w:szCs w:val="22"/>
        </w:rPr>
        <w:t xml:space="preserve"> to Day -</w:t>
      </w:r>
      <w:r w:rsidR="00E50E2D" w:rsidRPr="0026633E">
        <w:rPr>
          <w:rFonts w:ascii="Arial" w:hAnsi="Arial" w:cs="Arial"/>
          <w:sz w:val="22"/>
          <w:szCs w:val="22"/>
        </w:rPr>
        <w:t>7</w:t>
      </w:r>
      <w:r w:rsidRPr="0026633E">
        <w:rPr>
          <w:rFonts w:ascii="Arial" w:hAnsi="Arial" w:cs="Arial"/>
          <w:sz w:val="22"/>
          <w:szCs w:val="22"/>
        </w:rPr>
        <w:t>: rabbit anti-thymocyte globulin</w:t>
      </w:r>
    </w:p>
    <w:p w14:paraId="597E75B9" w14:textId="02BF63C5" w:rsidR="00330F52" w:rsidRPr="0026633E" w:rsidRDefault="00330F52" w:rsidP="0026633E">
      <w:pPr>
        <w:pStyle w:val="ListParagraph"/>
        <w:spacing w:line="276" w:lineRule="auto"/>
        <w:ind w:left="1095"/>
        <w:rPr>
          <w:rFonts w:ascii="Arial" w:hAnsi="Arial" w:cs="Arial"/>
          <w:sz w:val="22"/>
          <w:szCs w:val="22"/>
        </w:rPr>
      </w:pPr>
      <w:r w:rsidRPr="0026633E">
        <w:rPr>
          <w:rFonts w:ascii="Arial" w:hAnsi="Arial" w:cs="Arial"/>
          <w:sz w:val="22"/>
          <w:szCs w:val="22"/>
        </w:rPr>
        <w:t>Day -</w:t>
      </w:r>
      <w:r w:rsidR="00E50E2D" w:rsidRPr="0026633E">
        <w:rPr>
          <w:rFonts w:ascii="Arial" w:hAnsi="Arial" w:cs="Arial"/>
          <w:sz w:val="22"/>
          <w:szCs w:val="22"/>
        </w:rPr>
        <w:t>6: Total body irradiation (TBI)</w:t>
      </w:r>
    </w:p>
    <w:p w14:paraId="6116678C" w14:textId="70992174" w:rsidR="00330F52" w:rsidRPr="0026633E" w:rsidRDefault="00330F52" w:rsidP="0026633E">
      <w:pPr>
        <w:pStyle w:val="ListParagraph"/>
        <w:spacing w:line="276" w:lineRule="auto"/>
        <w:ind w:left="1095"/>
        <w:rPr>
          <w:rFonts w:ascii="Arial" w:hAnsi="Arial" w:cs="Arial"/>
          <w:sz w:val="22"/>
          <w:szCs w:val="22"/>
        </w:rPr>
      </w:pPr>
      <w:r w:rsidRPr="0026633E">
        <w:rPr>
          <w:rFonts w:ascii="Arial" w:hAnsi="Arial" w:cs="Arial"/>
          <w:sz w:val="22"/>
          <w:szCs w:val="22"/>
        </w:rPr>
        <w:t>Day -</w:t>
      </w:r>
      <w:r w:rsidR="00E50E2D" w:rsidRPr="0026633E">
        <w:rPr>
          <w:rFonts w:ascii="Arial" w:hAnsi="Arial" w:cs="Arial"/>
          <w:sz w:val="22"/>
          <w:szCs w:val="22"/>
        </w:rPr>
        <w:t xml:space="preserve">6 </w:t>
      </w:r>
      <w:r w:rsidRPr="0026633E">
        <w:rPr>
          <w:rFonts w:ascii="Arial" w:hAnsi="Arial" w:cs="Arial"/>
          <w:sz w:val="22"/>
          <w:szCs w:val="22"/>
        </w:rPr>
        <w:t>to Day -2</w:t>
      </w:r>
      <w:r w:rsidR="00E50E2D" w:rsidRPr="0026633E">
        <w:rPr>
          <w:rFonts w:ascii="Arial" w:hAnsi="Arial" w:cs="Arial"/>
          <w:sz w:val="22"/>
          <w:szCs w:val="22"/>
        </w:rPr>
        <w:t>:</w:t>
      </w:r>
      <w:r w:rsidRPr="0026633E">
        <w:rPr>
          <w:rFonts w:ascii="Arial" w:hAnsi="Arial" w:cs="Arial"/>
          <w:sz w:val="22"/>
          <w:szCs w:val="22"/>
        </w:rPr>
        <w:t xml:space="preserve"> Fludarabine </w:t>
      </w:r>
    </w:p>
    <w:p w14:paraId="07553205" w14:textId="14713AD6" w:rsidR="00330F52" w:rsidRPr="0026633E" w:rsidRDefault="00330F52" w:rsidP="0026633E">
      <w:pPr>
        <w:pStyle w:val="ListParagraph"/>
        <w:spacing w:line="276" w:lineRule="auto"/>
        <w:ind w:left="1095"/>
        <w:rPr>
          <w:rFonts w:ascii="Arial" w:hAnsi="Arial" w:cs="Arial"/>
          <w:sz w:val="22"/>
          <w:szCs w:val="22"/>
        </w:rPr>
      </w:pPr>
      <w:r w:rsidRPr="0026633E">
        <w:rPr>
          <w:rFonts w:ascii="Arial" w:hAnsi="Arial" w:cs="Arial"/>
          <w:sz w:val="22"/>
          <w:szCs w:val="22"/>
        </w:rPr>
        <w:t>Day -</w:t>
      </w:r>
      <w:r w:rsidR="00170946" w:rsidRPr="0026633E">
        <w:rPr>
          <w:rFonts w:ascii="Arial" w:hAnsi="Arial" w:cs="Arial"/>
          <w:sz w:val="22"/>
          <w:szCs w:val="22"/>
        </w:rPr>
        <w:t>5 to Day -4: Cyclophosphamide</w:t>
      </w:r>
      <w:r w:rsidRPr="0026633E">
        <w:rPr>
          <w:rFonts w:ascii="Arial" w:hAnsi="Arial" w:cs="Arial"/>
          <w:sz w:val="22"/>
          <w:szCs w:val="22"/>
        </w:rPr>
        <w:t xml:space="preserve"> </w:t>
      </w:r>
    </w:p>
    <w:p w14:paraId="108BB3B0" w14:textId="5AECAB04" w:rsidR="00330F52" w:rsidRPr="0026633E" w:rsidRDefault="00330F52" w:rsidP="0026633E">
      <w:pPr>
        <w:pStyle w:val="ListParagraph"/>
        <w:spacing w:line="276" w:lineRule="auto"/>
        <w:ind w:left="1095"/>
        <w:rPr>
          <w:rFonts w:ascii="Arial" w:hAnsi="Arial" w:cs="Arial"/>
          <w:sz w:val="22"/>
          <w:szCs w:val="22"/>
        </w:rPr>
      </w:pPr>
      <w:r w:rsidRPr="0026633E">
        <w:rPr>
          <w:rFonts w:ascii="Arial" w:hAnsi="Arial" w:cs="Arial"/>
          <w:sz w:val="22"/>
          <w:szCs w:val="22"/>
        </w:rPr>
        <w:t xml:space="preserve">Day -3 to Day -2 </w:t>
      </w:r>
      <w:r w:rsidR="00170946" w:rsidRPr="0026633E">
        <w:rPr>
          <w:rFonts w:ascii="Arial" w:hAnsi="Arial" w:cs="Arial"/>
          <w:sz w:val="22"/>
          <w:szCs w:val="22"/>
        </w:rPr>
        <w:t xml:space="preserve">Thiotepa </w:t>
      </w:r>
    </w:p>
    <w:p w14:paraId="619F5E0F" w14:textId="4469978A" w:rsidR="00330F52" w:rsidRPr="0026633E" w:rsidRDefault="00330F52" w:rsidP="0026633E">
      <w:pPr>
        <w:pStyle w:val="ListParagraph"/>
        <w:spacing w:line="276" w:lineRule="auto"/>
        <w:ind w:left="1095"/>
        <w:rPr>
          <w:rFonts w:ascii="Arial" w:hAnsi="Arial" w:cs="Arial"/>
          <w:sz w:val="22"/>
          <w:szCs w:val="22"/>
        </w:rPr>
      </w:pPr>
      <w:r w:rsidRPr="0026633E">
        <w:rPr>
          <w:rFonts w:ascii="Arial" w:hAnsi="Arial" w:cs="Arial"/>
          <w:sz w:val="22"/>
          <w:szCs w:val="22"/>
        </w:rPr>
        <w:t>Day -1</w:t>
      </w:r>
      <w:r w:rsidR="00170946" w:rsidRPr="0026633E">
        <w:rPr>
          <w:rFonts w:ascii="Arial" w:hAnsi="Arial" w:cs="Arial"/>
          <w:sz w:val="22"/>
          <w:szCs w:val="22"/>
        </w:rPr>
        <w:t>:</w:t>
      </w:r>
      <w:r w:rsidRPr="0026633E">
        <w:rPr>
          <w:rFonts w:ascii="Arial" w:hAnsi="Arial" w:cs="Arial"/>
          <w:sz w:val="22"/>
          <w:szCs w:val="22"/>
        </w:rPr>
        <w:t xml:space="preserve"> Rest</w:t>
      </w:r>
    </w:p>
    <w:p w14:paraId="45961193" w14:textId="3B3BCEC2" w:rsidR="00330F52" w:rsidRPr="0026633E" w:rsidRDefault="00330F52" w:rsidP="0026633E">
      <w:pPr>
        <w:pStyle w:val="ListParagraph"/>
        <w:spacing w:line="276" w:lineRule="auto"/>
        <w:ind w:left="1095"/>
        <w:rPr>
          <w:rFonts w:ascii="Arial" w:hAnsi="Arial" w:cs="Arial"/>
          <w:sz w:val="22"/>
          <w:szCs w:val="22"/>
        </w:rPr>
      </w:pPr>
      <w:r w:rsidRPr="0026633E">
        <w:rPr>
          <w:rFonts w:ascii="Arial" w:hAnsi="Arial" w:cs="Arial"/>
          <w:sz w:val="22"/>
          <w:szCs w:val="22"/>
        </w:rPr>
        <w:t xml:space="preserve">Day 0 – infusion of </w:t>
      </w:r>
      <w:r w:rsidR="00170946" w:rsidRPr="0026633E">
        <w:rPr>
          <w:rFonts w:ascii="Arial" w:hAnsi="Arial" w:cs="Arial"/>
          <w:sz w:val="22"/>
          <w:szCs w:val="22"/>
        </w:rPr>
        <w:t xml:space="preserve">αβ+ T Cell/CD19+ B cell depleted </w:t>
      </w:r>
      <w:r w:rsidR="00286085" w:rsidRPr="0026633E">
        <w:rPr>
          <w:rFonts w:ascii="Arial" w:hAnsi="Arial" w:cs="Arial"/>
          <w:sz w:val="22"/>
          <w:szCs w:val="22"/>
        </w:rPr>
        <w:t>peripheral</w:t>
      </w:r>
      <w:r w:rsidRPr="0026633E">
        <w:rPr>
          <w:rFonts w:ascii="Arial" w:hAnsi="Arial" w:cs="Arial"/>
          <w:sz w:val="22"/>
          <w:szCs w:val="22"/>
        </w:rPr>
        <w:t xml:space="preserve"> blood stem cell infusion </w:t>
      </w:r>
    </w:p>
    <w:p w14:paraId="122130FF" w14:textId="77777777" w:rsidR="00F3142A" w:rsidRDefault="00F3142A" w:rsidP="0026633E">
      <w:pPr>
        <w:pStyle w:val="ListParagraph"/>
        <w:spacing w:line="276" w:lineRule="auto"/>
        <w:ind w:left="1095"/>
        <w:rPr>
          <w:rFonts w:ascii="Arial" w:hAnsi="Arial" w:cs="Arial"/>
          <w:sz w:val="22"/>
          <w:szCs w:val="22"/>
        </w:rPr>
      </w:pPr>
    </w:p>
    <w:p w14:paraId="1B0337B4" w14:textId="77777777" w:rsidR="00D6112B" w:rsidRDefault="00D6112B" w:rsidP="0026633E">
      <w:pPr>
        <w:pStyle w:val="ListParagraph"/>
        <w:spacing w:line="276" w:lineRule="auto"/>
        <w:ind w:left="1095"/>
        <w:rPr>
          <w:rFonts w:ascii="Arial" w:hAnsi="Arial" w:cs="Arial"/>
          <w:sz w:val="22"/>
          <w:szCs w:val="22"/>
        </w:rPr>
      </w:pPr>
    </w:p>
    <w:p w14:paraId="7A96FD70" w14:textId="77777777" w:rsidR="00D6112B" w:rsidRPr="0026633E" w:rsidRDefault="00D6112B" w:rsidP="0026633E">
      <w:pPr>
        <w:pStyle w:val="ListParagraph"/>
        <w:spacing w:line="276" w:lineRule="auto"/>
        <w:ind w:left="1095"/>
        <w:rPr>
          <w:rFonts w:ascii="Arial" w:hAnsi="Arial" w:cs="Arial"/>
          <w:sz w:val="22"/>
          <w:szCs w:val="22"/>
        </w:rPr>
      </w:pPr>
    </w:p>
    <w:p w14:paraId="7CA676A4" w14:textId="163D9B67" w:rsidR="00526FB6" w:rsidRPr="0026633E" w:rsidRDefault="00617425" w:rsidP="0026633E">
      <w:pPr>
        <w:pStyle w:val="ListParagraph"/>
        <w:numPr>
          <w:ilvl w:val="0"/>
          <w:numId w:val="1"/>
        </w:numPr>
        <w:spacing w:line="276" w:lineRule="auto"/>
        <w:rPr>
          <w:rFonts w:ascii="Arial" w:hAnsi="Arial" w:cs="Arial"/>
          <w:b/>
          <w:bCs/>
          <w:sz w:val="22"/>
          <w:szCs w:val="22"/>
        </w:rPr>
      </w:pPr>
      <w:r w:rsidRPr="0026633E">
        <w:rPr>
          <w:rFonts w:ascii="Arial" w:hAnsi="Arial" w:cs="Arial"/>
          <w:b/>
          <w:bCs/>
          <w:sz w:val="22"/>
          <w:szCs w:val="22"/>
        </w:rPr>
        <w:t xml:space="preserve">Background and Rationale for </w:t>
      </w:r>
      <w:r w:rsidR="00FD2831" w:rsidRPr="0026633E">
        <w:rPr>
          <w:rFonts w:ascii="Arial" w:hAnsi="Arial" w:cs="Arial"/>
          <w:b/>
          <w:bCs/>
          <w:sz w:val="22"/>
          <w:szCs w:val="22"/>
        </w:rPr>
        <w:t xml:space="preserve">αβ+ T Cell/CD19+ B cell </w:t>
      </w:r>
      <w:r w:rsidRPr="0026633E">
        <w:rPr>
          <w:rFonts w:ascii="Arial" w:hAnsi="Arial" w:cs="Arial"/>
          <w:b/>
          <w:bCs/>
          <w:sz w:val="22"/>
          <w:szCs w:val="22"/>
        </w:rPr>
        <w:t>grafts</w:t>
      </w:r>
    </w:p>
    <w:p w14:paraId="7EE30CC4" w14:textId="77777777" w:rsidR="00FD2831" w:rsidRPr="0026633E" w:rsidRDefault="00FD2831" w:rsidP="0026633E">
      <w:pPr>
        <w:pStyle w:val="ListParagraph"/>
        <w:spacing w:line="276" w:lineRule="auto"/>
        <w:ind w:left="375"/>
        <w:rPr>
          <w:rFonts w:ascii="Arial" w:hAnsi="Arial" w:cs="Arial"/>
          <w:sz w:val="22"/>
          <w:szCs w:val="22"/>
        </w:rPr>
      </w:pPr>
      <w:r w:rsidRPr="0026633E">
        <w:rPr>
          <w:rFonts w:ascii="Arial" w:hAnsi="Arial" w:cs="Arial"/>
          <w:sz w:val="22"/>
          <w:szCs w:val="22"/>
        </w:rPr>
        <w:t xml:space="preserve">Allogeneic stem cell transplant is the only curative choice for many patients with malignant and non-malignant disorders. Unfortunately, only ~25% of patients who are seeking curative therapy with allogeneic transplantation will have an HLA identical sibling donor. In those instances, the use of a well-matched unrelated donor or mismatched related donor may be the only curative possibility available to these patients. However, when using an alternative donor transplant acute and chronic GvHD can lead to significant morbidities in these patients. Studies have shown that severe acute GvHD (grades III-IV) occurs in up to 50% of patients when using an alternative donor for stem cell transplant. Furthermore, data has shown that extensive chronic GvHD can occur in &gt;20% of patients when using an alternative donor transplant. </w:t>
      </w:r>
    </w:p>
    <w:p w14:paraId="46D215A6" w14:textId="77777777" w:rsidR="00FD2831" w:rsidRPr="0026633E" w:rsidRDefault="00FD2831" w:rsidP="0026633E">
      <w:pPr>
        <w:pStyle w:val="ListParagraph"/>
        <w:spacing w:line="276" w:lineRule="auto"/>
        <w:ind w:left="375"/>
        <w:rPr>
          <w:rFonts w:ascii="Arial" w:hAnsi="Arial" w:cs="Arial"/>
          <w:sz w:val="22"/>
          <w:szCs w:val="22"/>
        </w:rPr>
      </w:pPr>
    </w:p>
    <w:p w14:paraId="77A8AF01" w14:textId="77777777" w:rsidR="003B12F0" w:rsidRPr="0026633E" w:rsidRDefault="00FD2831" w:rsidP="0026633E">
      <w:pPr>
        <w:pStyle w:val="ListParagraph"/>
        <w:spacing w:line="276" w:lineRule="auto"/>
        <w:ind w:left="375"/>
        <w:rPr>
          <w:rFonts w:ascii="Arial" w:hAnsi="Arial" w:cs="Arial"/>
          <w:sz w:val="22"/>
          <w:szCs w:val="22"/>
        </w:rPr>
      </w:pPr>
      <w:r w:rsidRPr="0026633E">
        <w:rPr>
          <w:rFonts w:ascii="Arial" w:hAnsi="Arial" w:cs="Arial"/>
          <w:sz w:val="22"/>
          <w:szCs w:val="22"/>
        </w:rPr>
        <w:t>Various methods of T cell depletion are used to try an overcome the morbidity of GvHD in unrelated donor and mismatched related donor. These techniques typically involve T cell depletion through either an in-vivo or ex-vivo method.  Ex-vivo depletion includes mechanical methods such as CD34+ selection and broad or narrow specificity antibodies (1-2). Using cell sorting techniques to select CD34+ stem cells have allowed the use of mismatch donors with reliable donor engraftment and reduce GvHD (1). New methods have been developed using magnet-activated cell sorting to help keep other cells that may help facilitate engraftment (NK cells). These include CD3+ depletion or more recently αβ+ T cell depletion.</w:t>
      </w:r>
    </w:p>
    <w:p w14:paraId="701502B7" w14:textId="77777777" w:rsidR="003B12F0" w:rsidRPr="0026633E" w:rsidRDefault="003B12F0" w:rsidP="0026633E">
      <w:pPr>
        <w:pStyle w:val="ListParagraph"/>
        <w:spacing w:line="276" w:lineRule="auto"/>
        <w:ind w:left="375"/>
        <w:rPr>
          <w:rFonts w:ascii="Arial" w:hAnsi="Arial" w:cs="Arial"/>
          <w:sz w:val="22"/>
          <w:szCs w:val="22"/>
        </w:rPr>
      </w:pPr>
    </w:p>
    <w:p w14:paraId="77ACE918" w14:textId="2ADAF4DE" w:rsidR="003B12F0" w:rsidRPr="0026633E" w:rsidRDefault="003B12F0" w:rsidP="0026633E">
      <w:pPr>
        <w:pStyle w:val="ListParagraph"/>
        <w:spacing w:line="276" w:lineRule="auto"/>
        <w:ind w:left="375"/>
        <w:rPr>
          <w:rFonts w:ascii="Arial" w:hAnsi="Arial" w:cs="Arial"/>
          <w:sz w:val="22"/>
          <w:szCs w:val="22"/>
        </w:rPr>
      </w:pPr>
      <w:r w:rsidRPr="0026633E">
        <w:rPr>
          <w:rFonts w:ascii="Arial" w:hAnsi="Arial" w:cs="Arial"/>
          <w:sz w:val="22"/>
          <w:szCs w:val="22"/>
        </w:rPr>
        <w:t>Numerous studies in the U.S.A. and in Europe are currently underway using the CliniMACS Plus® device for αβ+ T cell depletion. A large-scale method for selective depletion of αβ+ T cells from mobilized PSC has been developed and appears effective for reducing the risk of GvHD while preserving CD34+ cell enrichment. The CliniMACS Plus® device is used to deplete αβ+ T cells with the final product keeping NK cells, dendritic cells, and γδ+ T cells. This selective process allows the final product to retain γδ T+ cells and NK cells which can exert pro-engraftment, anti-leukemic, and anti-viral effector function (3). In mice, these grafts resulted in rapid engraftment of myeloid and lymphoid cells. Pilot studies in haploidentical PSCT which have included children have been encouraging thus far. An initial study of the efficacy of αβ+ T cell depletion of 102 mobilized PBSC products conducted in Tubingen Germany noted a 4.7 log depletion of αβ+ T cells, with 73% recovery of CD34+ cells and 83% recovery of γδ+ T cells (4).</w:t>
      </w:r>
    </w:p>
    <w:p w14:paraId="5A2DF3E6" w14:textId="77777777" w:rsidR="003B12F0" w:rsidRPr="0026633E" w:rsidRDefault="003B12F0" w:rsidP="0026633E">
      <w:pPr>
        <w:pStyle w:val="ListParagraph"/>
        <w:spacing w:line="276" w:lineRule="auto"/>
        <w:ind w:left="375"/>
        <w:rPr>
          <w:rFonts w:ascii="Arial" w:hAnsi="Arial" w:cs="Arial"/>
          <w:sz w:val="22"/>
          <w:szCs w:val="22"/>
        </w:rPr>
      </w:pPr>
    </w:p>
    <w:p w14:paraId="66CE59D9" w14:textId="357AA000" w:rsidR="003B12F0" w:rsidRPr="0026633E" w:rsidRDefault="003B12F0" w:rsidP="0026633E">
      <w:pPr>
        <w:pStyle w:val="ListParagraph"/>
        <w:spacing w:line="276" w:lineRule="auto"/>
        <w:ind w:left="375"/>
        <w:rPr>
          <w:rFonts w:ascii="Arial" w:hAnsi="Arial" w:cs="Arial"/>
          <w:sz w:val="22"/>
          <w:szCs w:val="22"/>
        </w:rPr>
      </w:pPr>
      <w:r w:rsidRPr="0026633E">
        <w:rPr>
          <w:rFonts w:ascii="Arial" w:hAnsi="Arial" w:cs="Arial"/>
          <w:sz w:val="22"/>
          <w:szCs w:val="22"/>
        </w:rPr>
        <w:t>Results recently reported from a large Italian cohort of 80 pediatric patients with acute leukemia who underwent haploidentical PSCT with αβ+ T cell depletion from 2011 to 2014 were promising (5). In this study, overall efficiency of αβ+ T cell depletion was excellent with all patients receiving a CD34+ stem cell dose greater than 6 x 10</w:t>
      </w:r>
      <w:r w:rsidRPr="0026633E">
        <w:rPr>
          <w:rFonts w:ascii="Arial" w:hAnsi="Arial" w:cs="Arial"/>
          <w:sz w:val="22"/>
          <w:szCs w:val="22"/>
          <w:vertAlign w:val="superscript"/>
        </w:rPr>
        <w:t>6</w:t>
      </w:r>
      <w:r w:rsidRPr="0026633E">
        <w:rPr>
          <w:rFonts w:ascii="Arial" w:hAnsi="Arial" w:cs="Arial"/>
          <w:sz w:val="22"/>
          <w:szCs w:val="22"/>
        </w:rPr>
        <w:t>/kg and a αβ+ T cell dose of less than 1 x 10</w:t>
      </w:r>
      <w:r w:rsidRPr="0026633E">
        <w:rPr>
          <w:rFonts w:ascii="Arial" w:hAnsi="Arial" w:cs="Arial"/>
          <w:sz w:val="22"/>
          <w:szCs w:val="22"/>
          <w:vertAlign w:val="superscript"/>
        </w:rPr>
        <w:t>5</w:t>
      </w:r>
      <w:r w:rsidRPr="0026633E">
        <w:rPr>
          <w:rFonts w:ascii="Arial" w:hAnsi="Arial" w:cs="Arial"/>
          <w:sz w:val="22"/>
          <w:szCs w:val="22"/>
        </w:rPr>
        <w:t xml:space="preserve">/kg. All but two patients engrafted, and there were no reports of Grade III-IV acute GvHD or chronic extensive GvHD. In a prior study, the same group investigated the use of αβ+ T cell depletion of haploidentical PSCT grafts in 23 children receiving HSCT for non-malignant diseases (6). Results last reported showed that 21 of 23 patients were alive </w:t>
      </w:r>
      <w:r w:rsidRPr="0026633E">
        <w:rPr>
          <w:rFonts w:ascii="Arial" w:hAnsi="Arial" w:cs="Arial"/>
          <w:sz w:val="22"/>
          <w:szCs w:val="22"/>
        </w:rPr>
        <w:lastRenderedPageBreak/>
        <w:t xml:space="preserve">at the time of analysis and no patients developed grade III-IV acute GvHD or chronic extensive GvHD. Median time to neutrophil (ANC) and platelet engraftment was very rapid at 13 and 10 days, respectively. Four patients did experience graft failure (2 primary and two secondary), but all were successfully re-transplanted. </w:t>
      </w:r>
    </w:p>
    <w:p w14:paraId="2EE3ECEC" w14:textId="77777777" w:rsidR="003B12F0" w:rsidRPr="0026633E" w:rsidRDefault="003B12F0" w:rsidP="0026633E">
      <w:pPr>
        <w:pStyle w:val="ListParagraph"/>
        <w:spacing w:line="276" w:lineRule="auto"/>
        <w:ind w:left="375"/>
        <w:rPr>
          <w:rFonts w:ascii="Arial" w:hAnsi="Arial" w:cs="Arial"/>
          <w:sz w:val="22"/>
          <w:szCs w:val="22"/>
        </w:rPr>
      </w:pPr>
    </w:p>
    <w:p w14:paraId="2283A810" w14:textId="33883506" w:rsidR="003B12F0" w:rsidRPr="0026633E" w:rsidRDefault="003B12F0" w:rsidP="0026633E">
      <w:pPr>
        <w:pStyle w:val="ListParagraph"/>
        <w:spacing w:line="276" w:lineRule="auto"/>
        <w:ind w:left="375"/>
        <w:rPr>
          <w:rFonts w:ascii="Arial" w:hAnsi="Arial" w:cs="Arial"/>
          <w:sz w:val="22"/>
          <w:szCs w:val="22"/>
        </w:rPr>
      </w:pPr>
      <w:r w:rsidRPr="0026633E">
        <w:rPr>
          <w:rFonts w:ascii="Arial" w:hAnsi="Arial" w:cs="Arial"/>
          <w:sz w:val="22"/>
          <w:szCs w:val="22"/>
        </w:rPr>
        <w:t>One disadvantage with using T cell depleted grafts is the increased risk of Epstein-Barr Virus (EBV) induced lymphoproliferative disorders. Most patients will have been exposed to EBV prior to transplant. After primary infection with EBV the virus stays dormant in B cells for the lifetime of the B cell. Reactivation of EBV is tightly controlled by the immune system, and particularly the T cells. Studies have shown that the simultaneous removal of donor B cells from the products that are T cell depleted reduces the risk of EBV reactivation during the period before immune recovery (7). Additionally, most centers performing T cell depletion give an added dose of Rituximab to further suppress B cell numbers.</w:t>
      </w:r>
    </w:p>
    <w:p w14:paraId="5EFCF6FC" w14:textId="77777777" w:rsidR="00526FB6" w:rsidRPr="0026633E" w:rsidRDefault="00526FB6" w:rsidP="0026633E">
      <w:pPr>
        <w:pStyle w:val="ListParagraph"/>
        <w:spacing w:line="276" w:lineRule="auto"/>
        <w:ind w:left="375"/>
        <w:rPr>
          <w:rFonts w:ascii="Arial" w:hAnsi="Arial" w:cs="Arial"/>
          <w:b/>
          <w:bCs/>
          <w:sz w:val="22"/>
          <w:szCs w:val="22"/>
        </w:rPr>
      </w:pPr>
    </w:p>
    <w:p w14:paraId="3E30A69D" w14:textId="36E9DD47" w:rsidR="00D6112B" w:rsidRPr="00D6112B" w:rsidRDefault="00D6112B" w:rsidP="00D6112B">
      <w:pPr>
        <w:pStyle w:val="ListParagraph"/>
        <w:numPr>
          <w:ilvl w:val="0"/>
          <w:numId w:val="1"/>
        </w:numPr>
        <w:spacing w:line="276" w:lineRule="auto"/>
        <w:rPr>
          <w:rFonts w:ascii="Arial" w:hAnsi="Arial" w:cs="Arial"/>
          <w:b/>
          <w:bCs/>
          <w:sz w:val="22"/>
          <w:szCs w:val="22"/>
        </w:rPr>
      </w:pPr>
      <w:r w:rsidRPr="00D6112B">
        <w:rPr>
          <w:rFonts w:ascii="Arial" w:hAnsi="Arial" w:cs="Arial"/>
          <w:b/>
          <w:bCs/>
          <w:sz w:val="22"/>
          <w:szCs w:val="22"/>
        </w:rPr>
        <w:t>αβ+ T Cell/CD19+ B cell</w:t>
      </w:r>
      <w:r w:rsidR="00617425" w:rsidRPr="0026633E">
        <w:rPr>
          <w:rFonts w:ascii="Arial" w:hAnsi="Arial" w:cs="Arial"/>
          <w:b/>
          <w:bCs/>
          <w:sz w:val="22"/>
          <w:szCs w:val="22"/>
        </w:rPr>
        <w:t xml:space="preserve"> Depletion procedure</w:t>
      </w:r>
    </w:p>
    <w:p w14:paraId="1082B95E" w14:textId="5EADAD74" w:rsidR="00617425" w:rsidRPr="0026633E" w:rsidRDefault="00617425" w:rsidP="0026633E">
      <w:pPr>
        <w:pStyle w:val="ListParagraph"/>
        <w:numPr>
          <w:ilvl w:val="1"/>
          <w:numId w:val="1"/>
        </w:numPr>
        <w:spacing w:line="276" w:lineRule="auto"/>
        <w:rPr>
          <w:rFonts w:ascii="Arial" w:hAnsi="Arial" w:cs="Arial"/>
          <w:b/>
          <w:bCs/>
          <w:sz w:val="22"/>
          <w:szCs w:val="22"/>
        </w:rPr>
      </w:pPr>
      <w:r w:rsidRPr="0026633E">
        <w:rPr>
          <w:rFonts w:ascii="Arial" w:hAnsi="Arial" w:cs="Arial"/>
          <w:b/>
          <w:bCs/>
          <w:sz w:val="22"/>
          <w:szCs w:val="22"/>
        </w:rPr>
        <w:t>Procedure overview</w:t>
      </w:r>
    </w:p>
    <w:p w14:paraId="2B4377A2" w14:textId="77777777" w:rsidR="00D631F3" w:rsidRPr="0026633E" w:rsidRDefault="00275188" w:rsidP="0026633E">
      <w:pPr>
        <w:pStyle w:val="ListParagraph"/>
        <w:spacing w:line="276" w:lineRule="auto"/>
        <w:ind w:left="1095"/>
        <w:rPr>
          <w:rFonts w:ascii="Arial" w:hAnsi="Arial" w:cs="Arial"/>
          <w:sz w:val="22"/>
          <w:szCs w:val="22"/>
        </w:rPr>
      </w:pPr>
      <w:r w:rsidRPr="0026633E">
        <w:rPr>
          <w:rFonts w:ascii="Arial" w:hAnsi="Arial" w:cs="Arial"/>
          <w:sz w:val="22"/>
          <w:szCs w:val="22"/>
        </w:rPr>
        <w:t xml:space="preserve">A mobilization regimen with granulocyte colony stimulating factor (G-CSF) will be used to obtain a PBSC product from </w:t>
      </w:r>
      <w:r w:rsidR="00E874C8" w:rsidRPr="0026633E">
        <w:rPr>
          <w:rFonts w:ascii="Arial" w:hAnsi="Arial" w:cs="Arial"/>
          <w:sz w:val="22"/>
          <w:szCs w:val="22"/>
        </w:rPr>
        <w:t>the patient’s</w:t>
      </w:r>
      <w:r w:rsidR="00F97BB7" w:rsidRPr="0026633E">
        <w:rPr>
          <w:rFonts w:ascii="Arial" w:hAnsi="Arial" w:cs="Arial"/>
          <w:sz w:val="22"/>
          <w:szCs w:val="22"/>
        </w:rPr>
        <w:t xml:space="preserve"> </w:t>
      </w:r>
      <w:r w:rsidR="004A36AF" w:rsidRPr="0026633E">
        <w:rPr>
          <w:rFonts w:ascii="Arial" w:hAnsi="Arial" w:cs="Arial"/>
          <w:sz w:val="22"/>
          <w:szCs w:val="22"/>
        </w:rPr>
        <w:t>sister</w:t>
      </w:r>
      <w:r w:rsidR="00E874C8" w:rsidRPr="0026633E">
        <w:rPr>
          <w:rFonts w:ascii="Arial" w:hAnsi="Arial" w:cs="Arial"/>
          <w:sz w:val="22"/>
          <w:szCs w:val="22"/>
        </w:rPr>
        <w:t xml:space="preserve"> after obtaining written informed</w:t>
      </w:r>
      <w:r w:rsidRPr="0026633E">
        <w:rPr>
          <w:rFonts w:ascii="Arial" w:hAnsi="Arial" w:cs="Arial"/>
          <w:sz w:val="22"/>
          <w:szCs w:val="22"/>
        </w:rPr>
        <w:t xml:space="preserve"> consent. Apheresis will be performed according to institutional standards aiming for 3-4 total blood volume</w:t>
      </w:r>
      <w:r w:rsidR="00E874C8" w:rsidRPr="0026633E">
        <w:rPr>
          <w:rFonts w:ascii="Arial" w:hAnsi="Arial" w:cs="Arial"/>
          <w:sz w:val="22"/>
          <w:szCs w:val="22"/>
        </w:rPr>
        <w:t>s</w:t>
      </w:r>
      <w:r w:rsidRPr="0026633E">
        <w:rPr>
          <w:rFonts w:ascii="Arial" w:hAnsi="Arial" w:cs="Arial"/>
          <w:sz w:val="22"/>
          <w:szCs w:val="22"/>
        </w:rPr>
        <w:t xml:space="preserve"> as tolerated by the donor. The target infusion goal will be at least 10</w:t>
      </w:r>
      <w:r w:rsidR="00181871" w:rsidRPr="0026633E">
        <w:rPr>
          <w:rFonts w:ascii="Arial" w:hAnsi="Arial" w:cs="Arial"/>
          <w:sz w:val="22"/>
          <w:szCs w:val="22"/>
        </w:rPr>
        <w:t>-15</w:t>
      </w:r>
      <w:r w:rsidRPr="0026633E">
        <w:rPr>
          <w:rFonts w:ascii="Arial" w:hAnsi="Arial" w:cs="Arial"/>
          <w:sz w:val="22"/>
          <w:szCs w:val="22"/>
        </w:rPr>
        <w:t>x10</w:t>
      </w:r>
      <w:r w:rsidR="00181871" w:rsidRPr="0026633E">
        <w:rPr>
          <w:rFonts w:ascii="Arial" w:hAnsi="Arial" w:cs="Arial"/>
          <w:sz w:val="22"/>
          <w:szCs w:val="22"/>
          <w:vertAlign w:val="superscript"/>
        </w:rPr>
        <w:t>6</w:t>
      </w:r>
      <w:r w:rsidRPr="0026633E">
        <w:rPr>
          <w:rFonts w:ascii="Arial" w:hAnsi="Arial" w:cs="Arial"/>
          <w:sz w:val="22"/>
          <w:szCs w:val="22"/>
        </w:rPr>
        <w:t xml:space="preserve"> CD34+ cells/kg. The donor will mobilize with G-CSF on Days 1-4 with 10mcg/kg/day subcutaneous. On day 5, the donor will continue with the dosing of G-CSF and apheresis will begin</w:t>
      </w:r>
      <w:r w:rsidR="00613FE0" w:rsidRPr="0026633E">
        <w:rPr>
          <w:rFonts w:ascii="Arial" w:hAnsi="Arial" w:cs="Arial"/>
          <w:sz w:val="22"/>
          <w:szCs w:val="22"/>
        </w:rPr>
        <w:t xml:space="preserve"> and may </w:t>
      </w:r>
      <w:r w:rsidR="006B6589" w:rsidRPr="0026633E">
        <w:rPr>
          <w:rFonts w:ascii="Arial" w:hAnsi="Arial" w:cs="Arial"/>
          <w:sz w:val="22"/>
          <w:szCs w:val="22"/>
        </w:rPr>
        <w:t>continue</w:t>
      </w:r>
      <w:r w:rsidR="00D631F3" w:rsidRPr="0026633E">
        <w:rPr>
          <w:rFonts w:ascii="Arial" w:hAnsi="Arial" w:cs="Arial"/>
          <w:sz w:val="22"/>
          <w:szCs w:val="22"/>
        </w:rPr>
        <w:t xml:space="preserve"> through</w:t>
      </w:r>
      <w:r w:rsidR="00613FE0" w:rsidRPr="0026633E">
        <w:rPr>
          <w:rFonts w:ascii="Arial" w:hAnsi="Arial" w:cs="Arial"/>
          <w:sz w:val="22"/>
          <w:szCs w:val="22"/>
        </w:rPr>
        <w:t xml:space="preserve"> day 6 if the target cell number is not reached after the first collection</w:t>
      </w:r>
      <w:r w:rsidRPr="0026633E">
        <w:rPr>
          <w:rFonts w:ascii="Arial" w:hAnsi="Arial" w:cs="Arial"/>
          <w:sz w:val="22"/>
          <w:szCs w:val="22"/>
        </w:rPr>
        <w:t>.</w:t>
      </w:r>
      <w:r w:rsidR="00181871" w:rsidRPr="0026633E">
        <w:rPr>
          <w:rFonts w:ascii="Arial" w:hAnsi="Arial" w:cs="Arial"/>
          <w:sz w:val="22"/>
          <w:szCs w:val="22"/>
        </w:rPr>
        <w:t xml:space="preserve"> Based upon experience, sufficient donor cells will be collected in one or two collections. Of note, donor cells may be collected before the timeline above and cryopreserved if necessary. </w:t>
      </w:r>
      <w:r w:rsidR="00D631F3" w:rsidRPr="0026633E">
        <w:rPr>
          <w:rFonts w:ascii="Arial" w:hAnsi="Arial" w:cs="Arial"/>
          <w:sz w:val="22"/>
          <w:szCs w:val="22"/>
        </w:rPr>
        <w:t>The donor</w:t>
      </w:r>
      <w:r w:rsidRPr="0026633E">
        <w:rPr>
          <w:rFonts w:ascii="Arial" w:hAnsi="Arial" w:cs="Arial"/>
          <w:sz w:val="22"/>
          <w:szCs w:val="22"/>
        </w:rPr>
        <w:t xml:space="preserve"> will be monitored and PBSC products will be collected according to FACT-JACIE international standards for cell therapy, product collections, processing</w:t>
      </w:r>
      <w:r w:rsidR="00D631F3" w:rsidRPr="0026633E">
        <w:rPr>
          <w:rFonts w:ascii="Arial" w:hAnsi="Arial" w:cs="Arial"/>
          <w:sz w:val="22"/>
          <w:szCs w:val="22"/>
        </w:rPr>
        <w:t>,</w:t>
      </w:r>
      <w:r w:rsidRPr="0026633E">
        <w:rPr>
          <w:rFonts w:ascii="Arial" w:hAnsi="Arial" w:cs="Arial"/>
          <w:sz w:val="22"/>
          <w:szCs w:val="22"/>
        </w:rPr>
        <w:t xml:space="preserve"> and administration.</w:t>
      </w:r>
    </w:p>
    <w:p w14:paraId="108E13A3" w14:textId="77777777" w:rsidR="00D631F3" w:rsidRPr="0026633E" w:rsidRDefault="00D631F3" w:rsidP="0026633E">
      <w:pPr>
        <w:pStyle w:val="ListParagraph"/>
        <w:spacing w:line="276" w:lineRule="auto"/>
        <w:ind w:left="1095"/>
        <w:rPr>
          <w:rFonts w:ascii="Arial" w:hAnsi="Arial" w:cs="Arial"/>
          <w:sz w:val="22"/>
          <w:szCs w:val="22"/>
        </w:rPr>
      </w:pPr>
    </w:p>
    <w:p w14:paraId="747B3AD1" w14:textId="77777777" w:rsidR="00D631F3" w:rsidRPr="0026633E" w:rsidRDefault="00181871" w:rsidP="0026633E">
      <w:pPr>
        <w:pStyle w:val="ListParagraph"/>
        <w:spacing w:line="276" w:lineRule="auto"/>
        <w:ind w:left="1095"/>
        <w:rPr>
          <w:rFonts w:ascii="Arial" w:hAnsi="Arial" w:cs="Arial"/>
          <w:sz w:val="22"/>
          <w:szCs w:val="22"/>
        </w:rPr>
      </w:pPr>
      <w:r w:rsidRPr="0026633E">
        <w:rPr>
          <w:rFonts w:ascii="Arial" w:hAnsi="Arial" w:cs="Arial"/>
          <w:sz w:val="22"/>
          <w:szCs w:val="22"/>
        </w:rPr>
        <w:t>Processing of hematologic stem cells from apheresis</w:t>
      </w:r>
      <w:r w:rsidR="005E7418" w:rsidRPr="0026633E">
        <w:rPr>
          <w:rFonts w:ascii="Arial" w:hAnsi="Arial" w:cs="Arial"/>
          <w:sz w:val="22"/>
          <w:szCs w:val="22"/>
        </w:rPr>
        <w:t xml:space="preserve"> will take place at </w:t>
      </w:r>
      <w:r w:rsidR="00E874C8" w:rsidRPr="0026633E">
        <w:rPr>
          <w:rFonts w:ascii="Arial" w:hAnsi="Arial" w:cs="Arial"/>
          <w:sz w:val="22"/>
          <w:szCs w:val="22"/>
        </w:rPr>
        <w:t>the IU Health Cellular Therapy Lab</w:t>
      </w:r>
      <w:r w:rsidR="005E7418" w:rsidRPr="0026633E">
        <w:rPr>
          <w:rFonts w:ascii="Arial" w:hAnsi="Arial" w:cs="Arial"/>
          <w:sz w:val="22"/>
          <w:szCs w:val="22"/>
        </w:rPr>
        <w:t xml:space="preserve"> using validated Standard Operating Procedures. If more than 1 apheresis event is performed to collect a sufficient cell dose, HPC-A products may be combined prior to </w:t>
      </w:r>
      <w:r w:rsidR="00D631F3" w:rsidRPr="0026633E">
        <w:rPr>
          <w:rFonts w:ascii="Arial" w:hAnsi="Arial" w:cs="Arial"/>
          <w:sz w:val="22"/>
          <w:szCs w:val="22"/>
        </w:rPr>
        <w:t xml:space="preserve">αβ+ T Cell/CD19+ B cell </w:t>
      </w:r>
      <w:r w:rsidR="005E7418" w:rsidRPr="0026633E">
        <w:rPr>
          <w:rFonts w:ascii="Arial" w:hAnsi="Arial" w:cs="Arial"/>
          <w:sz w:val="22"/>
          <w:szCs w:val="22"/>
        </w:rPr>
        <w:t xml:space="preserve">depletion. HPC-A products will be </w:t>
      </w:r>
      <w:r w:rsidR="00D631F3" w:rsidRPr="0026633E">
        <w:rPr>
          <w:rFonts w:ascii="Arial" w:hAnsi="Arial" w:cs="Arial"/>
          <w:sz w:val="22"/>
          <w:szCs w:val="22"/>
        </w:rPr>
        <w:t xml:space="preserve">αβ+ T Cell/CD19+ B cell </w:t>
      </w:r>
      <w:r w:rsidR="005E7418" w:rsidRPr="0026633E">
        <w:rPr>
          <w:rFonts w:ascii="Arial" w:hAnsi="Arial" w:cs="Arial"/>
          <w:sz w:val="22"/>
          <w:szCs w:val="22"/>
        </w:rPr>
        <w:t xml:space="preserve">depleted using the CliniMACS® device according to the manufacturer’s instructions. </w:t>
      </w:r>
    </w:p>
    <w:p w14:paraId="42B939DC" w14:textId="77777777" w:rsidR="00D631F3" w:rsidRPr="0026633E" w:rsidRDefault="00D631F3" w:rsidP="0026633E">
      <w:pPr>
        <w:pStyle w:val="ListParagraph"/>
        <w:spacing w:line="276" w:lineRule="auto"/>
        <w:ind w:left="1095"/>
        <w:rPr>
          <w:rFonts w:ascii="Arial" w:hAnsi="Arial" w:cs="Arial"/>
          <w:sz w:val="22"/>
          <w:szCs w:val="22"/>
        </w:rPr>
      </w:pPr>
    </w:p>
    <w:p w14:paraId="0C7B0B7A" w14:textId="5F92C74B" w:rsidR="005E7418" w:rsidRPr="0026633E" w:rsidRDefault="005E7418" w:rsidP="0026633E">
      <w:pPr>
        <w:pStyle w:val="ListParagraph"/>
        <w:spacing w:line="276" w:lineRule="auto"/>
        <w:ind w:left="1095"/>
        <w:rPr>
          <w:rFonts w:ascii="Arial" w:hAnsi="Arial" w:cs="Arial"/>
          <w:sz w:val="22"/>
          <w:szCs w:val="22"/>
        </w:rPr>
      </w:pPr>
      <w:r w:rsidRPr="0026633E">
        <w:rPr>
          <w:rFonts w:ascii="Arial" w:hAnsi="Arial" w:cs="Arial"/>
          <w:sz w:val="22"/>
          <w:szCs w:val="22"/>
        </w:rPr>
        <w:t xml:space="preserve">Briefly, </w:t>
      </w:r>
      <w:r w:rsidR="00613FE0" w:rsidRPr="0026633E">
        <w:rPr>
          <w:rFonts w:ascii="Arial" w:hAnsi="Arial" w:cs="Arial"/>
          <w:sz w:val="22"/>
          <w:szCs w:val="22"/>
        </w:rPr>
        <w:t>the starting material will be assessed</w:t>
      </w:r>
      <w:r w:rsidRPr="0026633E">
        <w:rPr>
          <w:rFonts w:ascii="Arial" w:hAnsi="Arial" w:cs="Arial"/>
          <w:sz w:val="22"/>
          <w:szCs w:val="22"/>
        </w:rPr>
        <w:t xml:space="preserve"> by a cell count</w:t>
      </w:r>
      <w:r w:rsidR="00613FE0" w:rsidRPr="0026633E">
        <w:rPr>
          <w:rFonts w:ascii="Arial" w:hAnsi="Arial" w:cs="Arial"/>
          <w:sz w:val="22"/>
          <w:szCs w:val="22"/>
        </w:rPr>
        <w:t>,</w:t>
      </w:r>
      <w:r w:rsidRPr="0026633E">
        <w:rPr>
          <w:rFonts w:ascii="Arial" w:hAnsi="Arial" w:cs="Arial"/>
          <w:sz w:val="22"/>
          <w:szCs w:val="22"/>
        </w:rPr>
        <w:t xml:space="preserve"> viability</w:t>
      </w:r>
      <w:r w:rsidR="00613FE0" w:rsidRPr="0026633E">
        <w:rPr>
          <w:rFonts w:ascii="Arial" w:hAnsi="Arial" w:cs="Arial"/>
          <w:sz w:val="22"/>
          <w:szCs w:val="22"/>
        </w:rPr>
        <w:t xml:space="preserve"> and flow cytometry for TCR a/b+ cells and CD19+ cells</w:t>
      </w:r>
      <w:r w:rsidRPr="0026633E">
        <w:rPr>
          <w:rFonts w:ascii="Arial" w:hAnsi="Arial" w:cs="Arial"/>
          <w:sz w:val="22"/>
          <w:szCs w:val="22"/>
        </w:rPr>
        <w:t>. Prior to immunomagnetically labeling the</w:t>
      </w:r>
      <w:r w:rsidR="005E790D" w:rsidRPr="0026633E">
        <w:rPr>
          <w:rFonts w:ascii="Arial" w:hAnsi="Arial" w:cs="Arial"/>
          <w:sz w:val="22"/>
          <w:szCs w:val="22"/>
        </w:rPr>
        <w:t xml:space="preserve"> </w:t>
      </w:r>
      <w:r w:rsidR="00D631F3" w:rsidRPr="0026633E">
        <w:rPr>
          <w:rFonts w:ascii="Arial" w:hAnsi="Arial" w:cs="Arial"/>
          <w:sz w:val="22"/>
          <w:szCs w:val="22"/>
        </w:rPr>
        <w:t>Hematopoietic</w:t>
      </w:r>
      <w:r w:rsidR="005E790D" w:rsidRPr="0026633E">
        <w:rPr>
          <w:rFonts w:ascii="Arial" w:hAnsi="Arial" w:cs="Arial"/>
          <w:sz w:val="22"/>
          <w:szCs w:val="22"/>
        </w:rPr>
        <w:t xml:space="preserve"> progenitor cell by apheresis</w:t>
      </w:r>
      <w:r w:rsidRPr="0026633E">
        <w:rPr>
          <w:rFonts w:ascii="Arial" w:hAnsi="Arial" w:cs="Arial"/>
          <w:sz w:val="22"/>
          <w:szCs w:val="22"/>
        </w:rPr>
        <w:t xml:space="preserve"> </w:t>
      </w:r>
      <w:r w:rsidR="005E790D" w:rsidRPr="0026633E">
        <w:rPr>
          <w:rFonts w:ascii="Arial" w:hAnsi="Arial" w:cs="Arial"/>
          <w:sz w:val="22"/>
          <w:szCs w:val="22"/>
        </w:rPr>
        <w:t>(</w:t>
      </w:r>
      <w:r w:rsidRPr="0026633E">
        <w:rPr>
          <w:rFonts w:ascii="Arial" w:hAnsi="Arial" w:cs="Arial"/>
          <w:sz w:val="22"/>
          <w:szCs w:val="22"/>
        </w:rPr>
        <w:t>HPC-A</w:t>
      </w:r>
      <w:r w:rsidR="005E790D" w:rsidRPr="0026633E">
        <w:rPr>
          <w:rFonts w:ascii="Arial" w:hAnsi="Arial" w:cs="Arial"/>
          <w:sz w:val="22"/>
          <w:szCs w:val="22"/>
        </w:rPr>
        <w:t>)</w:t>
      </w:r>
      <w:r w:rsidR="00B55E0F" w:rsidRPr="0026633E">
        <w:rPr>
          <w:rFonts w:ascii="Arial" w:hAnsi="Arial" w:cs="Arial"/>
          <w:sz w:val="22"/>
          <w:szCs w:val="22"/>
        </w:rPr>
        <w:t xml:space="preserve"> </w:t>
      </w:r>
      <w:r w:rsidRPr="0026633E">
        <w:rPr>
          <w:rFonts w:ascii="Arial" w:hAnsi="Arial" w:cs="Arial"/>
          <w:sz w:val="22"/>
          <w:szCs w:val="22"/>
        </w:rPr>
        <w:t xml:space="preserve">product, the HPC-A product will be washed to remove </w:t>
      </w:r>
      <w:r w:rsidR="00D6112B" w:rsidRPr="0026633E">
        <w:rPr>
          <w:rFonts w:ascii="Arial" w:hAnsi="Arial" w:cs="Arial"/>
          <w:sz w:val="22"/>
          <w:szCs w:val="22"/>
        </w:rPr>
        <w:t>platelets,</w:t>
      </w:r>
      <w:r w:rsidRPr="0026633E">
        <w:rPr>
          <w:rFonts w:ascii="Arial" w:hAnsi="Arial" w:cs="Arial"/>
          <w:sz w:val="22"/>
          <w:szCs w:val="22"/>
        </w:rPr>
        <w:t xml:space="preserve"> and the cell concentration will be adjusted in preparation for antibody labeling. The </w:t>
      </w:r>
      <w:r w:rsidR="005B5ABB" w:rsidRPr="0026633E">
        <w:rPr>
          <w:rFonts w:ascii="Arial" w:hAnsi="Arial" w:cs="Arial"/>
          <w:sz w:val="22"/>
          <w:szCs w:val="22"/>
        </w:rPr>
        <w:t>peripheral blood stem cell (</w:t>
      </w:r>
      <w:r w:rsidRPr="0026633E">
        <w:rPr>
          <w:rFonts w:ascii="Arial" w:hAnsi="Arial" w:cs="Arial"/>
          <w:sz w:val="22"/>
          <w:szCs w:val="22"/>
        </w:rPr>
        <w:t>PBSC</w:t>
      </w:r>
      <w:r w:rsidR="005B5ABB" w:rsidRPr="0026633E">
        <w:rPr>
          <w:rFonts w:ascii="Arial" w:hAnsi="Arial" w:cs="Arial"/>
          <w:sz w:val="22"/>
          <w:szCs w:val="22"/>
        </w:rPr>
        <w:t>)</w:t>
      </w:r>
      <w:r w:rsidRPr="0026633E">
        <w:rPr>
          <w:rFonts w:ascii="Arial" w:hAnsi="Arial" w:cs="Arial"/>
          <w:sz w:val="22"/>
          <w:szCs w:val="22"/>
        </w:rPr>
        <w:t xml:space="preserve"> product will be labeled using the CliniMACS® TCRαβ Biotin kit and CD19+ Microbeads. After immunomagnetically labeling cells with TCRαβ and CD19 antibodies, the cells will be </w:t>
      </w:r>
      <w:r w:rsidRPr="0026633E">
        <w:rPr>
          <w:rFonts w:ascii="Arial" w:hAnsi="Arial" w:cs="Arial"/>
          <w:sz w:val="22"/>
          <w:szCs w:val="22"/>
        </w:rPr>
        <w:lastRenderedPageBreak/>
        <w:t xml:space="preserve">washed to remove unbound microbeads. The HPC-A product will be loaded onto the CliniMACS® </w:t>
      </w:r>
      <w:r w:rsidR="00D631F3" w:rsidRPr="0026633E">
        <w:rPr>
          <w:rFonts w:ascii="Arial" w:hAnsi="Arial" w:cs="Arial"/>
          <w:sz w:val="22"/>
          <w:szCs w:val="22"/>
        </w:rPr>
        <w:t>device,</w:t>
      </w:r>
      <w:r w:rsidRPr="0026633E">
        <w:rPr>
          <w:rFonts w:ascii="Arial" w:hAnsi="Arial" w:cs="Arial"/>
          <w:sz w:val="22"/>
          <w:szCs w:val="22"/>
        </w:rPr>
        <w:t xml:space="preserve"> and the negative cell fraction will be collected. The cells from the negative fraction will then be centrifuged and reconstituted to obtain the final product. Cell viability, cell counts, sterility, gram stain and endotoxin testing will be performed on the final product prior to infusion. In addition, the final product will be enumerated and assessed for viable stem cell (CD34+) T-cell (TCR αβ+CD3+, TCR γδ+CD3+) and B-cell content using anti-CD20 (due to blockage of the CD19 antigen by the reagent used for depletion) by flow cytometry. The HPC-A graft product will be infused fresh after completion of release testing</w:t>
      </w:r>
      <w:r w:rsidR="00E874C8" w:rsidRPr="0026633E">
        <w:rPr>
          <w:rFonts w:ascii="Arial" w:hAnsi="Arial" w:cs="Arial"/>
          <w:sz w:val="22"/>
          <w:szCs w:val="22"/>
        </w:rPr>
        <w:t>,</w:t>
      </w:r>
      <w:r w:rsidRPr="0026633E">
        <w:rPr>
          <w:rFonts w:ascii="Arial" w:hAnsi="Arial" w:cs="Arial"/>
          <w:sz w:val="22"/>
          <w:szCs w:val="22"/>
        </w:rPr>
        <w:t xml:space="preserve"> stored overnight at 4</w:t>
      </w:r>
      <w:r w:rsidRPr="0026633E">
        <w:rPr>
          <w:rFonts w:ascii="Arial" w:hAnsi="Arial" w:cs="Arial"/>
          <w:sz w:val="22"/>
          <w:szCs w:val="22"/>
          <w:vertAlign w:val="superscript"/>
        </w:rPr>
        <w:t>o</w:t>
      </w:r>
      <w:r w:rsidRPr="0026633E">
        <w:rPr>
          <w:rFonts w:ascii="Arial" w:hAnsi="Arial" w:cs="Arial"/>
          <w:sz w:val="22"/>
          <w:szCs w:val="22"/>
        </w:rPr>
        <w:t xml:space="preserve">C prior to infusion or frozen </w:t>
      </w:r>
      <w:r w:rsidR="00E874C8" w:rsidRPr="0026633E">
        <w:rPr>
          <w:rFonts w:ascii="Arial" w:hAnsi="Arial" w:cs="Arial"/>
          <w:sz w:val="22"/>
          <w:szCs w:val="22"/>
        </w:rPr>
        <w:t>for future infusion at the discretion of</w:t>
      </w:r>
      <w:r w:rsidRPr="0026633E">
        <w:rPr>
          <w:rFonts w:ascii="Arial" w:hAnsi="Arial" w:cs="Arial"/>
          <w:sz w:val="22"/>
          <w:szCs w:val="22"/>
        </w:rPr>
        <w:t xml:space="preserve"> the stem cell transplant physician. </w:t>
      </w:r>
    </w:p>
    <w:p w14:paraId="142170C8" w14:textId="77777777" w:rsidR="005E7418" w:rsidRPr="0026633E" w:rsidRDefault="005E7418" w:rsidP="0026633E">
      <w:pPr>
        <w:pStyle w:val="ListParagraph"/>
        <w:spacing w:line="276" w:lineRule="auto"/>
        <w:ind w:left="1095"/>
        <w:rPr>
          <w:rFonts w:ascii="Arial" w:hAnsi="Arial" w:cs="Arial"/>
          <w:sz w:val="22"/>
          <w:szCs w:val="22"/>
        </w:rPr>
      </w:pPr>
    </w:p>
    <w:p w14:paraId="6773F71F" w14:textId="79DBF13F" w:rsidR="005E7418" w:rsidRPr="0026633E" w:rsidRDefault="005E7418" w:rsidP="0026633E">
      <w:pPr>
        <w:pStyle w:val="ListParagraph"/>
        <w:spacing w:line="276" w:lineRule="auto"/>
        <w:ind w:left="1095"/>
        <w:rPr>
          <w:rFonts w:ascii="Arial" w:hAnsi="Arial" w:cs="Arial"/>
          <w:sz w:val="22"/>
          <w:szCs w:val="22"/>
        </w:rPr>
      </w:pPr>
      <w:r w:rsidRPr="0026633E">
        <w:rPr>
          <w:rFonts w:ascii="Arial" w:hAnsi="Arial" w:cs="Arial"/>
          <w:sz w:val="22"/>
          <w:szCs w:val="22"/>
        </w:rPr>
        <w:t xml:space="preserve">Cell dose parameters for the </w:t>
      </w:r>
      <w:r w:rsidRPr="0026633E">
        <w:rPr>
          <w:rFonts w:ascii="Arial" w:hAnsi="Arial" w:cs="Arial"/>
          <w:i/>
          <w:iCs/>
          <w:sz w:val="22"/>
          <w:szCs w:val="22"/>
        </w:rPr>
        <w:t xml:space="preserve">primary HSC </w:t>
      </w:r>
      <w:r w:rsidRPr="0026633E">
        <w:rPr>
          <w:rFonts w:ascii="Arial" w:hAnsi="Arial" w:cs="Arial"/>
          <w:sz w:val="22"/>
          <w:szCs w:val="22"/>
        </w:rPr>
        <w:t>infusion donor graft are as follows. The cell doses noted are defined as the total αβ+CD3+, CD34+, and B-cell counts contained in the final product</w:t>
      </w:r>
      <w:r w:rsidR="00D631F3" w:rsidRPr="0026633E">
        <w:rPr>
          <w:rFonts w:ascii="Arial" w:hAnsi="Arial" w:cs="Arial"/>
          <w:sz w:val="22"/>
          <w:szCs w:val="22"/>
        </w:rPr>
        <w:t>:</w:t>
      </w:r>
    </w:p>
    <w:p w14:paraId="66DC5C1E" w14:textId="212D08BB" w:rsidR="005E7418" w:rsidRPr="0026633E" w:rsidRDefault="005E7418" w:rsidP="0026633E">
      <w:pPr>
        <w:pStyle w:val="ListParagraph"/>
        <w:spacing w:line="276" w:lineRule="auto"/>
        <w:ind w:left="1095"/>
        <w:rPr>
          <w:rFonts w:ascii="Arial" w:hAnsi="Arial" w:cs="Arial"/>
          <w:sz w:val="22"/>
          <w:szCs w:val="22"/>
        </w:rPr>
      </w:pPr>
      <w:r w:rsidRPr="0026633E">
        <w:rPr>
          <w:rFonts w:ascii="Arial" w:hAnsi="Arial" w:cs="Arial"/>
          <w:sz w:val="22"/>
          <w:szCs w:val="22"/>
        </w:rPr>
        <w:t>• The target HSC dose is at least 10</w:t>
      </w:r>
      <w:r w:rsidR="00D631F3" w:rsidRPr="0026633E">
        <w:rPr>
          <w:rFonts w:ascii="Arial" w:hAnsi="Arial" w:cs="Arial"/>
          <w:sz w:val="22"/>
          <w:szCs w:val="22"/>
        </w:rPr>
        <w:t>-15</w:t>
      </w:r>
      <w:r w:rsidRPr="0026633E">
        <w:rPr>
          <w:rFonts w:ascii="Arial" w:hAnsi="Arial" w:cs="Arial"/>
          <w:sz w:val="22"/>
          <w:szCs w:val="22"/>
        </w:rPr>
        <w:t>x 10</w:t>
      </w:r>
      <w:r w:rsidRPr="0026633E">
        <w:rPr>
          <w:rFonts w:ascii="Arial" w:hAnsi="Arial" w:cs="Arial"/>
          <w:sz w:val="22"/>
          <w:szCs w:val="22"/>
          <w:vertAlign w:val="superscript"/>
        </w:rPr>
        <w:t>6</w:t>
      </w:r>
      <w:r w:rsidRPr="0026633E">
        <w:rPr>
          <w:rFonts w:ascii="Arial" w:hAnsi="Arial" w:cs="Arial"/>
          <w:sz w:val="22"/>
          <w:szCs w:val="22"/>
        </w:rPr>
        <w:t xml:space="preserve"> CD34+ cells/kg recipient weight. The minimum cell dose will be 2-5 x 10</w:t>
      </w:r>
      <w:r w:rsidRPr="0026633E">
        <w:rPr>
          <w:rFonts w:ascii="Arial" w:hAnsi="Arial" w:cs="Arial"/>
          <w:sz w:val="22"/>
          <w:szCs w:val="22"/>
          <w:vertAlign w:val="superscript"/>
        </w:rPr>
        <w:t>6</w:t>
      </w:r>
      <w:r w:rsidRPr="0026633E">
        <w:rPr>
          <w:rFonts w:ascii="Arial" w:hAnsi="Arial" w:cs="Arial"/>
          <w:sz w:val="22"/>
          <w:szCs w:val="22"/>
        </w:rPr>
        <w:t xml:space="preserve"> CD34+ cells/kg with no maximum dose</w:t>
      </w:r>
      <w:r w:rsidR="00690B76" w:rsidRPr="0026633E">
        <w:rPr>
          <w:rFonts w:ascii="Arial" w:hAnsi="Arial" w:cs="Arial"/>
          <w:sz w:val="22"/>
          <w:szCs w:val="22"/>
        </w:rPr>
        <w:t xml:space="preserve">, </w:t>
      </w:r>
      <w:r w:rsidRPr="0026633E">
        <w:rPr>
          <w:rFonts w:ascii="Arial" w:hAnsi="Arial" w:cs="Arial"/>
          <w:sz w:val="22"/>
          <w:szCs w:val="22"/>
        </w:rPr>
        <w:t xml:space="preserve">but the CD34+ dose is usually limited by the need to not exceed the αβ+CD3+ dose threshold below. </w:t>
      </w:r>
    </w:p>
    <w:p w14:paraId="2EC6CE68" w14:textId="677D6AFD" w:rsidR="005E7418" w:rsidRPr="0026633E" w:rsidRDefault="005E7418" w:rsidP="0026633E">
      <w:pPr>
        <w:pStyle w:val="ListParagraph"/>
        <w:spacing w:line="276" w:lineRule="auto"/>
        <w:ind w:left="1095"/>
        <w:rPr>
          <w:rFonts w:ascii="Arial" w:hAnsi="Arial" w:cs="Arial"/>
          <w:sz w:val="22"/>
          <w:szCs w:val="22"/>
        </w:rPr>
      </w:pPr>
      <w:r w:rsidRPr="0026633E">
        <w:rPr>
          <w:rFonts w:ascii="Arial" w:hAnsi="Arial" w:cs="Arial"/>
          <w:sz w:val="22"/>
          <w:szCs w:val="22"/>
        </w:rPr>
        <w:t>• The target αβ+ CD3+ cell dose content in the primary infusion donor product will be ≤1.0 x 10</w:t>
      </w:r>
      <w:r w:rsidRPr="0026633E">
        <w:rPr>
          <w:rFonts w:ascii="Arial" w:hAnsi="Arial" w:cs="Arial"/>
          <w:sz w:val="22"/>
          <w:szCs w:val="22"/>
          <w:vertAlign w:val="superscript"/>
        </w:rPr>
        <w:t>5</w:t>
      </w:r>
      <w:r w:rsidRPr="0026633E">
        <w:rPr>
          <w:rFonts w:ascii="Arial" w:hAnsi="Arial" w:cs="Arial"/>
          <w:sz w:val="22"/>
          <w:szCs w:val="22"/>
        </w:rPr>
        <w:t xml:space="preserve"> αβ+CD3+ cells/kg recipient weight. If projected CD34+ content of a graft will be &lt; 5.0 x 10</w:t>
      </w:r>
      <w:r w:rsidRPr="0026633E">
        <w:rPr>
          <w:rFonts w:ascii="Arial" w:hAnsi="Arial" w:cs="Arial"/>
          <w:sz w:val="22"/>
          <w:szCs w:val="22"/>
          <w:vertAlign w:val="superscript"/>
        </w:rPr>
        <w:t>6</w:t>
      </w:r>
      <w:r w:rsidRPr="0026633E">
        <w:rPr>
          <w:rFonts w:ascii="Arial" w:hAnsi="Arial" w:cs="Arial"/>
          <w:sz w:val="22"/>
          <w:szCs w:val="22"/>
        </w:rPr>
        <w:t xml:space="preserve"> /kg, the αβ+CD3+ </w:t>
      </w:r>
      <w:r w:rsidR="00690B76" w:rsidRPr="0026633E">
        <w:rPr>
          <w:rFonts w:ascii="Arial" w:hAnsi="Arial" w:cs="Arial"/>
          <w:sz w:val="22"/>
          <w:szCs w:val="22"/>
        </w:rPr>
        <w:t xml:space="preserve">in the graft may be increased </w:t>
      </w:r>
      <w:r w:rsidRPr="0026633E">
        <w:rPr>
          <w:rFonts w:ascii="Arial" w:hAnsi="Arial" w:cs="Arial"/>
          <w:sz w:val="22"/>
          <w:szCs w:val="22"/>
        </w:rPr>
        <w:t>to a maximum of 5.0 x 10</w:t>
      </w:r>
      <w:r w:rsidRPr="0026633E">
        <w:rPr>
          <w:rFonts w:ascii="Arial" w:hAnsi="Arial" w:cs="Arial"/>
          <w:sz w:val="22"/>
          <w:szCs w:val="22"/>
          <w:vertAlign w:val="superscript"/>
        </w:rPr>
        <w:t>5</w:t>
      </w:r>
      <w:r w:rsidRPr="0026633E">
        <w:rPr>
          <w:rFonts w:ascii="Arial" w:hAnsi="Arial" w:cs="Arial"/>
          <w:sz w:val="22"/>
          <w:szCs w:val="22"/>
        </w:rPr>
        <w:t xml:space="preserve"> αβ+CD3+ cells/kg to increase CD34+ content in the graft. Alternatively, the </w:t>
      </w:r>
      <w:r w:rsidR="00690B76" w:rsidRPr="0026633E">
        <w:rPr>
          <w:rFonts w:ascii="Arial" w:hAnsi="Arial" w:cs="Arial"/>
          <w:sz w:val="22"/>
          <w:szCs w:val="22"/>
        </w:rPr>
        <w:t>Cellular Therapy Lab</w:t>
      </w:r>
      <w:r w:rsidRPr="0026633E">
        <w:rPr>
          <w:rFonts w:ascii="Arial" w:hAnsi="Arial" w:cs="Arial"/>
          <w:sz w:val="22"/>
          <w:szCs w:val="22"/>
        </w:rPr>
        <w:t xml:space="preserve"> may perform a CD34</w:t>
      </w:r>
      <w:r w:rsidR="00D631F3" w:rsidRPr="0026633E">
        <w:rPr>
          <w:rFonts w:ascii="Arial" w:hAnsi="Arial" w:cs="Arial"/>
          <w:sz w:val="22"/>
          <w:szCs w:val="22"/>
        </w:rPr>
        <w:t>+</w:t>
      </w:r>
      <w:r w:rsidRPr="0026633E">
        <w:rPr>
          <w:rFonts w:ascii="Arial" w:hAnsi="Arial" w:cs="Arial"/>
          <w:sz w:val="22"/>
          <w:szCs w:val="22"/>
        </w:rPr>
        <w:t xml:space="preserve"> selection on a portion of the collection or a second collection </w:t>
      </w:r>
      <w:r w:rsidR="00D6112B" w:rsidRPr="0026633E">
        <w:rPr>
          <w:rFonts w:ascii="Arial" w:hAnsi="Arial" w:cs="Arial"/>
          <w:sz w:val="22"/>
          <w:szCs w:val="22"/>
        </w:rPr>
        <w:t>to</w:t>
      </w:r>
      <w:r w:rsidRPr="0026633E">
        <w:rPr>
          <w:rFonts w:ascii="Arial" w:hAnsi="Arial" w:cs="Arial"/>
          <w:sz w:val="22"/>
          <w:szCs w:val="22"/>
        </w:rPr>
        <w:t xml:space="preserve"> optimize the CD34+ numbers for infusion. </w:t>
      </w:r>
    </w:p>
    <w:p w14:paraId="4316C8B5" w14:textId="22AE18F1" w:rsidR="005E7418" w:rsidRPr="0026633E" w:rsidRDefault="005E7418" w:rsidP="0026633E">
      <w:pPr>
        <w:pStyle w:val="ListParagraph"/>
        <w:spacing w:line="276" w:lineRule="auto"/>
        <w:ind w:left="1095"/>
        <w:rPr>
          <w:rFonts w:ascii="Arial" w:hAnsi="Arial" w:cs="Arial"/>
          <w:sz w:val="22"/>
          <w:szCs w:val="22"/>
        </w:rPr>
      </w:pPr>
      <w:r w:rsidRPr="0026633E">
        <w:rPr>
          <w:rFonts w:ascii="Arial" w:hAnsi="Arial" w:cs="Arial"/>
          <w:sz w:val="22"/>
          <w:szCs w:val="22"/>
        </w:rPr>
        <w:t xml:space="preserve">• </w:t>
      </w:r>
      <w:r w:rsidR="004C4D8E" w:rsidRPr="0026633E">
        <w:rPr>
          <w:rFonts w:ascii="Arial" w:hAnsi="Arial" w:cs="Arial"/>
          <w:sz w:val="22"/>
          <w:szCs w:val="22"/>
        </w:rPr>
        <w:t xml:space="preserve">Rituximab will be given on Day </w:t>
      </w:r>
      <w:r w:rsidR="00D631F3" w:rsidRPr="0026633E">
        <w:rPr>
          <w:rFonts w:ascii="Arial" w:hAnsi="Arial" w:cs="Arial"/>
          <w:sz w:val="22"/>
          <w:szCs w:val="22"/>
        </w:rPr>
        <w:t>+</w:t>
      </w:r>
      <w:r w:rsidR="004C4D8E" w:rsidRPr="0026633E">
        <w:rPr>
          <w:rFonts w:ascii="Arial" w:hAnsi="Arial" w:cs="Arial"/>
          <w:sz w:val="22"/>
          <w:szCs w:val="22"/>
        </w:rPr>
        <w:t xml:space="preserve">1 </w:t>
      </w:r>
      <w:r w:rsidR="00D631F3" w:rsidRPr="0026633E">
        <w:rPr>
          <w:rFonts w:ascii="Arial" w:hAnsi="Arial" w:cs="Arial"/>
          <w:sz w:val="22"/>
          <w:szCs w:val="22"/>
        </w:rPr>
        <w:t>375</w:t>
      </w:r>
      <w:r w:rsidR="004C4D8E" w:rsidRPr="0026633E">
        <w:rPr>
          <w:rFonts w:ascii="Arial" w:hAnsi="Arial" w:cs="Arial"/>
          <w:sz w:val="22"/>
          <w:szCs w:val="22"/>
        </w:rPr>
        <w:t>mg/m</w:t>
      </w:r>
      <w:r w:rsidR="00D631F3" w:rsidRPr="0026633E">
        <w:rPr>
          <w:rFonts w:ascii="Arial" w:hAnsi="Arial" w:cs="Arial"/>
          <w:sz w:val="22"/>
          <w:szCs w:val="22"/>
          <w:vertAlign w:val="superscript"/>
        </w:rPr>
        <w:t>2</w:t>
      </w:r>
      <w:r w:rsidR="004C4D8E" w:rsidRPr="0026633E">
        <w:rPr>
          <w:rFonts w:ascii="Arial" w:hAnsi="Arial" w:cs="Arial"/>
          <w:sz w:val="22"/>
          <w:szCs w:val="22"/>
        </w:rPr>
        <w:t xml:space="preserve"> IV x 1 dose</w:t>
      </w:r>
      <w:r w:rsidR="004B40A3" w:rsidRPr="0026633E">
        <w:rPr>
          <w:rFonts w:ascii="Arial" w:hAnsi="Arial" w:cs="Arial"/>
          <w:sz w:val="22"/>
          <w:szCs w:val="22"/>
        </w:rPr>
        <w:t xml:space="preserve"> to reduce the risk of Epstein-Barr virus (EBV) related post-transplant lymphoproliferative disorder (PTLD)</w:t>
      </w:r>
      <w:r w:rsidR="004C4D8E" w:rsidRPr="0026633E">
        <w:rPr>
          <w:rFonts w:ascii="Arial" w:hAnsi="Arial" w:cs="Arial"/>
          <w:sz w:val="22"/>
          <w:szCs w:val="22"/>
        </w:rPr>
        <w:t>.</w:t>
      </w:r>
    </w:p>
    <w:p w14:paraId="780EB188" w14:textId="77777777" w:rsidR="00F03BA6" w:rsidRPr="0026633E" w:rsidRDefault="00F03BA6" w:rsidP="0026633E">
      <w:pPr>
        <w:pStyle w:val="ListParagraph"/>
        <w:spacing w:line="276" w:lineRule="auto"/>
        <w:ind w:left="1095"/>
        <w:rPr>
          <w:rFonts w:ascii="Arial" w:hAnsi="Arial" w:cs="Arial"/>
          <w:sz w:val="22"/>
          <w:szCs w:val="22"/>
        </w:rPr>
      </w:pPr>
    </w:p>
    <w:p w14:paraId="18E2A0B7" w14:textId="24D64E56" w:rsidR="003A3FE7" w:rsidRPr="0026633E" w:rsidRDefault="005E7418" w:rsidP="0026633E">
      <w:pPr>
        <w:pStyle w:val="ListParagraph"/>
        <w:spacing w:line="276" w:lineRule="auto"/>
        <w:ind w:left="1095"/>
        <w:rPr>
          <w:rFonts w:ascii="Arial" w:hAnsi="Arial" w:cs="Arial"/>
          <w:sz w:val="22"/>
          <w:szCs w:val="22"/>
        </w:rPr>
      </w:pPr>
      <w:r w:rsidRPr="00AF5ED5">
        <w:rPr>
          <w:rFonts w:ascii="Arial" w:hAnsi="Arial" w:cs="Arial"/>
          <w:i/>
          <w:iCs/>
          <w:sz w:val="22"/>
          <w:szCs w:val="22"/>
          <w:u w:val="single"/>
        </w:rPr>
        <w:t>Optional CD34+ selection to boost CD34+ dose</w:t>
      </w:r>
      <w:r w:rsidR="005F144B" w:rsidRPr="00AF5ED5">
        <w:rPr>
          <w:rFonts w:ascii="Arial" w:hAnsi="Arial" w:cs="Arial"/>
          <w:i/>
          <w:iCs/>
          <w:sz w:val="22"/>
          <w:szCs w:val="22"/>
          <w:u w:val="single"/>
        </w:rPr>
        <w:t>:</w:t>
      </w:r>
      <w:r w:rsidRPr="0026633E">
        <w:rPr>
          <w:rFonts w:ascii="Arial" w:hAnsi="Arial" w:cs="Arial"/>
          <w:b/>
          <w:bCs/>
          <w:sz w:val="22"/>
          <w:szCs w:val="22"/>
        </w:rPr>
        <w:t xml:space="preserve"> </w:t>
      </w:r>
      <w:r w:rsidRPr="0026633E">
        <w:rPr>
          <w:rFonts w:ascii="Arial" w:hAnsi="Arial" w:cs="Arial"/>
          <w:sz w:val="22"/>
          <w:szCs w:val="22"/>
        </w:rPr>
        <w:t>If at the end of the negative depletion procedure, the residual number of αβ T cells would be greater than 1x10</w:t>
      </w:r>
      <w:r w:rsidRPr="0026633E">
        <w:rPr>
          <w:rFonts w:ascii="Arial" w:hAnsi="Arial" w:cs="Arial"/>
          <w:sz w:val="22"/>
          <w:szCs w:val="22"/>
          <w:vertAlign w:val="superscript"/>
        </w:rPr>
        <w:t>5</w:t>
      </w:r>
      <w:r w:rsidRPr="0026633E">
        <w:rPr>
          <w:rFonts w:ascii="Arial" w:hAnsi="Arial" w:cs="Arial"/>
          <w:sz w:val="22"/>
          <w:szCs w:val="22"/>
        </w:rPr>
        <w:t>/kg recipient weight, a residual part of the selected graft may undergo further CD34</w:t>
      </w:r>
      <w:r w:rsidR="00B75809" w:rsidRPr="0026633E">
        <w:rPr>
          <w:rFonts w:ascii="Arial" w:hAnsi="Arial" w:cs="Arial"/>
          <w:sz w:val="22"/>
          <w:szCs w:val="22"/>
        </w:rPr>
        <w:t>+</w:t>
      </w:r>
      <w:r w:rsidRPr="0026633E">
        <w:rPr>
          <w:rFonts w:ascii="Arial" w:hAnsi="Arial" w:cs="Arial"/>
          <w:sz w:val="22"/>
          <w:szCs w:val="22"/>
        </w:rPr>
        <w:t xml:space="preserve"> selection and both allograft products returned to the subject. Alternatively, a saved portion of the first collection or a second leukapheresis collection may be selected for CD34</w:t>
      </w:r>
      <w:r w:rsidR="00B75809" w:rsidRPr="0026633E">
        <w:rPr>
          <w:rFonts w:ascii="Arial" w:hAnsi="Arial" w:cs="Arial"/>
          <w:sz w:val="22"/>
          <w:szCs w:val="22"/>
        </w:rPr>
        <w:t>+</w:t>
      </w:r>
      <w:r w:rsidRPr="0026633E">
        <w:rPr>
          <w:rFonts w:ascii="Arial" w:hAnsi="Arial" w:cs="Arial"/>
          <w:sz w:val="22"/>
          <w:szCs w:val="22"/>
        </w:rPr>
        <w:t xml:space="preserve"> after the target residual αβ-T cells has been reached. CD34+ selection will be performed following the standardized protocol in the User’s Manual for the CliniMACS (Miltenyi Biotech), operating under the </w:t>
      </w:r>
      <w:r w:rsidR="00690B76" w:rsidRPr="0026633E">
        <w:rPr>
          <w:rFonts w:ascii="Arial" w:hAnsi="Arial" w:cs="Arial"/>
          <w:sz w:val="22"/>
          <w:szCs w:val="22"/>
        </w:rPr>
        <w:t>Cellular Therapy Lab</w:t>
      </w:r>
      <w:r w:rsidRPr="0026633E">
        <w:rPr>
          <w:rFonts w:ascii="Arial" w:hAnsi="Arial" w:cs="Arial"/>
          <w:sz w:val="22"/>
          <w:szCs w:val="22"/>
        </w:rPr>
        <w:t xml:space="preserve">’s standard operating laboratory procedures. The total graft will consist of one or two sequential </w:t>
      </w:r>
      <w:r w:rsidR="00B75809" w:rsidRPr="0026633E">
        <w:rPr>
          <w:rFonts w:ascii="Arial" w:hAnsi="Arial" w:cs="Arial"/>
          <w:sz w:val="22"/>
          <w:szCs w:val="22"/>
        </w:rPr>
        <w:t xml:space="preserve">αβ+ T Cell/CD19+ B cell </w:t>
      </w:r>
      <w:r w:rsidRPr="0026633E">
        <w:rPr>
          <w:rFonts w:ascii="Arial" w:hAnsi="Arial" w:cs="Arial"/>
          <w:sz w:val="22"/>
          <w:szCs w:val="22"/>
        </w:rPr>
        <w:t>depleted HPC-A cell infusions</w:t>
      </w:r>
      <w:r w:rsidR="00690B76" w:rsidRPr="0026633E">
        <w:rPr>
          <w:rFonts w:ascii="Arial" w:hAnsi="Arial" w:cs="Arial"/>
          <w:sz w:val="22"/>
          <w:szCs w:val="22"/>
        </w:rPr>
        <w:t>,</w:t>
      </w:r>
      <w:r w:rsidRPr="0026633E">
        <w:rPr>
          <w:rFonts w:ascii="Arial" w:hAnsi="Arial" w:cs="Arial"/>
          <w:sz w:val="22"/>
          <w:szCs w:val="22"/>
        </w:rPr>
        <w:t xml:space="preserve"> plus </w:t>
      </w:r>
      <w:r w:rsidR="00690B76" w:rsidRPr="0026633E">
        <w:rPr>
          <w:rFonts w:ascii="Arial" w:hAnsi="Arial" w:cs="Arial"/>
          <w:sz w:val="22"/>
          <w:szCs w:val="22"/>
        </w:rPr>
        <w:t xml:space="preserve">additional </w:t>
      </w:r>
      <w:r w:rsidRPr="0026633E">
        <w:rPr>
          <w:rFonts w:ascii="Arial" w:hAnsi="Arial" w:cs="Arial"/>
          <w:sz w:val="22"/>
          <w:szCs w:val="22"/>
        </w:rPr>
        <w:t>CD34+ selected cells</w:t>
      </w:r>
      <w:r w:rsidR="00690B76" w:rsidRPr="0026633E">
        <w:rPr>
          <w:rFonts w:ascii="Arial" w:hAnsi="Arial" w:cs="Arial"/>
          <w:sz w:val="22"/>
          <w:szCs w:val="22"/>
        </w:rPr>
        <w:t xml:space="preserve"> if necessary</w:t>
      </w:r>
      <w:r w:rsidRPr="0026633E">
        <w:rPr>
          <w:rFonts w:ascii="Arial" w:hAnsi="Arial" w:cs="Arial"/>
          <w:sz w:val="22"/>
          <w:szCs w:val="22"/>
        </w:rPr>
        <w:t xml:space="preserve"> to increase the CD34+ dose.</w:t>
      </w:r>
    </w:p>
    <w:p w14:paraId="3D708332" w14:textId="77777777" w:rsidR="005E7418" w:rsidRPr="0026633E" w:rsidRDefault="005E7418" w:rsidP="0026633E">
      <w:pPr>
        <w:pStyle w:val="ListParagraph"/>
        <w:spacing w:line="276" w:lineRule="auto"/>
        <w:ind w:left="1095"/>
        <w:rPr>
          <w:rFonts w:ascii="Arial" w:hAnsi="Arial" w:cs="Arial"/>
          <w:sz w:val="22"/>
          <w:szCs w:val="22"/>
        </w:rPr>
      </w:pPr>
    </w:p>
    <w:p w14:paraId="56CA2FB4" w14:textId="3C3988DA" w:rsidR="005F144B" w:rsidRDefault="00B82723" w:rsidP="0026633E">
      <w:pPr>
        <w:pStyle w:val="ListParagraph"/>
        <w:spacing w:line="276" w:lineRule="auto"/>
        <w:ind w:left="1095"/>
        <w:rPr>
          <w:rFonts w:ascii="Arial" w:hAnsi="Arial" w:cs="Arial"/>
          <w:sz w:val="22"/>
          <w:szCs w:val="22"/>
          <w:u w:val="single"/>
        </w:rPr>
      </w:pPr>
      <w:r w:rsidRPr="0026633E">
        <w:rPr>
          <w:rFonts w:ascii="Arial" w:hAnsi="Arial" w:cs="Arial"/>
          <w:sz w:val="22"/>
          <w:szCs w:val="22"/>
        </w:rPr>
        <w:t>T</w:t>
      </w:r>
      <w:r w:rsidR="005E7418" w:rsidRPr="0026633E">
        <w:rPr>
          <w:rFonts w:ascii="Arial" w:hAnsi="Arial" w:cs="Arial"/>
          <w:sz w:val="22"/>
          <w:szCs w:val="22"/>
        </w:rPr>
        <w:t xml:space="preserve">he final </w:t>
      </w:r>
      <w:r w:rsidR="00B75809" w:rsidRPr="0026633E">
        <w:rPr>
          <w:rFonts w:ascii="Arial" w:hAnsi="Arial" w:cs="Arial"/>
          <w:sz w:val="22"/>
          <w:szCs w:val="22"/>
        </w:rPr>
        <w:t xml:space="preserve">αβ+ T Cell/CD19+ B cell </w:t>
      </w:r>
      <w:r w:rsidR="005E7418" w:rsidRPr="0026633E">
        <w:rPr>
          <w:rFonts w:ascii="Arial" w:hAnsi="Arial" w:cs="Arial"/>
          <w:sz w:val="22"/>
          <w:szCs w:val="22"/>
        </w:rPr>
        <w:t>depleted</w:t>
      </w:r>
      <w:r w:rsidR="00EE1905" w:rsidRPr="0026633E">
        <w:rPr>
          <w:rFonts w:ascii="Arial" w:hAnsi="Arial" w:cs="Arial"/>
          <w:sz w:val="22"/>
          <w:szCs w:val="22"/>
        </w:rPr>
        <w:t xml:space="preserve"> </w:t>
      </w:r>
      <w:r w:rsidR="00B75809" w:rsidRPr="0026633E">
        <w:rPr>
          <w:rFonts w:ascii="Arial" w:hAnsi="Arial" w:cs="Arial"/>
          <w:sz w:val="22"/>
          <w:szCs w:val="22"/>
        </w:rPr>
        <w:t>fresh</w:t>
      </w:r>
      <w:r w:rsidR="005F144B" w:rsidRPr="0026633E">
        <w:rPr>
          <w:rFonts w:ascii="Arial" w:hAnsi="Arial" w:cs="Arial"/>
          <w:sz w:val="22"/>
          <w:szCs w:val="22"/>
        </w:rPr>
        <w:t xml:space="preserve"> product</w:t>
      </w:r>
      <w:r w:rsidR="00B75809" w:rsidRPr="0026633E">
        <w:rPr>
          <w:rFonts w:ascii="Arial" w:hAnsi="Arial" w:cs="Arial"/>
          <w:sz w:val="22"/>
          <w:szCs w:val="22"/>
        </w:rPr>
        <w:t xml:space="preserve"> (or </w:t>
      </w:r>
      <w:r w:rsidR="00EE1905" w:rsidRPr="0026633E">
        <w:rPr>
          <w:rFonts w:ascii="Arial" w:hAnsi="Arial" w:cs="Arial"/>
          <w:sz w:val="22"/>
          <w:szCs w:val="22"/>
        </w:rPr>
        <w:t>cryopreserved</w:t>
      </w:r>
      <w:r w:rsidR="00B75809" w:rsidRPr="0026633E">
        <w:rPr>
          <w:rFonts w:ascii="Arial" w:hAnsi="Arial" w:cs="Arial"/>
          <w:sz w:val="22"/>
          <w:szCs w:val="22"/>
        </w:rPr>
        <w:t>)</w:t>
      </w:r>
      <w:r w:rsidR="005E7418" w:rsidRPr="0026633E">
        <w:rPr>
          <w:rFonts w:ascii="Arial" w:hAnsi="Arial" w:cs="Arial"/>
          <w:sz w:val="22"/>
          <w:szCs w:val="22"/>
        </w:rPr>
        <w:t xml:space="preserve"> will be </w:t>
      </w:r>
      <w:r w:rsidRPr="0026633E">
        <w:rPr>
          <w:rFonts w:ascii="Arial" w:hAnsi="Arial" w:cs="Arial"/>
          <w:sz w:val="22"/>
          <w:szCs w:val="22"/>
        </w:rPr>
        <w:t>infus</w:t>
      </w:r>
      <w:r w:rsidR="005E7418" w:rsidRPr="0026633E">
        <w:rPr>
          <w:rFonts w:ascii="Arial" w:hAnsi="Arial" w:cs="Arial"/>
          <w:sz w:val="22"/>
          <w:szCs w:val="22"/>
        </w:rPr>
        <w:t>ed intravenously</w:t>
      </w:r>
      <w:r w:rsidRPr="0026633E">
        <w:rPr>
          <w:rFonts w:ascii="Arial" w:hAnsi="Arial" w:cs="Arial"/>
          <w:sz w:val="22"/>
          <w:szCs w:val="22"/>
        </w:rPr>
        <w:t xml:space="preserve"> </w:t>
      </w:r>
      <w:r w:rsidR="005E7418" w:rsidRPr="0026633E">
        <w:rPr>
          <w:rFonts w:ascii="Arial" w:hAnsi="Arial" w:cs="Arial"/>
          <w:sz w:val="22"/>
          <w:szCs w:val="22"/>
        </w:rPr>
        <w:t xml:space="preserve">according to institutional </w:t>
      </w:r>
      <w:r w:rsidR="00AF5ED5" w:rsidRPr="0026633E">
        <w:rPr>
          <w:rFonts w:ascii="Arial" w:hAnsi="Arial" w:cs="Arial"/>
          <w:sz w:val="22"/>
          <w:szCs w:val="22"/>
        </w:rPr>
        <w:t>standards. Due</w:t>
      </w:r>
      <w:r w:rsidR="005F144B" w:rsidRPr="0026633E">
        <w:rPr>
          <w:rFonts w:ascii="Arial" w:hAnsi="Arial" w:cs="Arial"/>
          <w:sz w:val="22"/>
          <w:szCs w:val="22"/>
        </w:rPr>
        <w:t xml:space="preserve"> to αβ+ T Cell/CD19+ B cell depletion of donor stem cell product pharmacologic GvHD prophylaxis will not be needed following stem cell infusion in the absence of prior GvHD symptoms. </w:t>
      </w:r>
      <w:r w:rsidR="005F144B" w:rsidRPr="0026633E">
        <w:rPr>
          <w:rFonts w:ascii="Arial" w:hAnsi="Arial" w:cs="Arial"/>
          <w:sz w:val="22"/>
          <w:szCs w:val="22"/>
        </w:rPr>
        <w:lastRenderedPageBreak/>
        <w:t>Prevention of graft failure will include agents such as Tacrolimus or Sirolimus to prevent graft rejection and will be left to the attending transplant physician’s discretion based on individual patient risks/factors and will not be a violation of the protocol. All transplant-related care of the recipient including pre-transplant evaluations, conditioning, supportive care, and post-transplant evaluations will be performed as per our institutional standard of care.</w:t>
      </w:r>
      <w:r w:rsidR="005F144B" w:rsidRPr="0026633E">
        <w:rPr>
          <w:rFonts w:ascii="Arial" w:hAnsi="Arial" w:cs="Arial"/>
          <w:sz w:val="22"/>
          <w:szCs w:val="22"/>
          <w:u w:val="single"/>
        </w:rPr>
        <w:t xml:space="preserve"> The stem cell processing and infusion of the donor cells are considered the study-related procedure and experimental.</w:t>
      </w:r>
    </w:p>
    <w:p w14:paraId="3B45232C" w14:textId="77777777" w:rsidR="00AF5ED5" w:rsidRPr="0026633E" w:rsidRDefault="00AF5ED5" w:rsidP="0026633E">
      <w:pPr>
        <w:pStyle w:val="ListParagraph"/>
        <w:spacing w:line="276" w:lineRule="auto"/>
        <w:ind w:left="1095"/>
        <w:rPr>
          <w:rFonts w:ascii="Arial" w:hAnsi="Arial" w:cs="Arial"/>
          <w:sz w:val="22"/>
          <w:szCs w:val="22"/>
          <w:u w:val="single"/>
        </w:rPr>
      </w:pPr>
    </w:p>
    <w:p w14:paraId="2AB81CCB" w14:textId="13A3E70D" w:rsidR="003A3FE7" w:rsidRPr="0026633E" w:rsidRDefault="003A3FE7" w:rsidP="0026633E">
      <w:pPr>
        <w:pStyle w:val="ListParagraph"/>
        <w:numPr>
          <w:ilvl w:val="1"/>
          <w:numId w:val="1"/>
        </w:numPr>
        <w:spacing w:line="276" w:lineRule="auto"/>
        <w:rPr>
          <w:rFonts w:ascii="Arial" w:hAnsi="Arial" w:cs="Arial"/>
          <w:sz w:val="22"/>
          <w:szCs w:val="22"/>
        </w:rPr>
      </w:pPr>
      <w:r w:rsidRPr="0026633E">
        <w:rPr>
          <w:rFonts w:ascii="Arial" w:hAnsi="Arial" w:cs="Arial"/>
          <w:b/>
          <w:bCs/>
          <w:sz w:val="22"/>
          <w:szCs w:val="22"/>
        </w:rPr>
        <w:t>Cryopreservation Process</w:t>
      </w:r>
      <w:r w:rsidR="0026633E" w:rsidRPr="0026633E">
        <w:rPr>
          <w:rFonts w:ascii="Arial" w:hAnsi="Arial" w:cs="Arial"/>
          <w:b/>
          <w:bCs/>
          <w:sz w:val="22"/>
          <w:szCs w:val="22"/>
        </w:rPr>
        <w:t xml:space="preserve"> (if needed)</w:t>
      </w:r>
    </w:p>
    <w:p w14:paraId="2F4C0C70" w14:textId="77777777" w:rsidR="005F144B" w:rsidRPr="0026633E" w:rsidRDefault="003A3FE7" w:rsidP="0026633E">
      <w:pPr>
        <w:pStyle w:val="ListParagraph"/>
        <w:spacing w:line="276" w:lineRule="auto"/>
        <w:ind w:left="1095"/>
        <w:rPr>
          <w:rFonts w:ascii="Arial" w:hAnsi="Arial" w:cs="Arial"/>
          <w:sz w:val="22"/>
          <w:szCs w:val="22"/>
        </w:rPr>
      </w:pPr>
      <w:r w:rsidRPr="0026633E">
        <w:rPr>
          <w:rFonts w:ascii="Arial" w:hAnsi="Arial" w:cs="Arial"/>
          <w:sz w:val="22"/>
          <w:szCs w:val="22"/>
        </w:rPr>
        <w:t xml:space="preserve">Cryopreservation will be performed per our </w:t>
      </w:r>
      <w:r w:rsidR="0062742B" w:rsidRPr="0026633E">
        <w:rPr>
          <w:rFonts w:ascii="Arial" w:hAnsi="Arial" w:cs="Arial"/>
          <w:sz w:val="22"/>
          <w:szCs w:val="22"/>
        </w:rPr>
        <w:t>institutional</w:t>
      </w:r>
      <w:r w:rsidRPr="0026633E">
        <w:rPr>
          <w:rFonts w:ascii="Arial" w:hAnsi="Arial" w:cs="Arial"/>
          <w:sz w:val="22"/>
          <w:szCs w:val="22"/>
        </w:rPr>
        <w:t xml:space="preserve"> standards of care.</w:t>
      </w:r>
      <w:r w:rsidR="005F144B" w:rsidRPr="0026633E">
        <w:rPr>
          <w:rFonts w:ascii="Arial" w:hAnsi="Arial" w:cs="Arial"/>
          <w:sz w:val="22"/>
          <w:szCs w:val="22"/>
        </w:rPr>
        <w:t xml:space="preserve"> </w:t>
      </w:r>
      <w:r w:rsidR="00A72264" w:rsidRPr="0026633E">
        <w:rPr>
          <w:rFonts w:ascii="Arial" w:hAnsi="Arial" w:cs="Arial"/>
          <w:sz w:val="22"/>
          <w:szCs w:val="22"/>
        </w:rPr>
        <w:t>HCP products are cryopreserved using 10% DMSO plus 5% HSA.  After addition of the cryopreservation solution the bags are labeled per ISBT standards and placed in a controlled rate freezer.  The controlled rate freezer reduces the temperature of the cells slowly to minimize any damage to the cells. The cell bags reach -90 degrees C at which they are held for 15 minutes, they are then transferred to liquid nitrogen vapor phase storage freezers.  The LN2 storage freezers are kept &lt;=-150 degrees C. Please reference CMC for more details on cryopreservation process.</w:t>
      </w:r>
      <w:r w:rsidR="005F144B" w:rsidRPr="0026633E">
        <w:rPr>
          <w:rFonts w:ascii="Arial" w:hAnsi="Arial" w:cs="Arial"/>
          <w:sz w:val="22"/>
          <w:szCs w:val="22"/>
        </w:rPr>
        <w:t xml:space="preserve"> </w:t>
      </w:r>
    </w:p>
    <w:p w14:paraId="0DD8D110" w14:textId="77777777" w:rsidR="005F144B" w:rsidRPr="0026633E" w:rsidRDefault="005F144B" w:rsidP="0026633E">
      <w:pPr>
        <w:pStyle w:val="ListParagraph"/>
        <w:spacing w:line="276" w:lineRule="auto"/>
        <w:ind w:left="1095"/>
        <w:rPr>
          <w:rFonts w:ascii="Arial" w:hAnsi="Arial" w:cs="Arial"/>
          <w:sz w:val="22"/>
          <w:szCs w:val="22"/>
        </w:rPr>
      </w:pPr>
    </w:p>
    <w:p w14:paraId="269EAC13" w14:textId="65D04342" w:rsidR="00A72264" w:rsidRPr="0026633E" w:rsidRDefault="00513660" w:rsidP="0026633E">
      <w:pPr>
        <w:pStyle w:val="ListParagraph"/>
        <w:spacing w:line="276" w:lineRule="auto"/>
        <w:ind w:left="1095"/>
        <w:rPr>
          <w:rFonts w:ascii="Arial" w:hAnsi="Arial" w:cs="Arial"/>
          <w:sz w:val="22"/>
          <w:szCs w:val="22"/>
        </w:rPr>
      </w:pPr>
      <w:r w:rsidRPr="0026633E">
        <w:rPr>
          <w:rFonts w:ascii="Arial" w:hAnsi="Arial" w:cs="Arial"/>
          <w:sz w:val="22"/>
          <w:szCs w:val="22"/>
        </w:rPr>
        <w:t>Cryopreservation of hematopoietic stem cells is a common procedure in our cellular therapy lab.</w:t>
      </w:r>
      <w:r w:rsidR="0062742B" w:rsidRPr="0026633E">
        <w:rPr>
          <w:rFonts w:ascii="Arial" w:hAnsi="Arial" w:cs="Arial"/>
          <w:sz w:val="22"/>
          <w:szCs w:val="22"/>
        </w:rPr>
        <w:t xml:space="preserve"> Stability testing is performed on HPC products every year and has consistently shown great recovery from the cryopreserved products. Appendix B shows our institution’s 2022 data with great viability recovery.</w:t>
      </w:r>
      <w:r w:rsidRPr="0026633E">
        <w:rPr>
          <w:rFonts w:ascii="Arial" w:hAnsi="Arial" w:cs="Arial"/>
          <w:sz w:val="22"/>
          <w:szCs w:val="22"/>
        </w:rPr>
        <w:t xml:space="preserve"> The length of time of cryopreservation</w:t>
      </w:r>
      <w:r w:rsidR="00A72264" w:rsidRPr="0026633E">
        <w:rPr>
          <w:rFonts w:ascii="Arial" w:hAnsi="Arial" w:cs="Arial"/>
          <w:sz w:val="22"/>
          <w:szCs w:val="22"/>
        </w:rPr>
        <w:t xml:space="preserve"> for this patient</w:t>
      </w:r>
      <w:r w:rsidRPr="0026633E">
        <w:rPr>
          <w:rFonts w:ascii="Arial" w:hAnsi="Arial" w:cs="Arial"/>
          <w:sz w:val="22"/>
          <w:szCs w:val="22"/>
        </w:rPr>
        <w:t xml:space="preserve"> is quite short and should not cause a significant decrease in viability or decrease engraftment. At our institution, there has been successful engraftment of clinically collected and thawed PBSC following cryopreservation up to 18 years in mice, which signifies likely successful clinical transplantation following long-term cryopreservation (</w:t>
      </w:r>
      <w:r w:rsidR="0026633E" w:rsidRPr="0026633E">
        <w:rPr>
          <w:rFonts w:ascii="Arial" w:hAnsi="Arial" w:cs="Arial"/>
          <w:sz w:val="22"/>
          <w:szCs w:val="22"/>
        </w:rPr>
        <w:t>8</w:t>
      </w:r>
      <w:r w:rsidRPr="0026633E">
        <w:rPr>
          <w:rFonts w:ascii="Arial" w:hAnsi="Arial" w:cs="Arial"/>
          <w:sz w:val="22"/>
          <w:szCs w:val="22"/>
        </w:rPr>
        <w:t xml:space="preserve">). </w:t>
      </w:r>
    </w:p>
    <w:p w14:paraId="6CA29B9D" w14:textId="77777777" w:rsidR="00A72264" w:rsidRPr="00D6112B" w:rsidRDefault="00A72264" w:rsidP="0026633E">
      <w:pPr>
        <w:pStyle w:val="ListParagraph"/>
        <w:spacing w:line="276" w:lineRule="auto"/>
        <w:ind w:left="1095"/>
        <w:rPr>
          <w:rFonts w:ascii="Arial" w:hAnsi="Arial" w:cs="Arial"/>
          <w:sz w:val="22"/>
          <w:szCs w:val="22"/>
        </w:rPr>
      </w:pPr>
    </w:p>
    <w:p w14:paraId="6C47DCD6" w14:textId="64F03D84" w:rsidR="00275188" w:rsidRPr="00D6112B" w:rsidRDefault="00513660" w:rsidP="0026633E">
      <w:pPr>
        <w:pStyle w:val="ListParagraph"/>
        <w:spacing w:line="276" w:lineRule="auto"/>
        <w:ind w:left="1095"/>
        <w:rPr>
          <w:rFonts w:ascii="Arial" w:hAnsi="Arial" w:cs="Arial"/>
          <w:sz w:val="22"/>
          <w:szCs w:val="22"/>
        </w:rPr>
      </w:pPr>
      <w:r w:rsidRPr="00D6112B">
        <w:rPr>
          <w:rFonts w:ascii="Arial" w:hAnsi="Arial" w:cs="Arial"/>
          <w:sz w:val="22"/>
          <w:szCs w:val="22"/>
        </w:rPr>
        <w:t xml:space="preserve">Our institution has </w:t>
      </w:r>
      <w:r w:rsidR="00A72264" w:rsidRPr="00D6112B">
        <w:rPr>
          <w:rFonts w:ascii="Arial" w:hAnsi="Arial" w:cs="Arial"/>
          <w:sz w:val="22"/>
          <w:szCs w:val="22"/>
        </w:rPr>
        <w:t xml:space="preserve">recently </w:t>
      </w:r>
      <w:r w:rsidRPr="00D6112B">
        <w:rPr>
          <w:rFonts w:ascii="Arial" w:hAnsi="Arial" w:cs="Arial"/>
          <w:sz w:val="22"/>
          <w:szCs w:val="22"/>
        </w:rPr>
        <w:t>performed cryopreservation on CD34</w:t>
      </w:r>
      <w:r w:rsidR="0026633E" w:rsidRPr="00D6112B">
        <w:rPr>
          <w:rFonts w:ascii="Arial" w:hAnsi="Arial" w:cs="Arial"/>
          <w:sz w:val="22"/>
          <w:szCs w:val="22"/>
        </w:rPr>
        <w:t>+</w:t>
      </w:r>
      <w:r w:rsidRPr="00D6112B">
        <w:rPr>
          <w:rFonts w:ascii="Arial" w:hAnsi="Arial" w:cs="Arial"/>
          <w:sz w:val="22"/>
          <w:szCs w:val="22"/>
        </w:rPr>
        <w:t xml:space="preserve"> selected graft</w:t>
      </w:r>
      <w:r w:rsidR="00A72264" w:rsidRPr="00D6112B">
        <w:rPr>
          <w:rFonts w:ascii="Arial" w:hAnsi="Arial" w:cs="Arial"/>
          <w:sz w:val="22"/>
          <w:szCs w:val="22"/>
        </w:rPr>
        <w:t xml:space="preserve">s </w:t>
      </w:r>
      <w:r w:rsidRPr="00D6112B">
        <w:rPr>
          <w:rFonts w:ascii="Arial" w:hAnsi="Arial" w:cs="Arial"/>
          <w:sz w:val="22"/>
          <w:szCs w:val="22"/>
        </w:rPr>
        <w:t>with great success</w:t>
      </w:r>
      <w:r w:rsidR="00A72264" w:rsidRPr="00D6112B">
        <w:rPr>
          <w:rFonts w:ascii="Arial" w:hAnsi="Arial" w:cs="Arial"/>
          <w:sz w:val="22"/>
          <w:szCs w:val="22"/>
        </w:rPr>
        <w:t>, see Appendix C for more details. On the one with a post thaw viability available, there was</w:t>
      </w:r>
      <w:r w:rsidRPr="00D6112B">
        <w:rPr>
          <w:rFonts w:ascii="Arial" w:hAnsi="Arial" w:cs="Arial"/>
          <w:sz w:val="22"/>
          <w:szCs w:val="22"/>
        </w:rPr>
        <w:t xml:space="preserve"> </w:t>
      </w:r>
      <w:r w:rsidR="00A72264" w:rsidRPr="00D6112B">
        <w:rPr>
          <w:rFonts w:ascii="Arial" w:hAnsi="Arial" w:cs="Arial"/>
          <w:sz w:val="22"/>
          <w:szCs w:val="22"/>
        </w:rPr>
        <w:t>a</w:t>
      </w:r>
      <w:r w:rsidRPr="00D6112B">
        <w:rPr>
          <w:rFonts w:ascii="Arial" w:hAnsi="Arial" w:cs="Arial"/>
          <w:sz w:val="22"/>
          <w:szCs w:val="22"/>
        </w:rPr>
        <w:t xml:space="preserve"> post thaw viability was 72%. Our CD34</w:t>
      </w:r>
      <w:r w:rsidR="0026633E" w:rsidRPr="00D6112B">
        <w:rPr>
          <w:rFonts w:ascii="Arial" w:hAnsi="Arial" w:cs="Arial"/>
          <w:sz w:val="22"/>
          <w:szCs w:val="22"/>
        </w:rPr>
        <w:t>+</w:t>
      </w:r>
      <w:r w:rsidRPr="00D6112B">
        <w:rPr>
          <w:rFonts w:ascii="Arial" w:hAnsi="Arial" w:cs="Arial"/>
          <w:sz w:val="22"/>
          <w:szCs w:val="22"/>
        </w:rPr>
        <w:t xml:space="preserve"> collection dose will be robust and </w:t>
      </w:r>
      <w:r w:rsidR="0062742B" w:rsidRPr="00D6112B">
        <w:rPr>
          <w:rFonts w:ascii="Arial" w:hAnsi="Arial" w:cs="Arial"/>
          <w:sz w:val="22"/>
          <w:szCs w:val="22"/>
        </w:rPr>
        <w:t xml:space="preserve">should still be </w:t>
      </w:r>
      <w:r w:rsidR="00B82723" w:rsidRPr="00D6112B">
        <w:rPr>
          <w:rFonts w:ascii="Arial" w:hAnsi="Arial" w:cs="Arial"/>
          <w:sz w:val="22"/>
          <w:szCs w:val="22"/>
        </w:rPr>
        <w:t xml:space="preserve">well </w:t>
      </w:r>
      <w:r w:rsidR="0062742B" w:rsidRPr="00D6112B">
        <w:rPr>
          <w:rFonts w:ascii="Arial" w:hAnsi="Arial" w:cs="Arial"/>
          <w:sz w:val="22"/>
          <w:szCs w:val="22"/>
        </w:rPr>
        <w:t>within the accepted CD34</w:t>
      </w:r>
      <w:r w:rsidR="0026633E" w:rsidRPr="00D6112B">
        <w:rPr>
          <w:rFonts w:ascii="Arial" w:hAnsi="Arial" w:cs="Arial"/>
          <w:sz w:val="22"/>
          <w:szCs w:val="22"/>
        </w:rPr>
        <w:t>+</w:t>
      </w:r>
      <w:r w:rsidR="0062742B" w:rsidRPr="00D6112B">
        <w:rPr>
          <w:rFonts w:ascii="Arial" w:hAnsi="Arial" w:cs="Arial"/>
          <w:sz w:val="22"/>
          <w:szCs w:val="22"/>
        </w:rPr>
        <w:t xml:space="preserve"> dose</w:t>
      </w:r>
      <w:r w:rsidR="00A72264" w:rsidRPr="00D6112B">
        <w:rPr>
          <w:rFonts w:ascii="Arial" w:hAnsi="Arial" w:cs="Arial"/>
          <w:sz w:val="22"/>
          <w:szCs w:val="22"/>
        </w:rPr>
        <w:t xml:space="preserve"> for the patient</w:t>
      </w:r>
      <w:r w:rsidR="0062742B" w:rsidRPr="00D6112B">
        <w:rPr>
          <w:rFonts w:ascii="Arial" w:hAnsi="Arial" w:cs="Arial"/>
          <w:sz w:val="22"/>
          <w:szCs w:val="22"/>
        </w:rPr>
        <w:t xml:space="preserve"> if </w:t>
      </w:r>
      <w:r w:rsidR="00B82723" w:rsidRPr="00D6112B">
        <w:rPr>
          <w:rFonts w:ascii="Arial" w:hAnsi="Arial" w:cs="Arial"/>
          <w:sz w:val="22"/>
          <w:szCs w:val="22"/>
        </w:rPr>
        <w:t xml:space="preserve">a </w:t>
      </w:r>
      <w:r w:rsidR="0062742B" w:rsidRPr="00D6112B">
        <w:rPr>
          <w:rFonts w:ascii="Arial" w:hAnsi="Arial" w:cs="Arial"/>
          <w:sz w:val="22"/>
          <w:szCs w:val="22"/>
        </w:rPr>
        <w:t xml:space="preserve">20-30% decrease in viability is seen. </w:t>
      </w:r>
    </w:p>
    <w:p w14:paraId="77B55AC2" w14:textId="77777777" w:rsidR="00AF5ED5" w:rsidRPr="00D6112B" w:rsidRDefault="00AF5ED5" w:rsidP="0026633E">
      <w:pPr>
        <w:pStyle w:val="ListParagraph"/>
        <w:spacing w:line="276" w:lineRule="auto"/>
        <w:ind w:left="1095"/>
        <w:rPr>
          <w:rFonts w:ascii="Arial" w:hAnsi="Arial" w:cs="Arial"/>
          <w:sz w:val="22"/>
          <w:szCs w:val="22"/>
        </w:rPr>
      </w:pPr>
    </w:p>
    <w:p w14:paraId="0932D8E0" w14:textId="7EB6C5C4" w:rsidR="0026633E" w:rsidRPr="00D6112B" w:rsidRDefault="00617425" w:rsidP="0026633E">
      <w:pPr>
        <w:pStyle w:val="ListParagraph"/>
        <w:numPr>
          <w:ilvl w:val="1"/>
          <w:numId w:val="1"/>
        </w:numPr>
        <w:spacing w:line="276" w:lineRule="auto"/>
        <w:rPr>
          <w:rFonts w:ascii="Arial" w:hAnsi="Arial" w:cs="Arial"/>
          <w:b/>
          <w:bCs/>
          <w:sz w:val="22"/>
          <w:szCs w:val="22"/>
        </w:rPr>
      </w:pPr>
      <w:r w:rsidRPr="00D6112B">
        <w:rPr>
          <w:rFonts w:ascii="Arial" w:hAnsi="Arial" w:cs="Arial"/>
          <w:b/>
          <w:bCs/>
          <w:sz w:val="22"/>
          <w:szCs w:val="22"/>
        </w:rPr>
        <w:t>Manufactur</w:t>
      </w:r>
      <w:r w:rsidR="00BA55D0" w:rsidRPr="00D6112B">
        <w:rPr>
          <w:rFonts w:ascii="Arial" w:hAnsi="Arial" w:cs="Arial"/>
          <w:b/>
          <w:bCs/>
          <w:sz w:val="22"/>
          <w:szCs w:val="22"/>
        </w:rPr>
        <w:t>ing Responsibilities</w:t>
      </w:r>
    </w:p>
    <w:p w14:paraId="148E2B50" w14:textId="77777777" w:rsidR="0026633E" w:rsidRPr="00D6112B" w:rsidRDefault="00B65D5B" w:rsidP="0026633E">
      <w:pPr>
        <w:pStyle w:val="ListParagraph"/>
        <w:spacing w:line="276" w:lineRule="auto"/>
        <w:ind w:left="1095"/>
        <w:rPr>
          <w:rFonts w:ascii="Arial" w:hAnsi="Arial" w:cs="Arial"/>
          <w:sz w:val="22"/>
          <w:szCs w:val="22"/>
        </w:rPr>
      </w:pPr>
      <w:r w:rsidRPr="00D6112B">
        <w:rPr>
          <w:rFonts w:ascii="Arial" w:hAnsi="Arial" w:cs="Arial"/>
          <w:sz w:val="22"/>
          <w:szCs w:val="22"/>
        </w:rPr>
        <w:t xml:space="preserve">The </w:t>
      </w:r>
      <w:r w:rsidR="0026633E" w:rsidRPr="00D6112B">
        <w:rPr>
          <w:rFonts w:ascii="Arial" w:hAnsi="Arial" w:cs="Arial"/>
          <w:sz w:val="22"/>
          <w:szCs w:val="22"/>
        </w:rPr>
        <w:t xml:space="preserve">αβ+ T Cell/CD19+ B cell </w:t>
      </w:r>
      <w:r w:rsidRPr="00D6112B">
        <w:rPr>
          <w:rFonts w:ascii="Arial" w:hAnsi="Arial" w:cs="Arial"/>
          <w:sz w:val="22"/>
          <w:szCs w:val="22"/>
        </w:rPr>
        <w:t xml:space="preserve">depletion will be manufactured </w:t>
      </w:r>
      <w:r w:rsidR="00690B76" w:rsidRPr="00D6112B">
        <w:rPr>
          <w:rFonts w:ascii="Arial" w:hAnsi="Arial" w:cs="Arial"/>
          <w:sz w:val="22"/>
          <w:szCs w:val="22"/>
        </w:rPr>
        <w:t>using</w:t>
      </w:r>
      <w:r w:rsidRPr="00D6112B">
        <w:rPr>
          <w:rFonts w:ascii="Arial" w:hAnsi="Arial" w:cs="Arial"/>
          <w:sz w:val="22"/>
          <w:szCs w:val="22"/>
        </w:rPr>
        <w:t xml:space="preserve"> the Miltenyi Biotec CliniMACS </w:t>
      </w:r>
      <w:r w:rsidR="00690B76" w:rsidRPr="00D6112B">
        <w:rPr>
          <w:rFonts w:ascii="Arial" w:hAnsi="Arial" w:cs="Arial"/>
          <w:sz w:val="22"/>
          <w:szCs w:val="22"/>
        </w:rPr>
        <w:t>device</w:t>
      </w:r>
      <w:r w:rsidRPr="00D6112B">
        <w:rPr>
          <w:rFonts w:ascii="Arial" w:hAnsi="Arial" w:cs="Arial"/>
          <w:sz w:val="22"/>
          <w:szCs w:val="22"/>
        </w:rPr>
        <w:t xml:space="preserve">. </w:t>
      </w:r>
    </w:p>
    <w:p w14:paraId="4CEE436A" w14:textId="77777777" w:rsidR="0026633E" w:rsidRPr="00D6112B" w:rsidRDefault="0026633E" w:rsidP="0026633E">
      <w:pPr>
        <w:pStyle w:val="ListParagraph"/>
        <w:spacing w:line="276" w:lineRule="auto"/>
        <w:ind w:left="1095"/>
        <w:rPr>
          <w:rFonts w:ascii="Arial" w:hAnsi="Arial" w:cs="Arial"/>
          <w:sz w:val="22"/>
          <w:szCs w:val="22"/>
        </w:rPr>
      </w:pPr>
    </w:p>
    <w:p w14:paraId="7EF7E51E" w14:textId="2D205875" w:rsidR="00B65D5B" w:rsidRPr="00D6112B" w:rsidRDefault="00B65D5B" w:rsidP="0026633E">
      <w:pPr>
        <w:pStyle w:val="ListParagraph"/>
        <w:spacing w:line="276" w:lineRule="auto"/>
        <w:ind w:left="1095"/>
        <w:rPr>
          <w:rFonts w:ascii="Arial" w:hAnsi="Arial" w:cs="Arial"/>
          <w:b/>
          <w:bCs/>
          <w:sz w:val="22"/>
          <w:szCs w:val="22"/>
          <w:u w:val="single"/>
        </w:rPr>
      </w:pPr>
      <w:r w:rsidRPr="00D6112B">
        <w:rPr>
          <w:rFonts w:ascii="Arial" w:hAnsi="Arial" w:cs="Arial"/>
          <w:sz w:val="22"/>
          <w:szCs w:val="22"/>
          <w:u w:val="single"/>
        </w:rPr>
        <w:t>Apheresis PBMC collections are performed at the following FACT accredit</w:t>
      </w:r>
      <w:r w:rsidR="004253DA" w:rsidRPr="00D6112B">
        <w:rPr>
          <w:rFonts w:ascii="Arial" w:hAnsi="Arial" w:cs="Arial"/>
          <w:sz w:val="22"/>
          <w:szCs w:val="22"/>
          <w:u w:val="single"/>
        </w:rPr>
        <w:t xml:space="preserve">ed </w:t>
      </w:r>
      <w:r w:rsidRPr="00D6112B">
        <w:rPr>
          <w:rFonts w:ascii="Arial" w:hAnsi="Arial" w:cs="Arial"/>
          <w:sz w:val="22"/>
          <w:szCs w:val="22"/>
          <w:u w:val="single"/>
        </w:rPr>
        <w:t>facility:</w:t>
      </w:r>
      <w:r w:rsidR="004253DA" w:rsidRPr="00D6112B">
        <w:rPr>
          <w:rFonts w:ascii="Arial" w:hAnsi="Arial" w:cs="Arial"/>
          <w:sz w:val="22"/>
          <w:szCs w:val="22"/>
          <w:u w:val="single"/>
        </w:rPr>
        <w:t xml:space="preserve"> </w:t>
      </w:r>
    </w:p>
    <w:p w14:paraId="6C1FC0D8" w14:textId="77777777" w:rsidR="004253DA" w:rsidRPr="00D6112B" w:rsidRDefault="004253DA" w:rsidP="0026633E">
      <w:pPr>
        <w:spacing w:after="0" w:line="276" w:lineRule="auto"/>
        <w:ind w:left="1080"/>
        <w:jc w:val="both"/>
        <w:rPr>
          <w:rFonts w:ascii="Arial" w:hAnsi="Arial" w:cs="Arial"/>
          <w:sz w:val="22"/>
          <w:szCs w:val="22"/>
        </w:rPr>
      </w:pPr>
      <w:r w:rsidRPr="00D6112B">
        <w:rPr>
          <w:rFonts w:ascii="Arial" w:hAnsi="Arial" w:cs="Arial"/>
          <w:sz w:val="22"/>
          <w:szCs w:val="22"/>
        </w:rPr>
        <w:t>Transfusion Medicine - Apheresis</w:t>
      </w:r>
    </w:p>
    <w:p w14:paraId="1935FFA7" w14:textId="77777777" w:rsidR="004253DA" w:rsidRPr="00D6112B" w:rsidRDefault="004253DA" w:rsidP="0026633E">
      <w:pPr>
        <w:spacing w:after="0" w:line="276" w:lineRule="auto"/>
        <w:ind w:left="1080"/>
        <w:jc w:val="both"/>
        <w:rPr>
          <w:rFonts w:ascii="Arial" w:hAnsi="Arial" w:cs="Arial"/>
          <w:sz w:val="22"/>
          <w:szCs w:val="22"/>
        </w:rPr>
      </w:pPr>
      <w:r w:rsidRPr="00D6112B">
        <w:rPr>
          <w:rFonts w:ascii="Arial" w:hAnsi="Arial" w:cs="Arial"/>
          <w:sz w:val="22"/>
          <w:szCs w:val="22"/>
        </w:rPr>
        <w:t>Indiana University Hospital</w:t>
      </w:r>
    </w:p>
    <w:p w14:paraId="479D73C6" w14:textId="77777777" w:rsidR="004253DA" w:rsidRPr="00D6112B" w:rsidRDefault="004253DA" w:rsidP="0026633E">
      <w:pPr>
        <w:spacing w:after="0" w:line="276" w:lineRule="auto"/>
        <w:ind w:left="1080"/>
        <w:jc w:val="both"/>
        <w:rPr>
          <w:rFonts w:ascii="Arial" w:hAnsi="Arial" w:cs="Arial"/>
          <w:sz w:val="22"/>
          <w:szCs w:val="22"/>
        </w:rPr>
      </w:pPr>
      <w:r w:rsidRPr="00D6112B">
        <w:rPr>
          <w:rFonts w:ascii="Arial" w:hAnsi="Arial" w:cs="Arial"/>
          <w:sz w:val="22"/>
          <w:szCs w:val="22"/>
        </w:rPr>
        <w:t>550 University Blvd</w:t>
      </w:r>
    </w:p>
    <w:p w14:paraId="7E6F3F0E" w14:textId="77777777" w:rsidR="004253DA" w:rsidRPr="00D6112B" w:rsidRDefault="004253DA" w:rsidP="0026633E">
      <w:pPr>
        <w:spacing w:after="0" w:line="276" w:lineRule="auto"/>
        <w:ind w:left="1080"/>
        <w:jc w:val="both"/>
        <w:rPr>
          <w:rFonts w:ascii="Arial" w:hAnsi="Arial" w:cs="Arial"/>
          <w:sz w:val="22"/>
          <w:szCs w:val="22"/>
        </w:rPr>
      </w:pPr>
      <w:r w:rsidRPr="00D6112B">
        <w:rPr>
          <w:rFonts w:ascii="Arial" w:hAnsi="Arial" w:cs="Arial"/>
          <w:sz w:val="22"/>
          <w:szCs w:val="22"/>
        </w:rPr>
        <w:t>Indianapolis, IN 46202</w:t>
      </w:r>
    </w:p>
    <w:p w14:paraId="0CD2EAE9" w14:textId="77777777" w:rsidR="004253DA" w:rsidRPr="00D6112B" w:rsidRDefault="004253DA" w:rsidP="0026633E">
      <w:pPr>
        <w:spacing w:after="0" w:line="276" w:lineRule="auto"/>
        <w:ind w:left="1080"/>
        <w:jc w:val="both"/>
        <w:rPr>
          <w:rFonts w:ascii="Arial" w:hAnsi="Arial" w:cs="Arial"/>
          <w:sz w:val="22"/>
          <w:szCs w:val="22"/>
        </w:rPr>
      </w:pPr>
    </w:p>
    <w:p w14:paraId="128A92A3" w14:textId="77777777" w:rsidR="004253DA" w:rsidRPr="00D6112B" w:rsidRDefault="004253DA" w:rsidP="0026633E">
      <w:pPr>
        <w:spacing w:after="0" w:line="276" w:lineRule="auto"/>
        <w:ind w:left="1080"/>
        <w:jc w:val="both"/>
        <w:rPr>
          <w:rFonts w:ascii="Arial" w:hAnsi="Arial" w:cs="Arial"/>
          <w:sz w:val="22"/>
          <w:szCs w:val="22"/>
        </w:rPr>
      </w:pPr>
      <w:r w:rsidRPr="00D6112B">
        <w:rPr>
          <w:rFonts w:ascii="Arial" w:hAnsi="Arial" w:cs="Arial"/>
          <w:b/>
          <w:bCs/>
          <w:sz w:val="22"/>
          <w:szCs w:val="22"/>
        </w:rPr>
        <w:t>Transfusion Medicine Director:</w:t>
      </w:r>
      <w:r w:rsidRPr="00D6112B">
        <w:rPr>
          <w:rFonts w:ascii="Arial" w:hAnsi="Arial" w:cs="Arial"/>
          <w:sz w:val="22"/>
          <w:szCs w:val="22"/>
        </w:rPr>
        <w:t xml:space="preserve"> Elaine Skipworth, MBA, MT(ASCP)HP</w:t>
      </w:r>
    </w:p>
    <w:p w14:paraId="69282E36" w14:textId="77777777" w:rsidR="004253DA" w:rsidRPr="00D6112B" w:rsidRDefault="004253DA" w:rsidP="0026633E">
      <w:pPr>
        <w:spacing w:after="0" w:line="276" w:lineRule="auto"/>
        <w:ind w:left="1080"/>
        <w:jc w:val="both"/>
        <w:rPr>
          <w:rFonts w:ascii="Arial" w:hAnsi="Arial" w:cs="Arial"/>
          <w:sz w:val="22"/>
          <w:szCs w:val="22"/>
        </w:rPr>
      </w:pPr>
    </w:p>
    <w:p w14:paraId="5796549B" w14:textId="50663BB2" w:rsidR="0081459C" w:rsidRPr="00D6112B" w:rsidRDefault="0081459C" w:rsidP="0026633E">
      <w:pPr>
        <w:pStyle w:val="ListParagraph"/>
        <w:spacing w:line="276" w:lineRule="auto"/>
        <w:ind w:left="1095"/>
        <w:rPr>
          <w:rFonts w:ascii="Arial" w:hAnsi="Arial" w:cs="Arial"/>
          <w:sz w:val="22"/>
          <w:szCs w:val="22"/>
          <w:u w:val="single"/>
        </w:rPr>
      </w:pPr>
      <w:r w:rsidRPr="00D6112B">
        <w:rPr>
          <w:rFonts w:ascii="Arial" w:hAnsi="Arial" w:cs="Arial"/>
          <w:sz w:val="22"/>
          <w:szCs w:val="22"/>
          <w:u w:val="single"/>
        </w:rPr>
        <w:t>Depletion of the product is performed in the IU Health Cell Therapy Laboratory, a FACT accredited facility</w:t>
      </w:r>
      <w:r w:rsidR="00D6112B">
        <w:rPr>
          <w:rFonts w:ascii="Arial" w:hAnsi="Arial" w:cs="Arial"/>
          <w:sz w:val="22"/>
          <w:szCs w:val="22"/>
          <w:u w:val="single"/>
        </w:rPr>
        <w:t>:</w:t>
      </w:r>
    </w:p>
    <w:p w14:paraId="3BAEC2BA" w14:textId="77777777" w:rsidR="0081459C" w:rsidRPr="00D6112B" w:rsidRDefault="0081459C" w:rsidP="0026633E">
      <w:pPr>
        <w:spacing w:after="0" w:line="276" w:lineRule="auto"/>
        <w:ind w:left="1080"/>
        <w:jc w:val="both"/>
        <w:rPr>
          <w:rFonts w:ascii="Arial" w:hAnsi="Arial" w:cs="Arial"/>
          <w:sz w:val="22"/>
          <w:szCs w:val="22"/>
        </w:rPr>
      </w:pPr>
      <w:r w:rsidRPr="00D6112B">
        <w:rPr>
          <w:rFonts w:ascii="Arial" w:hAnsi="Arial" w:cs="Arial"/>
          <w:sz w:val="22"/>
          <w:szCs w:val="22"/>
        </w:rPr>
        <w:t>Transfusion Medicine – Cell Therapy Laboratory</w:t>
      </w:r>
    </w:p>
    <w:p w14:paraId="3A713DC0" w14:textId="77777777" w:rsidR="0081459C" w:rsidRPr="00D6112B" w:rsidRDefault="0081459C" w:rsidP="0026633E">
      <w:pPr>
        <w:spacing w:after="0" w:line="276" w:lineRule="auto"/>
        <w:ind w:left="1080"/>
        <w:jc w:val="both"/>
        <w:rPr>
          <w:rFonts w:ascii="Arial" w:hAnsi="Arial" w:cs="Arial"/>
          <w:sz w:val="22"/>
          <w:szCs w:val="22"/>
        </w:rPr>
      </w:pPr>
      <w:r w:rsidRPr="00D6112B">
        <w:rPr>
          <w:rFonts w:ascii="Arial" w:hAnsi="Arial" w:cs="Arial"/>
          <w:sz w:val="22"/>
          <w:szCs w:val="22"/>
        </w:rPr>
        <w:t>Indiana University Hospital</w:t>
      </w:r>
    </w:p>
    <w:p w14:paraId="255AC2F9" w14:textId="77777777" w:rsidR="0081459C" w:rsidRPr="00D6112B" w:rsidRDefault="0081459C" w:rsidP="0026633E">
      <w:pPr>
        <w:spacing w:after="0" w:line="276" w:lineRule="auto"/>
        <w:ind w:left="1080"/>
        <w:jc w:val="both"/>
        <w:rPr>
          <w:rFonts w:ascii="Arial" w:hAnsi="Arial" w:cs="Arial"/>
          <w:sz w:val="22"/>
          <w:szCs w:val="22"/>
        </w:rPr>
      </w:pPr>
      <w:r w:rsidRPr="00D6112B">
        <w:rPr>
          <w:rFonts w:ascii="Arial" w:hAnsi="Arial" w:cs="Arial"/>
          <w:sz w:val="22"/>
          <w:szCs w:val="22"/>
        </w:rPr>
        <w:t>550 University Blvd</w:t>
      </w:r>
    </w:p>
    <w:p w14:paraId="25F6843B" w14:textId="77777777" w:rsidR="0081459C" w:rsidRPr="00D6112B" w:rsidRDefault="0081459C" w:rsidP="0026633E">
      <w:pPr>
        <w:spacing w:after="0" w:line="276" w:lineRule="auto"/>
        <w:ind w:left="1080"/>
        <w:jc w:val="both"/>
        <w:rPr>
          <w:rFonts w:ascii="Arial" w:hAnsi="Arial" w:cs="Arial"/>
          <w:sz w:val="22"/>
          <w:szCs w:val="22"/>
        </w:rPr>
      </w:pPr>
      <w:r w:rsidRPr="00D6112B">
        <w:rPr>
          <w:rFonts w:ascii="Arial" w:hAnsi="Arial" w:cs="Arial"/>
          <w:sz w:val="22"/>
          <w:szCs w:val="22"/>
        </w:rPr>
        <w:t>Indianapolis, IN 46202</w:t>
      </w:r>
    </w:p>
    <w:p w14:paraId="36FA4ED3" w14:textId="7D3B80A1" w:rsidR="0081459C" w:rsidRPr="00D6112B" w:rsidRDefault="0081459C" w:rsidP="0026633E">
      <w:pPr>
        <w:pStyle w:val="ListParagraph"/>
        <w:spacing w:line="276" w:lineRule="auto"/>
        <w:ind w:left="1095"/>
        <w:rPr>
          <w:rFonts w:ascii="Arial" w:hAnsi="Arial" w:cs="Arial"/>
          <w:sz w:val="22"/>
          <w:szCs w:val="22"/>
        </w:rPr>
      </w:pPr>
    </w:p>
    <w:p w14:paraId="6EC29F57" w14:textId="70EC4165" w:rsidR="0081459C" w:rsidRPr="00D6112B" w:rsidRDefault="0081459C" w:rsidP="0026633E">
      <w:pPr>
        <w:pStyle w:val="ListParagraph"/>
        <w:spacing w:line="276" w:lineRule="auto"/>
        <w:ind w:left="1095"/>
        <w:rPr>
          <w:rFonts w:ascii="Arial" w:hAnsi="Arial" w:cs="Arial"/>
          <w:sz w:val="22"/>
          <w:szCs w:val="22"/>
        </w:rPr>
      </w:pPr>
      <w:r w:rsidRPr="00D6112B">
        <w:rPr>
          <w:rFonts w:ascii="Arial" w:hAnsi="Arial" w:cs="Arial"/>
          <w:b/>
          <w:bCs/>
          <w:sz w:val="22"/>
          <w:szCs w:val="22"/>
        </w:rPr>
        <w:t>CTL Manager:</w:t>
      </w:r>
      <w:r w:rsidRPr="00D6112B">
        <w:rPr>
          <w:rFonts w:ascii="Arial" w:hAnsi="Arial" w:cs="Arial"/>
          <w:sz w:val="22"/>
          <w:szCs w:val="22"/>
        </w:rPr>
        <w:t xml:space="preserve"> Dave Schwering, MT(AMT), CABP </w:t>
      </w:r>
    </w:p>
    <w:p w14:paraId="1055ED79" w14:textId="77777777" w:rsidR="0026633E" w:rsidRPr="00D6112B" w:rsidRDefault="0026633E" w:rsidP="0026633E">
      <w:pPr>
        <w:pStyle w:val="ListParagraph"/>
        <w:spacing w:line="276" w:lineRule="auto"/>
        <w:ind w:left="1095"/>
        <w:rPr>
          <w:rFonts w:ascii="Arial" w:hAnsi="Arial" w:cs="Arial"/>
          <w:sz w:val="22"/>
          <w:szCs w:val="22"/>
        </w:rPr>
      </w:pPr>
    </w:p>
    <w:p w14:paraId="003230C3" w14:textId="749245C7" w:rsidR="0081459C" w:rsidRPr="00D6112B" w:rsidRDefault="0081459C" w:rsidP="0026633E">
      <w:pPr>
        <w:pStyle w:val="ListParagraph"/>
        <w:spacing w:line="276" w:lineRule="auto"/>
        <w:ind w:left="1095"/>
        <w:rPr>
          <w:rFonts w:ascii="Arial" w:hAnsi="Arial" w:cs="Arial"/>
          <w:sz w:val="22"/>
          <w:szCs w:val="22"/>
          <w:u w:val="single"/>
        </w:rPr>
      </w:pPr>
      <w:r w:rsidRPr="00D6112B">
        <w:rPr>
          <w:rFonts w:ascii="Arial" w:hAnsi="Arial" w:cs="Arial"/>
          <w:sz w:val="22"/>
          <w:szCs w:val="22"/>
          <w:u w:val="single"/>
        </w:rPr>
        <w:t>Product testing for CD19/CD20 and CD3 TCRa/b will be completed in the Cell Immunotherapy and Transduction Facility (CIT) at the Indiana University School of Medicine</w:t>
      </w:r>
      <w:r w:rsidR="00D6112B">
        <w:rPr>
          <w:rFonts w:ascii="Arial" w:hAnsi="Arial" w:cs="Arial"/>
          <w:sz w:val="22"/>
          <w:szCs w:val="22"/>
          <w:u w:val="single"/>
        </w:rPr>
        <w:t>:</w:t>
      </w:r>
    </w:p>
    <w:p w14:paraId="6B071A71" w14:textId="77777777" w:rsidR="0026633E" w:rsidRPr="00D6112B" w:rsidRDefault="0026633E" w:rsidP="0026633E">
      <w:pPr>
        <w:pStyle w:val="ListParagraph"/>
        <w:spacing w:line="276" w:lineRule="auto"/>
        <w:ind w:left="1095"/>
        <w:rPr>
          <w:rFonts w:ascii="Arial" w:hAnsi="Arial" w:cs="Arial"/>
          <w:sz w:val="22"/>
          <w:szCs w:val="22"/>
        </w:rPr>
      </w:pPr>
    </w:p>
    <w:p w14:paraId="36A70910" w14:textId="6C6B4A1D" w:rsidR="0081459C" w:rsidRPr="00D6112B" w:rsidRDefault="0081459C" w:rsidP="0026633E">
      <w:pPr>
        <w:pStyle w:val="ListParagraph"/>
        <w:spacing w:line="276" w:lineRule="auto"/>
        <w:ind w:left="1095"/>
        <w:rPr>
          <w:rFonts w:ascii="Arial" w:hAnsi="Arial" w:cs="Arial"/>
          <w:sz w:val="22"/>
          <w:szCs w:val="22"/>
        </w:rPr>
      </w:pPr>
      <w:r w:rsidRPr="00D6112B">
        <w:rPr>
          <w:rFonts w:ascii="Arial" w:hAnsi="Arial" w:cs="Arial"/>
          <w:sz w:val="22"/>
          <w:szCs w:val="22"/>
        </w:rPr>
        <w:t>Cell Immunotherapy and Transduction Facility</w:t>
      </w:r>
    </w:p>
    <w:p w14:paraId="7C2E096B" w14:textId="37B3E80E" w:rsidR="0081459C" w:rsidRPr="00D6112B" w:rsidRDefault="0081459C" w:rsidP="0026633E">
      <w:pPr>
        <w:pStyle w:val="ListParagraph"/>
        <w:spacing w:line="276" w:lineRule="auto"/>
        <w:ind w:left="1095"/>
        <w:rPr>
          <w:rFonts w:ascii="Arial" w:hAnsi="Arial" w:cs="Arial"/>
          <w:sz w:val="22"/>
          <w:szCs w:val="22"/>
        </w:rPr>
      </w:pPr>
      <w:r w:rsidRPr="00D6112B">
        <w:rPr>
          <w:rFonts w:ascii="Arial" w:hAnsi="Arial" w:cs="Arial"/>
          <w:sz w:val="22"/>
          <w:szCs w:val="22"/>
        </w:rPr>
        <w:t>Cell and Gene Therapy Manufacturing</w:t>
      </w:r>
    </w:p>
    <w:p w14:paraId="0BDA2D11" w14:textId="7FFEC502" w:rsidR="0081459C" w:rsidRPr="00D6112B" w:rsidRDefault="0081459C" w:rsidP="0026633E">
      <w:pPr>
        <w:pStyle w:val="ListParagraph"/>
        <w:spacing w:line="276" w:lineRule="auto"/>
        <w:ind w:left="1095"/>
        <w:rPr>
          <w:rFonts w:ascii="Arial" w:hAnsi="Arial" w:cs="Arial"/>
          <w:sz w:val="22"/>
          <w:szCs w:val="22"/>
        </w:rPr>
      </w:pPr>
      <w:r w:rsidRPr="00D6112B">
        <w:rPr>
          <w:rFonts w:ascii="Arial" w:hAnsi="Arial" w:cs="Arial"/>
          <w:sz w:val="22"/>
          <w:szCs w:val="22"/>
        </w:rPr>
        <w:t>Indiana University School of Medicine</w:t>
      </w:r>
    </w:p>
    <w:p w14:paraId="6BD8C919" w14:textId="1EC81A9D" w:rsidR="0081459C" w:rsidRPr="00D6112B" w:rsidRDefault="0081459C" w:rsidP="0026633E">
      <w:pPr>
        <w:pStyle w:val="ListParagraph"/>
        <w:spacing w:line="276" w:lineRule="auto"/>
        <w:ind w:left="1095"/>
        <w:rPr>
          <w:rFonts w:ascii="Arial" w:hAnsi="Arial" w:cs="Arial"/>
          <w:sz w:val="22"/>
          <w:szCs w:val="22"/>
        </w:rPr>
      </w:pPr>
      <w:r w:rsidRPr="00D6112B">
        <w:rPr>
          <w:rFonts w:ascii="Arial" w:hAnsi="Arial" w:cs="Arial"/>
          <w:sz w:val="22"/>
          <w:szCs w:val="22"/>
        </w:rPr>
        <w:t>Indiana University Hospital</w:t>
      </w:r>
    </w:p>
    <w:p w14:paraId="7DB1BC8B" w14:textId="61481F93" w:rsidR="0081459C" w:rsidRPr="00D6112B" w:rsidRDefault="0081459C" w:rsidP="0026633E">
      <w:pPr>
        <w:pStyle w:val="ListParagraph"/>
        <w:spacing w:line="276" w:lineRule="auto"/>
        <w:ind w:left="1095"/>
        <w:rPr>
          <w:rFonts w:ascii="Arial" w:hAnsi="Arial" w:cs="Arial"/>
          <w:sz w:val="22"/>
          <w:szCs w:val="22"/>
        </w:rPr>
      </w:pPr>
      <w:r w:rsidRPr="00D6112B">
        <w:rPr>
          <w:rFonts w:ascii="Arial" w:hAnsi="Arial" w:cs="Arial"/>
          <w:sz w:val="22"/>
          <w:szCs w:val="22"/>
        </w:rPr>
        <w:t>550 University Blvd</w:t>
      </w:r>
      <w:r w:rsidRPr="00D6112B">
        <w:rPr>
          <w:rFonts w:ascii="Arial" w:hAnsi="Arial" w:cs="Arial"/>
          <w:sz w:val="22"/>
          <w:szCs w:val="22"/>
        </w:rPr>
        <w:br/>
        <w:t>Indianapolis, IN 46202</w:t>
      </w:r>
    </w:p>
    <w:p w14:paraId="20854C6F" w14:textId="77777777" w:rsidR="0081459C" w:rsidRPr="00D6112B" w:rsidRDefault="0081459C" w:rsidP="0026633E">
      <w:pPr>
        <w:autoSpaceDE w:val="0"/>
        <w:autoSpaceDN w:val="0"/>
        <w:adjustRightInd w:val="0"/>
        <w:spacing w:after="0" w:line="276" w:lineRule="auto"/>
        <w:ind w:left="375" w:firstLine="720"/>
        <w:jc w:val="both"/>
        <w:rPr>
          <w:rFonts w:ascii="Arial" w:hAnsi="Arial" w:cs="Arial"/>
          <w:sz w:val="22"/>
          <w:szCs w:val="22"/>
        </w:rPr>
      </w:pPr>
      <w:r w:rsidRPr="00D6112B">
        <w:rPr>
          <w:rFonts w:ascii="Arial" w:hAnsi="Arial" w:cs="Arial"/>
          <w:b/>
          <w:bCs/>
          <w:sz w:val="22"/>
          <w:szCs w:val="22"/>
        </w:rPr>
        <w:t>CIT Manager:</w:t>
      </w:r>
      <w:r w:rsidRPr="00D6112B">
        <w:rPr>
          <w:rFonts w:ascii="Arial" w:hAnsi="Arial" w:cs="Arial"/>
          <w:sz w:val="22"/>
          <w:szCs w:val="22"/>
        </w:rPr>
        <w:t xml:space="preserve"> Christina Vaughan, MS, CABP</w:t>
      </w:r>
    </w:p>
    <w:p w14:paraId="34D1FC84" w14:textId="77777777" w:rsidR="0081459C" w:rsidRPr="00D6112B" w:rsidRDefault="0081459C" w:rsidP="0026633E">
      <w:pPr>
        <w:autoSpaceDE w:val="0"/>
        <w:autoSpaceDN w:val="0"/>
        <w:adjustRightInd w:val="0"/>
        <w:spacing w:after="0" w:line="276" w:lineRule="auto"/>
        <w:ind w:left="375" w:firstLine="720"/>
        <w:jc w:val="both"/>
        <w:rPr>
          <w:rFonts w:ascii="Arial" w:hAnsi="Arial" w:cs="Arial"/>
          <w:sz w:val="22"/>
          <w:szCs w:val="22"/>
        </w:rPr>
      </w:pPr>
      <w:r w:rsidRPr="00D6112B">
        <w:rPr>
          <w:rFonts w:ascii="Arial" w:hAnsi="Arial" w:cs="Arial"/>
          <w:b/>
          <w:bCs/>
          <w:sz w:val="22"/>
          <w:szCs w:val="22"/>
        </w:rPr>
        <w:t>CIT/CGTM Director:</w:t>
      </w:r>
      <w:r w:rsidRPr="00D6112B">
        <w:rPr>
          <w:rFonts w:ascii="Arial" w:hAnsi="Arial" w:cs="Arial"/>
          <w:sz w:val="22"/>
          <w:szCs w:val="22"/>
        </w:rPr>
        <w:t xml:space="preserve"> Emily Hopewell, PhD, CABP(H)</w:t>
      </w:r>
    </w:p>
    <w:p w14:paraId="0262A318" w14:textId="21BE9E11" w:rsidR="0081459C" w:rsidRPr="00D6112B" w:rsidRDefault="0081459C" w:rsidP="0026633E">
      <w:pPr>
        <w:spacing w:after="0" w:line="276" w:lineRule="auto"/>
        <w:jc w:val="both"/>
        <w:rPr>
          <w:rFonts w:ascii="Arial" w:hAnsi="Arial" w:cs="Arial"/>
          <w:sz w:val="22"/>
          <w:szCs w:val="22"/>
        </w:rPr>
      </w:pPr>
    </w:p>
    <w:p w14:paraId="4581B3E5" w14:textId="3E204E7E" w:rsidR="004253DA" w:rsidRPr="00D6112B" w:rsidRDefault="004253DA" w:rsidP="0026633E">
      <w:pPr>
        <w:spacing w:after="0" w:line="276" w:lineRule="auto"/>
        <w:ind w:left="1080"/>
        <w:jc w:val="both"/>
        <w:rPr>
          <w:rFonts w:ascii="Arial" w:hAnsi="Arial" w:cs="Arial"/>
          <w:sz w:val="22"/>
          <w:szCs w:val="22"/>
          <w:u w:val="single"/>
        </w:rPr>
      </w:pPr>
      <w:r w:rsidRPr="00D6112B">
        <w:rPr>
          <w:rFonts w:ascii="Arial" w:hAnsi="Arial" w:cs="Arial"/>
          <w:sz w:val="22"/>
          <w:szCs w:val="22"/>
          <w:u w:val="single"/>
        </w:rPr>
        <w:t>Clinical products are distributed for infusion by the following FACT accredited facility:</w:t>
      </w:r>
    </w:p>
    <w:p w14:paraId="1D791FDB" w14:textId="77777777" w:rsidR="0026633E" w:rsidRPr="00D6112B" w:rsidRDefault="0026633E" w:rsidP="0026633E">
      <w:pPr>
        <w:spacing w:after="0" w:line="276" w:lineRule="auto"/>
        <w:ind w:left="1080"/>
        <w:jc w:val="both"/>
        <w:rPr>
          <w:rFonts w:ascii="Arial" w:hAnsi="Arial" w:cs="Arial"/>
          <w:sz w:val="22"/>
          <w:szCs w:val="22"/>
        </w:rPr>
      </w:pPr>
    </w:p>
    <w:p w14:paraId="1BDF2FB6" w14:textId="77777777" w:rsidR="004253DA" w:rsidRPr="00D6112B" w:rsidRDefault="004253DA" w:rsidP="0026633E">
      <w:pPr>
        <w:spacing w:after="0" w:line="276" w:lineRule="auto"/>
        <w:ind w:left="1080"/>
        <w:jc w:val="both"/>
        <w:rPr>
          <w:rFonts w:ascii="Arial" w:hAnsi="Arial" w:cs="Arial"/>
          <w:sz w:val="22"/>
          <w:szCs w:val="22"/>
        </w:rPr>
      </w:pPr>
      <w:r w:rsidRPr="00D6112B">
        <w:rPr>
          <w:rFonts w:ascii="Arial" w:hAnsi="Arial" w:cs="Arial"/>
          <w:sz w:val="22"/>
          <w:szCs w:val="22"/>
        </w:rPr>
        <w:t>Transfusion Medicine – Cell Therapy Laboratory</w:t>
      </w:r>
    </w:p>
    <w:p w14:paraId="5C361296" w14:textId="77777777" w:rsidR="004253DA" w:rsidRPr="00D6112B" w:rsidRDefault="004253DA" w:rsidP="0026633E">
      <w:pPr>
        <w:spacing w:after="0" w:line="276" w:lineRule="auto"/>
        <w:ind w:left="1080"/>
        <w:jc w:val="both"/>
        <w:rPr>
          <w:rFonts w:ascii="Arial" w:hAnsi="Arial" w:cs="Arial"/>
          <w:sz w:val="22"/>
          <w:szCs w:val="22"/>
        </w:rPr>
      </w:pPr>
      <w:r w:rsidRPr="00D6112B">
        <w:rPr>
          <w:rFonts w:ascii="Arial" w:hAnsi="Arial" w:cs="Arial"/>
          <w:sz w:val="22"/>
          <w:szCs w:val="22"/>
        </w:rPr>
        <w:t>Indiana University Hospital</w:t>
      </w:r>
    </w:p>
    <w:p w14:paraId="2173EA8C" w14:textId="77777777" w:rsidR="004253DA" w:rsidRPr="00D6112B" w:rsidRDefault="004253DA" w:rsidP="0026633E">
      <w:pPr>
        <w:spacing w:after="0" w:line="276" w:lineRule="auto"/>
        <w:ind w:left="1080"/>
        <w:jc w:val="both"/>
        <w:rPr>
          <w:rFonts w:ascii="Arial" w:hAnsi="Arial" w:cs="Arial"/>
          <w:sz w:val="22"/>
          <w:szCs w:val="22"/>
        </w:rPr>
      </w:pPr>
      <w:r w:rsidRPr="00D6112B">
        <w:rPr>
          <w:rFonts w:ascii="Arial" w:hAnsi="Arial" w:cs="Arial"/>
          <w:sz w:val="22"/>
          <w:szCs w:val="22"/>
        </w:rPr>
        <w:t>550 University Blvd</w:t>
      </w:r>
    </w:p>
    <w:p w14:paraId="76F9BF78" w14:textId="77777777" w:rsidR="004253DA" w:rsidRPr="00D6112B" w:rsidRDefault="004253DA" w:rsidP="0026633E">
      <w:pPr>
        <w:spacing w:after="0" w:line="276" w:lineRule="auto"/>
        <w:ind w:left="1080"/>
        <w:jc w:val="both"/>
        <w:rPr>
          <w:rFonts w:ascii="Arial" w:hAnsi="Arial" w:cs="Arial"/>
          <w:sz w:val="22"/>
          <w:szCs w:val="22"/>
        </w:rPr>
      </w:pPr>
      <w:r w:rsidRPr="00D6112B">
        <w:rPr>
          <w:rFonts w:ascii="Arial" w:hAnsi="Arial" w:cs="Arial"/>
          <w:sz w:val="22"/>
          <w:szCs w:val="22"/>
        </w:rPr>
        <w:t>Indianapolis, IN 46202</w:t>
      </w:r>
    </w:p>
    <w:p w14:paraId="33EA263D" w14:textId="77777777" w:rsidR="004253DA" w:rsidRPr="00D6112B" w:rsidRDefault="004253DA" w:rsidP="0026633E">
      <w:pPr>
        <w:spacing w:after="0" w:line="276" w:lineRule="auto"/>
        <w:ind w:left="1080"/>
        <w:jc w:val="both"/>
        <w:rPr>
          <w:rFonts w:ascii="Arial" w:hAnsi="Arial" w:cs="Arial"/>
          <w:sz w:val="22"/>
          <w:szCs w:val="22"/>
        </w:rPr>
      </w:pPr>
    </w:p>
    <w:p w14:paraId="38C9CF72" w14:textId="77777777" w:rsidR="004253DA" w:rsidRPr="00D6112B" w:rsidRDefault="004253DA" w:rsidP="0026633E">
      <w:pPr>
        <w:spacing w:after="0" w:line="276" w:lineRule="auto"/>
        <w:ind w:left="1080"/>
        <w:jc w:val="both"/>
        <w:rPr>
          <w:rFonts w:ascii="Arial" w:hAnsi="Arial" w:cs="Arial"/>
          <w:sz w:val="22"/>
          <w:szCs w:val="22"/>
          <w:u w:val="single"/>
        </w:rPr>
      </w:pPr>
      <w:r w:rsidRPr="00D6112B">
        <w:rPr>
          <w:rFonts w:ascii="Arial" w:hAnsi="Arial" w:cs="Arial"/>
          <w:sz w:val="22"/>
          <w:szCs w:val="22"/>
          <w:u w:val="single"/>
        </w:rPr>
        <w:t>Patients are infused at the following facility:</w:t>
      </w:r>
    </w:p>
    <w:p w14:paraId="6E23A980" w14:textId="77777777" w:rsidR="0026633E" w:rsidRPr="00D6112B" w:rsidRDefault="0026633E" w:rsidP="0026633E">
      <w:pPr>
        <w:spacing w:after="0" w:line="276" w:lineRule="auto"/>
        <w:ind w:left="1080"/>
        <w:jc w:val="both"/>
        <w:rPr>
          <w:rFonts w:ascii="Arial" w:hAnsi="Arial" w:cs="Arial"/>
          <w:sz w:val="22"/>
          <w:szCs w:val="22"/>
        </w:rPr>
      </w:pPr>
    </w:p>
    <w:p w14:paraId="6C88BFD8" w14:textId="4AC7CD81" w:rsidR="004253DA" w:rsidRPr="00D6112B" w:rsidRDefault="004253DA" w:rsidP="0026633E">
      <w:pPr>
        <w:spacing w:after="0" w:line="276" w:lineRule="auto"/>
        <w:ind w:left="1080"/>
        <w:jc w:val="both"/>
        <w:rPr>
          <w:rFonts w:ascii="Arial" w:hAnsi="Arial" w:cs="Arial"/>
          <w:sz w:val="22"/>
          <w:szCs w:val="22"/>
        </w:rPr>
      </w:pPr>
      <w:r w:rsidRPr="00D6112B">
        <w:rPr>
          <w:rFonts w:ascii="Arial" w:hAnsi="Arial" w:cs="Arial"/>
          <w:sz w:val="22"/>
          <w:szCs w:val="22"/>
        </w:rPr>
        <w:t>Riley Hospital for Children - Indiana University</w:t>
      </w:r>
    </w:p>
    <w:p w14:paraId="5534A0ED" w14:textId="77777777" w:rsidR="004253DA" w:rsidRPr="00D6112B" w:rsidRDefault="004253DA" w:rsidP="0026633E">
      <w:pPr>
        <w:spacing w:after="0" w:line="276" w:lineRule="auto"/>
        <w:ind w:left="1080"/>
        <w:jc w:val="both"/>
        <w:rPr>
          <w:rFonts w:ascii="Arial" w:hAnsi="Arial" w:cs="Arial"/>
          <w:sz w:val="22"/>
          <w:szCs w:val="22"/>
        </w:rPr>
      </w:pPr>
      <w:r w:rsidRPr="00D6112B">
        <w:rPr>
          <w:rFonts w:ascii="Arial" w:hAnsi="Arial" w:cs="Arial"/>
          <w:sz w:val="22"/>
          <w:szCs w:val="22"/>
        </w:rPr>
        <w:t>705 Riley Hospital Dr</w:t>
      </w:r>
    </w:p>
    <w:p w14:paraId="0CF75FD8" w14:textId="7A15D426" w:rsidR="00B65D5B" w:rsidRPr="00D6112B" w:rsidRDefault="004253DA" w:rsidP="0026633E">
      <w:pPr>
        <w:spacing w:after="0" w:line="276" w:lineRule="auto"/>
        <w:ind w:left="1080"/>
        <w:jc w:val="both"/>
        <w:rPr>
          <w:rFonts w:ascii="Arial" w:hAnsi="Arial" w:cs="Arial"/>
          <w:sz w:val="22"/>
          <w:szCs w:val="22"/>
        </w:rPr>
      </w:pPr>
      <w:r w:rsidRPr="00D6112B">
        <w:rPr>
          <w:rFonts w:ascii="Arial" w:hAnsi="Arial" w:cs="Arial"/>
          <w:sz w:val="22"/>
          <w:szCs w:val="22"/>
        </w:rPr>
        <w:t>Indianapolis, IN 46202</w:t>
      </w:r>
    </w:p>
    <w:p w14:paraId="5E445920" w14:textId="77777777" w:rsidR="00B65D5B" w:rsidRPr="00D6112B" w:rsidRDefault="00B65D5B" w:rsidP="00B65D5B">
      <w:pPr>
        <w:pStyle w:val="ListParagraph"/>
        <w:ind w:left="1095"/>
        <w:rPr>
          <w:rFonts w:ascii="Arial" w:hAnsi="Arial" w:cs="Arial"/>
          <w:sz w:val="22"/>
          <w:szCs w:val="22"/>
        </w:rPr>
      </w:pPr>
    </w:p>
    <w:p w14:paraId="2209055C" w14:textId="4F1F5BAF" w:rsidR="00D6112B" w:rsidRPr="00D6112B" w:rsidRDefault="00BA55D0" w:rsidP="00D6112B">
      <w:pPr>
        <w:pStyle w:val="ListParagraph"/>
        <w:numPr>
          <w:ilvl w:val="1"/>
          <w:numId w:val="1"/>
        </w:numPr>
        <w:rPr>
          <w:rFonts w:ascii="Arial" w:hAnsi="Arial" w:cs="Arial"/>
          <w:b/>
          <w:bCs/>
          <w:sz w:val="22"/>
          <w:szCs w:val="22"/>
        </w:rPr>
      </w:pPr>
      <w:r w:rsidRPr="00D6112B">
        <w:rPr>
          <w:rFonts w:ascii="Arial" w:hAnsi="Arial" w:cs="Arial"/>
          <w:b/>
          <w:bCs/>
          <w:sz w:val="22"/>
          <w:szCs w:val="22"/>
        </w:rPr>
        <w:t>Assessment and release criteria for final product</w:t>
      </w:r>
    </w:p>
    <w:p w14:paraId="7EE1DE00" w14:textId="2AEB5AD9" w:rsidR="00DF4018" w:rsidRPr="00D6112B" w:rsidRDefault="00845935" w:rsidP="00D6112B">
      <w:pPr>
        <w:pStyle w:val="ListParagraph"/>
        <w:ind w:left="1095"/>
        <w:rPr>
          <w:rFonts w:ascii="Arial" w:hAnsi="Arial" w:cs="Arial"/>
          <w:b/>
          <w:bCs/>
          <w:sz w:val="22"/>
          <w:szCs w:val="22"/>
        </w:rPr>
      </w:pPr>
      <w:r w:rsidRPr="00D6112B">
        <w:rPr>
          <w:rFonts w:ascii="Arial" w:hAnsi="Arial" w:cs="Arial"/>
          <w:sz w:val="22"/>
          <w:szCs w:val="22"/>
        </w:rPr>
        <w:t>The final selected product will be assessed for residual CD3+</w:t>
      </w:r>
      <w:r w:rsidR="008C4DED" w:rsidRPr="00D6112B">
        <w:rPr>
          <w:rFonts w:ascii="Arial" w:hAnsi="Arial" w:cs="Arial"/>
          <w:sz w:val="22"/>
          <w:szCs w:val="22"/>
        </w:rPr>
        <w:t>, TCRa/b+</w:t>
      </w:r>
      <w:r w:rsidRPr="00D6112B">
        <w:rPr>
          <w:rFonts w:ascii="Arial" w:hAnsi="Arial" w:cs="Arial"/>
          <w:sz w:val="22"/>
          <w:szCs w:val="22"/>
        </w:rPr>
        <w:t xml:space="preserve"> and CD20+ cell content as described above.  In addition, release criteria will include general institutional product standards such as</w:t>
      </w:r>
      <w:r w:rsidR="009D6BE1" w:rsidRPr="00D6112B">
        <w:rPr>
          <w:rFonts w:ascii="Arial" w:hAnsi="Arial" w:cs="Arial"/>
          <w:sz w:val="22"/>
          <w:szCs w:val="22"/>
        </w:rPr>
        <w:t xml:space="preserve"> CD34+</w:t>
      </w:r>
      <w:r w:rsidRPr="00D6112B">
        <w:rPr>
          <w:rFonts w:ascii="Arial" w:hAnsi="Arial" w:cs="Arial"/>
          <w:sz w:val="22"/>
          <w:szCs w:val="22"/>
        </w:rPr>
        <w:t xml:space="preserve"> </w:t>
      </w:r>
      <w:r w:rsidR="00DF4018" w:rsidRPr="00D6112B">
        <w:rPr>
          <w:rFonts w:ascii="Arial" w:hAnsi="Arial" w:cs="Arial"/>
          <w:sz w:val="22"/>
          <w:szCs w:val="22"/>
        </w:rPr>
        <w:t>cell count</w:t>
      </w:r>
      <w:r w:rsidRPr="00D6112B">
        <w:rPr>
          <w:rFonts w:ascii="Arial" w:hAnsi="Arial" w:cs="Arial"/>
          <w:sz w:val="22"/>
          <w:szCs w:val="22"/>
        </w:rPr>
        <w:t xml:space="preserve">, </w:t>
      </w:r>
      <w:r w:rsidR="009D6BE1" w:rsidRPr="00D6112B">
        <w:rPr>
          <w:rFonts w:ascii="Arial" w:hAnsi="Arial" w:cs="Arial"/>
          <w:sz w:val="22"/>
          <w:szCs w:val="22"/>
        </w:rPr>
        <w:t xml:space="preserve">total cell count, </w:t>
      </w:r>
      <w:r w:rsidR="00DF4018" w:rsidRPr="00D6112B">
        <w:rPr>
          <w:rFonts w:ascii="Arial" w:hAnsi="Arial" w:cs="Arial"/>
          <w:sz w:val="22"/>
          <w:szCs w:val="22"/>
        </w:rPr>
        <w:t>viability,</w:t>
      </w:r>
      <w:r w:rsidRPr="00D6112B">
        <w:rPr>
          <w:rFonts w:ascii="Arial" w:hAnsi="Arial" w:cs="Arial"/>
          <w:sz w:val="22"/>
          <w:szCs w:val="22"/>
        </w:rPr>
        <w:t xml:space="preserve"> and s</w:t>
      </w:r>
      <w:r w:rsidR="00DF4018" w:rsidRPr="00D6112B">
        <w:rPr>
          <w:rFonts w:ascii="Arial" w:hAnsi="Arial" w:cs="Arial"/>
          <w:sz w:val="22"/>
          <w:szCs w:val="22"/>
        </w:rPr>
        <w:t>terility testing</w:t>
      </w:r>
      <w:r w:rsidRPr="00D6112B">
        <w:rPr>
          <w:rFonts w:ascii="Arial" w:hAnsi="Arial" w:cs="Arial"/>
          <w:sz w:val="22"/>
          <w:szCs w:val="22"/>
        </w:rPr>
        <w:t xml:space="preserve"> of the final product per institution SOPs</w:t>
      </w:r>
      <w:r w:rsidR="00DF4018" w:rsidRPr="00D6112B">
        <w:rPr>
          <w:rFonts w:ascii="Arial" w:hAnsi="Arial" w:cs="Arial"/>
          <w:sz w:val="22"/>
          <w:szCs w:val="22"/>
        </w:rPr>
        <w:t>.</w:t>
      </w:r>
    </w:p>
    <w:p w14:paraId="34BE8688" w14:textId="0C3BDE29" w:rsidR="00D6112B" w:rsidRPr="00D6112B" w:rsidRDefault="00BA55D0" w:rsidP="00D6112B">
      <w:pPr>
        <w:pStyle w:val="ListParagraph"/>
        <w:numPr>
          <w:ilvl w:val="1"/>
          <w:numId w:val="1"/>
        </w:numPr>
        <w:rPr>
          <w:rFonts w:ascii="Arial" w:hAnsi="Arial" w:cs="Arial"/>
          <w:b/>
          <w:bCs/>
          <w:sz w:val="22"/>
          <w:szCs w:val="22"/>
        </w:rPr>
      </w:pPr>
      <w:r w:rsidRPr="00D6112B">
        <w:rPr>
          <w:rFonts w:ascii="Arial" w:hAnsi="Arial" w:cs="Arial"/>
          <w:b/>
          <w:bCs/>
          <w:sz w:val="22"/>
          <w:szCs w:val="22"/>
        </w:rPr>
        <w:lastRenderedPageBreak/>
        <w:t xml:space="preserve">Packaging, labeling and storage </w:t>
      </w:r>
    </w:p>
    <w:p w14:paraId="23F8BE80" w14:textId="484C5DFD" w:rsidR="00DF4018" w:rsidRDefault="00DF4018" w:rsidP="00D6112B">
      <w:pPr>
        <w:pStyle w:val="ListParagraph"/>
        <w:ind w:left="1095"/>
        <w:rPr>
          <w:rFonts w:ascii="Arial" w:hAnsi="Arial" w:cs="Arial"/>
          <w:sz w:val="22"/>
          <w:szCs w:val="22"/>
        </w:rPr>
      </w:pPr>
      <w:r w:rsidRPr="00D6112B">
        <w:rPr>
          <w:rFonts w:ascii="Arial" w:hAnsi="Arial" w:cs="Arial"/>
          <w:sz w:val="22"/>
          <w:szCs w:val="22"/>
        </w:rPr>
        <w:t>The final product will be packaged and labelled according to institutional SOPs which incorporate FDA, FACT</w:t>
      </w:r>
      <w:r w:rsidR="00ED5068" w:rsidRPr="00D6112B">
        <w:rPr>
          <w:rFonts w:ascii="Arial" w:hAnsi="Arial" w:cs="Arial"/>
          <w:sz w:val="22"/>
          <w:szCs w:val="22"/>
        </w:rPr>
        <w:t>,</w:t>
      </w:r>
      <w:r w:rsidRPr="00D6112B">
        <w:rPr>
          <w:rFonts w:ascii="Arial" w:hAnsi="Arial" w:cs="Arial"/>
          <w:sz w:val="22"/>
          <w:szCs w:val="22"/>
        </w:rPr>
        <w:t xml:space="preserve"> and other accreditation standards.  If the final product is frozen prior to infusion, cell freezing and storage will </w:t>
      </w:r>
      <w:r w:rsidR="00845935" w:rsidRPr="00D6112B">
        <w:rPr>
          <w:rFonts w:ascii="Arial" w:hAnsi="Arial" w:cs="Arial"/>
          <w:sz w:val="22"/>
          <w:szCs w:val="22"/>
        </w:rPr>
        <w:t>be carried out per institutional SOPs as well.</w:t>
      </w:r>
    </w:p>
    <w:p w14:paraId="67065957" w14:textId="77777777" w:rsidR="00D6112B" w:rsidRPr="00D6112B" w:rsidRDefault="00D6112B" w:rsidP="00D6112B">
      <w:pPr>
        <w:pStyle w:val="ListParagraph"/>
        <w:ind w:left="1095"/>
        <w:rPr>
          <w:rFonts w:ascii="Arial" w:hAnsi="Arial" w:cs="Arial"/>
          <w:b/>
          <w:bCs/>
          <w:sz w:val="22"/>
          <w:szCs w:val="22"/>
        </w:rPr>
      </w:pPr>
    </w:p>
    <w:p w14:paraId="45624704" w14:textId="664B4E8D" w:rsidR="00D6112B" w:rsidRPr="00D6112B" w:rsidRDefault="00617425" w:rsidP="00D6112B">
      <w:pPr>
        <w:pStyle w:val="ListParagraph"/>
        <w:numPr>
          <w:ilvl w:val="1"/>
          <w:numId w:val="1"/>
        </w:numPr>
        <w:rPr>
          <w:rFonts w:ascii="Arial" w:hAnsi="Arial" w:cs="Arial"/>
          <w:b/>
          <w:bCs/>
          <w:sz w:val="22"/>
          <w:szCs w:val="22"/>
        </w:rPr>
      </w:pPr>
      <w:r w:rsidRPr="00D6112B">
        <w:rPr>
          <w:rFonts w:ascii="Arial" w:hAnsi="Arial" w:cs="Arial"/>
          <w:b/>
          <w:bCs/>
          <w:sz w:val="22"/>
          <w:szCs w:val="22"/>
        </w:rPr>
        <w:t>Institutional experience with CliniMACS Reagent System</w:t>
      </w:r>
    </w:p>
    <w:p w14:paraId="006B2901" w14:textId="093E1DAC" w:rsidR="00845935" w:rsidRDefault="00DF4018" w:rsidP="00D6112B">
      <w:pPr>
        <w:pStyle w:val="ListParagraph"/>
        <w:ind w:left="1095"/>
        <w:rPr>
          <w:rFonts w:ascii="Arial" w:hAnsi="Arial" w:cs="Arial"/>
          <w:sz w:val="22"/>
          <w:szCs w:val="22"/>
        </w:rPr>
      </w:pPr>
      <w:r w:rsidRPr="00D6112B">
        <w:rPr>
          <w:rFonts w:ascii="Arial" w:hAnsi="Arial" w:cs="Arial"/>
          <w:sz w:val="22"/>
          <w:szCs w:val="22"/>
        </w:rPr>
        <w:t>CTL has experience with CD34 selections including with NK cell add-</w:t>
      </w:r>
      <w:r w:rsidR="00D6112B" w:rsidRPr="00D6112B">
        <w:rPr>
          <w:rFonts w:ascii="Arial" w:hAnsi="Arial" w:cs="Arial"/>
          <w:sz w:val="22"/>
          <w:szCs w:val="22"/>
        </w:rPr>
        <w:t>back,</w:t>
      </w:r>
      <w:r w:rsidRPr="00D6112B">
        <w:rPr>
          <w:rFonts w:ascii="Arial" w:hAnsi="Arial" w:cs="Arial"/>
          <w:sz w:val="22"/>
          <w:szCs w:val="22"/>
        </w:rPr>
        <w:t xml:space="preserve"> </w:t>
      </w:r>
      <w:r w:rsidR="00845935" w:rsidRPr="00D6112B">
        <w:rPr>
          <w:rFonts w:ascii="Arial" w:hAnsi="Arial" w:cs="Arial"/>
          <w:sz w:val="22"/>
          <w:szCs w:val="22"/>
        </w:rPr>
        <w:t xml:space="preserve">and has performed alpha-beta T Cell + CD19 depletion </w:t>
      </w:r>
      <w:r w:rsidRPr="00D6112B">
        <w:rPr>
          <w:rFonts w:ascii="Arial" w:hAnsi="Arial" w:cs="Arial"/>
          <w:sz w:val="22"/>
          <w:szCs w:val="22"/>
        </w:rPr>
        <w:t xml:space="preserve">validation(s) for </w:t>
      </w:r>
      <w:r w:rsidR="00845935" w:rsidRPr="00D6112B">
        <w:rPr>
          <w:rFonts w:ascii="Arial" w:hAnsi="Arial" w:cs="Arial"/>
          <w:sz w:val="22"/>
          <w:szCs w:val="22"/>
        </w:rPr>
        <w:t xml:space="preserve">the </w:t>
      </w:r>
      <w:r w:rsidRPr="00D6112B">
        <w:rPr>
          <w:rFonts w:ascii="Arial" w:hAnsi="Arial" w:cs="Arial"/>
          <w:sz w:val="22"/>
          <w:szCs w:val="22"/>
        </w:rPr>
        <w:t>C-SIDE study</w:t>
      </w:r>
      <w:r w:rsidR="00ED5068" w:rsidRPr="00D6112B">
        <w:rPr>
          <w:rFonts w:ascii="Arial" w:hAnsi="Arial" w:cs="Arial"/>
          <w:sz w:val="22"/>
          <w:szCs w:val="22"/>
        </w:rPr>
        <w:t xml:space="preserve"> and one IND</w:t>
      </w:r>
      <w:r w:rsidRPr="00D6112B">
        <w:rPr>
          <w:rFonts w:ascii="Arial" w:hAnsi="Arial" w:cs="Arial"/>
          <w:sz w:val="22"/>
          <w:szCs w:val="22"/>
        </w:rPr>
        <w:t xml:space="preserve">.  CIT Lab manufactures </w:t>
      </w:r>
      <w:r w:rsidR="00845935" w:rsidRPr="00D6112B">
        <w:rPr>
          <w:rFonts w:ascii="Arial" w:hAnsi="Arial" w:cs="Arial"/>
          <w:sz w:val="22"/>
          <w:szCs w:val="22"/>
        </w:rPr>
        <w:t xml:space="preserve">CAR T cells using the CliniMACS Prodigy device </w:t>
      </w:r>
      <w:r w:rsidRPr="00D6112B">
        <w:rPr>
          <w:rFonts w:ascii="Arial" w:hAnsi="Arial" w:cs="Arial"/>
          <w:sz w:val="22"/>
          <w:szCs w:val="22"/>
        </w:rPr>
        <w:t>and performs flow on CAR T products.</w:t>
      </w:r>
    </w:p>
    <w:p w14:paraId="663961AC" w14:textId="77777777" w:rsidR="00D6112B" w:rsidRPr="00D6112B" w:rsidRDefault="00D6112B" w:rsidP="00D6112B">
      <w:pPr>
        <w:pStyle w:val="ListParagraph"/>
        <w:ind w:left="1095"/>
        <w:rPr>
          <w:rFonts w:ascii="Arial" w:hAnsi="Arial" w:cs="Arial"/>
          <w:b/>
          <w:bCs/>
          <w:sz w:val="22"/>
          <w:szCs w:val="22"/>
        </w:rPr>
      </w:pPr>
    </w:p>
    <w:p w14:paraId="5D14ADD4" w14:textId="3411EE9B" w:rsidR="00ED5068" w:rsidRPr="00D6112B" w:rsidRDefault="00617425" w:rsidP="00ED5068">
      <w:pPr>
        <w:pStyle w:val="ListParagraph"/>
        <w:numPr>
          <w:ilvl w:val="0"/>
          <w:numId w:val="1"/>
        </w:numPr>
        <w:rPr>
          <w:rFonts w:ascii="Arial" w:hAnsi="Arial" w:cs="Arial"/>
          <w:b/>
          <w:bCs/>
          <w:sz w:val="22"/>
          <w:szCs w:val="22"/>
        </w:rPr>
      </w:pPr>
      <w:r w:rsidRPr="00D6112B">
        <w:rPr>
          <w:rFonts w:ascii="Arial" w:hAnsi="Arial" w:cs="Arial"/>
          <w:b/>
          <w:bCs/>
          <w:sz w:val="22"/>
          <w:szCs w:val="22"/>
        </w:rPr>
        <w:t>Patient and donor eligibility</w:t>
      </w:r>
    </w:p>
    <w:p w14:paraId="3674834E" w14:textId="423B291D" w:rsidR="00617425" w:rsidRPr="00D6112B" w:rsidRDefault="00617425" w:rsidP="00617425">
      <w:pPr>
        <w:pStyle w:val="ListParagraph"/>
        <w:numPr>
          <w:ilvl w:val="1"/>
          <w:numId w:val="1"/>
        </w:numPr>
        <w:rPr>
          <w:rFonts w:ascii="Arial" w:hAnsi="Arial" w:cs="Arial"/>
          <w:b/>
          <w:bCs/>
          <w:sz w:val="22"/>
          <w:szCs w:val="22"/>
        </w:rPr>
      </w:pPr>
      <w:r w:rsidRPr="00D6112B">
        <w:rPr>
          <w:rFonts w:ascii="Arial" w:hAnsi="Arial" w:cs="Arial"/>
          <w:b/>
          <w:bCs/>
          <w:sz w:val="22"/>
          <w:szCs w:val="22"/>
        </w:rPr>
        <w:t>Patient eligibility</w:t>
      </w:r>
    </w:p>
    <w:p w14:paraId="5B27C544" w14:textId="7649DCF7" w:rsidR="004253DA" w:rsidRPr="00D6112B" w:rsidRDefault="004253DA" w:rsidP="004253DA">
      <w:pPr>
        <w:pStyle w:val="ListParagraph"/>
        <w:ind w:left="1095"/>
        <w:rPr>
          <w:rFonts w:ascii="Arial" w:hAnsi="Arial" w:cs="Arial"/>
          <w:sz w:val="22"/>
          <w:szCs w:val="22"/>
        </w:rPr>
      </w:pPr>
      <w:r w:rsidRPr="00D6112B">
        <w:rPr>
          <w:rFonts w:ascii="Arial" w:hAnsi="Arial" w:cs="Arial"/>
          <w:sz w:val="22"/>
          <w:szCs w:val="22"/>
        </w:rPr>
        <w:t xml:space="preserve">This patient is deemed eligible for </w:t>
      </w:r>
      <w:r w:rsidR="00ED5068" w:rsidRPr="00D6112B">
        <w:rPr>
          <w:rFonts w:ascii="Arial" w:hAnsi="Arial" w:cs="Arial"/>
          <w:sz w:val="22"/>
          <w:szCs w:val="22"/>
        </w:rPr>
        <w:t xml:space="preserve">αβ+ T Cell/CD19+ B cell </w:t>
      </w:r>
      <w:r w:rsidRPr="00D6112B">
        <w:rPr>
          <w:rFonts w:ascii="Arial" w:hAnsi="Arial" w:cs="Arial"/>
          <w:sz w:val="22"/>
          <w:szCs w:val="22"/>
        </w:rPr>
        <w:t xml:space="preserve">depletion based on institutional standards for eligibility for stem cell transplant. She will have a </w:t>
      </w:r>
      <w:r w:rsidR="00ED5068" w:rsidRPr="00D6112B">
        <w:rPr>
          <w:rFonts w:ascii="Arial" w:hAnsi="Arial" w:cs="Arial"/>
          <w:sz w:val="22"/>
          <w:szCs w:val="22"/>
        </w:rPr>
        <w:t>workup</w:t>
      </w:r>
      <w:r w:rsidRPr="00D6112B">
        <w:rPr>
          <w:rFonts w:ascii="Arial" w:hAnsi="Arial" w:cs="Arial"/>
          <w:sz w:val="22"/>
          <w:szCs w:val="22"/>
        </w:rPr>
        <w:t xml:space="preserve"> that includes organ function, infection assessment and disease status. </w:t>
      </w:r>
    </w:p>
    <w:p w14:paraId="6723AC39" w14:textId="77777777" w:rsidR="00EE1905" w:rsidRPr="00D6112B" w:rsidRDefault="00EE1905" w:rsidP="004253DA">
      <w:pPr>
        <w:pStyle w:val="ListParagraph"/>
        <w:ind w:left="1095"/>
        <w:rPr>
          <w:rFonts w:ascii="Arial" w:hAnsi="Arial" w:cs="Arial"/>
          <w:sz w:val="22"/>
          <w:szCs w:val="22"/>
        </w:rPr>
      </w:pPr>
    </w:p>
    <w:p w14:paraId="44F6F318" w14:textId="7EC490BA" w:rsidR="00617425" w:rsidRPr="00D6112B" w:rsidRDefault="00617425" w:rsidP="00617425">
      <w:pPr>
        <w:pStyle w:val="ListParagraph"/>
        <w:numPr>
          <w:ilvl w:val="1"/>
          <w:numId w:val="1"/>
        </w:numPr>
        <w:rPr>
          <w:rFonts w:ascii="Arial" w:hAnsi="Arial" w:cs="Arial"/>
          <w:b/>
          <w:bCs/>
          <w:sz w:val="22"/>
          <w:szCs w:val="22"/>
        </w:rPr>
      </w:pPr>
      <w:r w:rsidRPr="00D6112B">
        <w:rPr>
          <w:rFonts w:ascii="Arial" w:hAnsi="Arial" w:cs="Arial"/>
          <w:b/>
          <w:bCs/>
          <w:sz w:val="22"/>
          <w:szCs w:val="22"/>
        </w:rPr>
        <w:t>Donor eligibility</w:t>
      </w:r>
    </w:p>
    <w:p w14:paraId="0A729FDC" w14:textId="77C4C633" w:rsidR="004253DA" w:rsidRPr="00D6112B" w:rsidRDefault="004253DA" w:rsidP="004253DA">
      <w:pPr>
        <w:pStyle w:val="ListParagraph"/>
        <w:ind w:left="1095"/>
        <w:rPr>
          <w:rFonts w:ascii="Arial" w:hAnsi="Arial" w:cs="Arial"/>
          <w:sz w:val="22"/>
          <w:szCs w:val="22"/>
        </w:rPr>
      </w:pPr>
      <w:r w:rsidRPr="00D6112B">
        <w:rPr>
          <w:rFonts w:ascii="Arial" w:hAnsi="Arial" w:cs="Arial"/>
          <w:sz w:val="22"/>
          <w:szCs w:val="22"/>
        </w:rPr>
        <w:t>This patient’</w:t>
      </w:r>
      <w:r w:rsidR="00330F52" w:rsidRPr="00D6112B">
        <w:rPr>
          <w:rFonts w:ascii="Arial" w:hAnsi="Arial" w:cs="Arial"/>
          <w:sz w:val="22"/>
          <w:szCs w:val="22"/>
        </w:rPr>
        <w:t>s</w:t>
      </w:r>
      <w:r w:rsidRPr="00D6112B">
        <w:rPr>
          <w:rFonts w:ascii="Arial" w:hAnsi="Arial" w:cs="Arial"/>
          <w:sz w:val="22"/>
          <w:szCs w:val="22"/>
        </w:rPr>
        <w:t xml:space="preserve"> donor is her </w:t>
      </w:r>
      <w:r w:rsidR="00ED5068" w:rsidRPr="00D6112B">
        <w:rPr>
          <w:rFonts w:ascii="Arial" w:hAnsi="Arial" w:cs="Arial"/>
          <w:sz w:val="22"/>
          <w:szCs w:val="22"/>
        </w:rPr>
        <w:t>sister and</w:t>
      </w:r>
      <w:r w:rsidRPr="00D6112B">
        <w:rPr>
          <w:rFonts w:ascii="Arial" w:hAnsi="Arial" w:cs="Arial"/>
          <w:sz w:val="22"/>
          <w:szCs w:val="22"/>
        </w:rPr>
        <w:t xml:space="preserve"> her back up donor is her </w:t>
      </w:r>
      <w:r w:rsidR="00ED5068" w:rsidRPr="00D6112B">
        <w:rPr>
          <w:rFonts w:ascii="Arial" w:hAnsi="Arial" w:cs="Arial"/>
          <w:sz w:val="22"/>
          <w:szCs w:val="22"/>
        </w:rPr>
        <w:t xml:space="preserve">mother </w:t>
      </w:r>
      <w:r w:rsidR="00D6112B" w:rsidRPr="00D6112B">
        <w:rPr>
          <w:rFonts w:ascii="Arial" w:hAnsi="Arial" w:cs="Arial"/>
          <w:sz w:val="22"/>
          <w:szCs w:val="22"/>
        </w:rPr>
        <w:t>if</w:t>
      </w:r>
      <w:r w:rsidR="00330F52" w:rsidRPr="00D6112B">
        <w:rPr>
          <w:rFonts w:ascii="Arial" w:hAnsi="Arial" w:cs="Arial"/>
          <w:sz w:val="22"/>
          <w:szCs w:val="22"/>
        </w:rPr>
        <w:t xml:space="preserve"> her </w:t>
      </w:r>
      <w:r w:rsidR="00D6112B">
        <w:rPr>
          <w:rFonts w:ascii="Arial" w:hAnsi="Arial" w:cs="Arial"/>
          <w:sz w:val="22"/>
          <w:szCs w:val="22"/>
        </w:rPr>
        <w:t>sister</w:t>
      </w:r>
      <w:r w:rsidR="00330F52" w:rsidRPr="00D6112B">
        <w:rPr>
          <w:rFonts w:ascii="Arial" w:hAnsi="Arial" w:cs="Arial"/>
          <w:sz w:val="22"/>
          <w:szCs w:val="22"/>
        </w:rPr>
        <w:t xml:space="preserve"> becomes ineligible. Patient’s </w:t>
      </w:r>
      <w:r w:rsidR="00ED5068" w:rsidRPr="00D6112B">
        <w:rPr>
          <w:rFonts w:ascii="Arial" w:hAnsi="Arial" w:cs="Arial"/>
          <w:sz w:val="22"/>
          <w:szCs w:val="22"/>
        </w:rPr>
        <w:t>sister</w:t>
      </w:r>
      <w:r w:rsidR="00330F52" w:rsidRPr="00D6112B">
        <w:rPr>
          <w:rFonts w:ascii="Arial" w:hAnsi="Arial" w:cs="Arial"/>
          <w:sz w:val="22"/>
          <w:szCs w:val="22"/>
        </w:rPr>
        <w:t xml:space="preserve"> will undergo history, physical exam and blood work to determine suitability per institutional standards</w:t>
      </w:r>
      <w:r w:rsidR="00CD5E77" w:rsidRPr="00D6112B">
        <w:rPr>
          <w:rFonts w:ascii="Arial" w:hAnsi="Arial" w:cs="Arial"/>
          <w:sz w:val="22"/>
          <w:szCs w:val="22"/>
        </w:rPr>
        <w:t xml:space="preserve"> according to 21 CFR 1271</w:t>
      </w:r>
      <w:r w:rsidR="00582A96" w:rsidRPr="00D6112B">
        <w:rPr>
          <w:rFonts w:ascii="Arial" w:hAnsi="Arial" w:cs="Arial"/>
          <w:sz w:val="22"/>
          <w:szCs w:val="22"/>
        </w:rPr>
        <w:t>(15) and FACT standards</w:t>
      </w:r>
      <w:r w:rsidR="00CD5E77" w:rsidRPr="00D6112B">
        <w:rPr>
          <w:rFonts w:ascii="Arial" w:hAnsi="Arial" w:cs="Arial"/>
          <w:sz w:val="22"/>
          <w:szCs w:val="22"/>
        </w:rPr>
        <w:t>.</w:t>
      </w:r>
    </w:p>
    <w:p w14:paraId="42B8F6A3" w14:textId="16AA6A00" w:rsidR="000200AE" w:rsidRPr="00D6112B" w:rsidRDefault="00EE1905" w:rsidP="000200AE">
      <w:pPr>
        <w:pStyle w:val="ListParagraph"/>
        <w:numPr>
          <w:ilvl w:val="2"/>
          <w:numId w:val="1"/>
        </w:numPr>
        <w:rPr>
          <w:rFonts w:ascii="Arial" w:hAnsi="Arial" w:cs="Arial"/>
          <w:sz w:val="22"/>
          <w:szCs w:val="22"/>
        </w:rPr>
      </w:pPr>
      <w:r w:rsidRPr="00D6112B">
        <w:rPr>
          <w:rFonts w:ascii="Arial" w:hAnsi="Arial" w:cs="Arial"/>
          <w:sz w:val="22"/>
          <w:szCs w:val="22"/>
          <w:u w:val="single"/>
        </w:rPr>
        <w:t>History</w:t>
      </w:r>
      <w:r w:rsidR="000200AE" w:rsidRPr="00D6112B">
        <w:rPr>
          <w:rFonts w:ascii="Arial" w:hAnsi="Arial" w:cs="Arial"/>
          <w:sz w:val="22"/>
          <w:szCs w:val="22"/>
          <w:u w:val="single"/>
        </w:rPr>
        <w:t>:</w:t>
      </w:r>
      <w:r w:rsidR="000200AE" w:rsidRPr="00D6112B">
        <w:rPr>
          <w:rFonts w:ascii="Arial" w:hAnsi="Arial" w:cs="Arial"/>
          <w:sz w:val="22"/>
          <w:szCs w:val="22"/>
        </w:rPr>
        <w:t xml:space="preserve"> The donor will undergo a consultation with a transplant donor physician. This will include review of medical records that includes risk factors for and clinical evidence of, relevant communicable disea</w:t>
      </w:r>
      <w:r w:rsidR="00B82723" w:rsidRPr="00D6112B">
        <w:rPr>
          <w:rFonts w:ascii="Arial" w:hAnsi="Arial" w:cs="Arial"/>
          <w:sz w:val="22"/>
          <w:szCs w:val="22"/>
        </w:rPr>
        <w:t>s</w:t>
      </w:r>
      <w:r w:rsidR="000200AE" w:rsidRPr="00D6112B">
        <w:rPr>
          <w:rFonts w:ascii="Arial" w:hAnsi="Arial" w:cs="Arial"/>
          <w:sz w:val="22"/>
          <w:szCs w:val="22"/>
        </w:rPr>
        <w:t xml:space="preserve">e agents and diseases, as well as any conditions that that ay increase risk during mobilization or peripheral blood stem cell collection. A list of current medications will be reviewed. Part of the history taking will involve reviewing and discussing the donor health history questionnaire (DHHQ) that is completed by the donor. This screening tool to determine if the donor is eligible or ineligible to donate and will indicate if there is a risk of communicable disease transmission to the </w:t>
      </w:r>
      <w:r w:rsidR="00B82723" w:rsidRPr="00D6112B">
        <w:rPr>
          <w:rFonts w:ascii="Arial" w:hAnsi="Arial" w:cs="Arial"/>
          <w:sz w:val="22"/>
          <w:szCs w:val="22"/>
        </w:rPr>
        <w:t>recipient, including questions about travel and/or living in Europe and history of or exposure to CJD</w:t>
      </w:r>
      <w:r w:rsidR="000200AE" w:rsidRPr="00D6112B">
        <w:rPr>
          <w:rFonts w:ascii="Arial" w:hAnsi="Arial" w:cs="Arial"/>
          <w:sz w:val="22"/>
          <w:szCs w:val="22"/>
        </w:rPr>
        <w:t>.</w:t>
      </w:r>
    </w:p>
    <w:p w14:paraId="334C48D8" w14:textId="2CE6337B" w:rsidR="000200AE" w:rsidRPr="00D6112B" w:rsidRDefault="000200AE" w:rsidP="000200AE">
      <w:pPr>
        <w:pStyle w:val="ListParagraph"/>
        <w:numPr>
          <w:ilvl w:val="2"/>
          <w:numId w:val="1"/>
        </w:numPr>
        <w:rPr>
          <w:rFonts w:ascii="Arial" w:hAnsi="Arial" w:cs="Arial"/>
          <w:sz w:val="22"/>
          <w:szCs w:val="22"/>
        </w:rPr>
      </w:pPr>
      <w:r w:rsidRPr="00D6112B">
        <w:rPr>
          <w:rFonts w:ascii="Arial" w:hAnsi="Arial" w:cs="Arial"/>
          <w:sz w:val="22"/>
          <w:szCs w:val="22"/>
          <w:u w:val="single"/>
        </w:rPr>
        <w:t>Physical Exam</w:t>
      </w:r>
      <w:r w:rsidRPr="00D6112B">
        <w:rPr>
          <w:rFonts w:ascii="Arial" w:hAnsi="Arial" w:cs="Arial"/>
          <w:sz w:val="22"/>
          <w:szCs w:val="22"/>
        </w:rPr>
        <w:t>: A physical exam, including vital signs, will be performed by the transplant donor physician to ensure the donor is suitable to donate stem cells.</w:t>
      </w:r>
    </w:p>
    <w:p w14:paraId="0C1D199F" w14:textId="4EC1509B" w:rsidR="000200AE" w:rsidRPr="00D6112B" w:rsidRDefault="000200AE" w:rsidP="000200AE">
      <w:pPr>
        <w:pStyle w:val="ListParagraph"/>
        <w:numPr>
          <w:ilvl w:val="2"/>
          <w:numId w:val="1"/>
        </w:numPr>
        <w:rPr>
          <w:rFonts w:ascii="Arial" w:hAnsi="Arial" w:cs="Arial"/>
          <w:sz w:val="22"/>
          <w:szCs w:val="22"/>
        </w:rPr>
      </w:pPr>
      <w:r w:rsidRPr="00D6112B">
        <w:rPr>
          <w:rFonts w:ascii="Arial" w:hAnsi="Arial" w:cs="Arial"/>
          <w:sz w:val="22"/>
          <w:szCs w:val="22"/>
          <w:u w:val="single"/>
        </w:rPr>
        <w:t>Laboratory Testing:</w:t>
      </w:r>
      <w:r w:rsidRPr="00D6112B">
        <w:rPr>
          <w:rFonts w:ascii="Arial" w:hAnsi="Arial" w:cs="Arial"/>
          <w:sz w:val="22"/>
          <w:szCs w:val="22"/>
        </w:rPr>
        <w:t xml:space="preserve"> </w:t>
      </w:r>
      <w:r w:rsidR="005A75A7" w:rsidRPr="00D6112B">
        <w:rPr>
          <w:rFonts w:ascii="Arial" w:hAnsi="Arial" w:cs="Arial"/>
          <w:sz w:val="22"/>
          <w:szCs w:val="22"/>
        </w:rPr>
        <w:t xml:space="preserve">All lab tests performed are drawn prior to the collection of the peripheral blood stem cells. The CBC and infectious disease marker (IDM) testing must be performed within 30 days of the collection. </w:t>
      </w:r>
    </w:p>
    <w:p w14:paraId="3064A71E" w14:textId="78294918" w:rsidR="000200AE" w:rsidRPr="00D6112B" w:rsidRDefault="005A75A7" w:rsidP="003C6B41">
      <w:pPr>
        <w:pStyle w:val="ListParagraph"/>
        <w:numPr>
          <w:ilvl w:val="3"/>
          <w:numId w:val="1"/>
        </w:numPr>
        <w:rPr>
          <w:rFonts w:ascii="Arial" w:hAnsi="Arial" w:cs="Arial"/>
          <w:sz w:val="22"/>
          <w:szCs w:val="22"/>
        </w:rPr>
      </w:pPr>
      <w:r w:rsidRPr="00D6112B">
        <w:rPr>
          <w:rFonts w:ascii="Arial" w:hAnsi="Arial" w:cs="Arial"/>
          <w:sz w:val="22"/>
          <w:szCs w:val="22"/>
        </w:rPr>
        <w:t xml:space="preserve">List of Labs: CBC with differential, Complete metabolic profile, sickle cell screen, ABO-rh, chimerism testing, IDM testing performed by Versiti (Appendix A). Infectious disease testing </w:t>
      </w:r>
      <w:r w:rsidRPr="00D6112B">
        <w:rPr>
          <w:rFonts w:ascii="Arial" w:hAnsi="Arial" w:cs="Arial"/>
          <w:sz w:val="22"/>
          <w:szCs w:val="22"/>
        </w:rPr>
        <w:lastRenderedPageBreak/>
        <w:t xml:space="preserve">includes: </w:t>
      </w:r>
      <w:r w:rsidR="003C6B41" w:rsidRPr="00D6112B">
        <w:rPr>
          <w:rFonts w:ascii="Arial" w:hAnsi="Arial" w:cs="Arial"/>
          <w:sz w:val="22"/>
          <w:szCs w:val="22"/>
        </w:rPr>
        <w:t>Hepatitis B Virus (HBV); Anti-HBs (Hepatitis B surface antibody) blood automatically sent by IBC if Anti-HBc is reactive, HBsAG (Hepatitis B surface antigen), Anti-HBc (Hepatitis B core antibody), HBV NAT, Hepatitis C Virus (HCV); Anti-HCV (Hepatitis C antibody), HCV NAT, Anti-HTLV I/II (Human T-Lymphotrophic Virus I/II), HIV Testing; Anti-HIV 1+2, HIV-1 NAT, STS (syphilis), WNV-NAT (West Nile Virus), Chagas, CMV IgG, Epstein-Barr Virus (EBV) VCA IgG and IgM, Herpes Simplex Virus (HSV) IgG, Varicella Zoster Virus (VZV) IgG, Toxoplasmosis IgG and IgM</w:t>
      </w:r>
      <w:r w:rsidR="00582A96" w:rsidRPr="00D6112B">
        <w:rPr>
          <w:rFonts w:ascii="Arial" w:hAnsi="Arial" w:cs="Arial"/>
          <w:sz w:val="22"/>
          <w:szCs w:val="22"/>
        </w:rPr>
        <w:t xml:space="preserve">. If any concerning signs or symptoms noted on history and physical exam, testing </w:t>
      </w:r>
      <w:r w:rsidR="00D6112B" w:rsidRPr="00D6112B">
        <w:rPr>
          <w:rFonts w:ascii="Arial" w:hAnsi="Arial" w:cs="Arial"/>
          <w:sz w:val="22"/>
          <w:szCs w:val="22"/>
        </w:rPr>
        <w:t>for Chlamydia</w:t>
      </w:r>
      <w:r w:rsidR="00E408A0" w:rsidRPr="00D6112B">
        <w:rPr>
          <w:rFonts w:ascii="Arial" w:hAnsi="Arial" w:cs="Arial"/>
          <w:sz w:val="22"/>
          <w:szCs w:val="22"/>
        </w:rPr>
        <w:t xml:space="preserve"> and Gonorrhea</w:t>
      </w:r>
      <w:r w:rsidR="00582A96" w:rsidRPr="00D6112B">
        <w:rPr>
          <w:rFonts w:ascii="Arial" w:hAnsi="Arial" w:cs="Arial"/>
          <w:sz w:val="22"/>
          <w:szCs w:val="22"/>
        </w:rPr>
        <w:t xml:space="preserve"> will be completed. </w:t>
      </w:r>
      <w:r w:rsidR="00E408A0" w:rsidRPr="00D6112B">
        <w:rPr>
          <w:rFonts w:ascii="Arial" w:hAnsi="Arial" w:cs="Arial"/>
          <w:sz w:val="22"/>
          <w:szCs w:val="22"/>
        </w:rPr>
        <w:t xml:space="preserve"> </w:t>
      </w:r>
    </w:p>
    <w:p w14:paraId="2A6BDF49" w14:textId="3864371B" w:rsidR="003C6B41" w:rsidRPr="00D6112B" w:rsidRDefault="003C6B41" w:rsidP="00CE1D2F">
      <w:pPr>
        <w:pStyle w:val="ListParagraph"/>
        <w:numPr>
          <w:ilvl w:val="2"/>
          <w:numId w:val="1"/>
        </w:numPr>
        <w:rPr>
          <w:rFonts w:ascii="Arial" w:hAnsi="Arial" w:cs="Arial"/>
          <w:sz w:val="22"/>
          <w:szCs w:val="22"/>
        </w:rPr>
      </w:pPr>
      <w:r w:rsidRPr="00D6112B">
        <w:rPr>
          <w:rFonts w:ascii="Arial" w:hAnsi="Arial" w:cs="Arial"/>
          <w:sz w:val="22"/>
          <w:szCs w:val="22"/>
          <w:u w:val="single"/>
        </w:rPr>
        <w:t>Imaging:</w:t>
      </w:r>
      <w:r w:rsidRPr="00D6112B">
        <w:rPr>
          <w:rFonts w:ascii="Arial" w:hAnsi="Arial" w:cs="Arial"/>
          <w:sz w:val="22"/>
          <w:szCs w:val="22"/>
        </w:rPr>
        <w:t xml:space="preserve"> EKG, Chest Xray and other diagnostic test or imaging will be obtained if clinically indicated </w:t>
      </w:r>
    </w:p>
    <w:p w14:paraId="5E533720" w14:textId="77777777" w:rsidR="00330F52" w:rsidRPr="004253DA" w:rsidRDefault="00330F52" w:rsidP="004253DA">
      <w:pPr>
        <w:pStyle w:val="ListParagraph"/>
        <w:ind w:left="1095"/>
      </w:pPr>
    </w:p>
    <w:p w14:paraId="572ADD24" w14:textId="33EA3E09" w:rsidR="00BA55D0" w:rsidRDefault="00BA55D0" w:rsidP="00617425">
      <w:pPr>
        <w:pStyle w:val="ListParagraph"/>
        <w:numPr>
          <w:ilvl w:val="0"/>
          <w:numId w:val="1"/>
        </w:numPr>
        <w:rPr>
          <w:b/>
          <w:bCs/>
        </w:rPr>
      </w:pPr>
      <w:r>
        <w:rPr>
          <w:b/>
          <w:bCs/>
        </w:rPr>
        <w:t>References</w:t>
      </w:r>
    </w:p>
    <w:p w14:paraId="56438BEF" w14:textId="6002D096" w:rsidR="00FD2831" w:rsidRPr="00A73C12" w:rsidRDefault="00FD2831" w:rsidP="00FD2831">
      <w:pPr>
        <w:pStyle w:val="ListParagraph"/>
        <w:numPr>
          <w:ilvl w:val="0"/>
          <w:numId w:val="8"/>
        </w:numPr>
        <w:autoSpaceDE w:val="0"/>
        <w:autoSpaceDN w:val="0"/>
        <w:adjustRightInd w:val="0"/>
        <w:spacing w:after="0" w:line="240" w:lineRule="auto"/>
        <w:contextualSpacing w:val="0"/>
        <w:rPr>
          <w:rFonts w:ascii="Arial" w:eastAsia="Calibri" w:hAnsi="Arial" w:cs="Arial"/>
          <w:sz w:val="22"/>
          <w:szCs w:val="22"/>
        </w:rPr>
      </w:pPr>
      <w:r w:rsidRPr="00A73C12">
        <w:rPr>
          <w:rFonts w:ascii="Arial" w:eastAsia="Calibri" w:hAnsi="Arial" w:cs="Arial"/>
          <w:sz w:val="22"/>
          <w:szCs w:val="22"/>
        </w:rPr>
        <w:t xml:space="preserve">Bunjes, D., et al., </w:t>
      </w:r>
      <w:r w:rsidRPr="00A73C12">
        <w:rPr>
          <w:rFonts w:ascii="Arial" w:eastAsia="Calibri" w:hAnsi="Arial" w:cs="Arial"/>
          <w:i/>
          <w:iCs/>
          <w:sz w:val="22"/>
          <w:szCs w:val="22"/>
        </w:rPr>
        <w:t>T-cell depleted allogeneic peripheral blood stem cell transplants in 30 patients with haematological malignancies: Benefits and risks.</w:t>
      </w:r>
      <w:r w:rsidRPr="00A73C12">
        <w:rPr>
          <w:rFonts w:ascii="Arial" w:eastAsia="Calibri" w:hAnsi="Arial" w:cs="Arial"/>
          <w:sz w:val="22"/>
          <w:szCs w:val="22"/>
        </w:rPr>
        <w:t xml:space="preserve"> Blood, 1997. </w:t>
      </w:r>
      <w:r w:rsidRPr="00A73C12">
        <w:rPr>
          <w:rFonts w:ascii="Arial" w:eastAsia="Calibri" w:hAnsi="Arial" w:cs="Arial"/>
          <w:b/>
          <w:bCs/>
          <w:sz w:val="22"/>
          <w:szCs w:val="22"/>
        </w:rPr>
        <w:t>90</w:t>
      </w:r>
      <w:r w:rsidRPr="00A73C12">
        <w:rPr>
          <w:rFonts w:ascii="Arial" w:eastAsia="Calibri" w:hAnsi="Arial" w:cs="Arial"/>
          <w:sz w:val="22"/>
          <w:szCs w:val="22"/>
        </w:rPr>
        <w:t>: p. 103a.</w:t>
      </w:r>
    </w:p>
    <w:p w14:paraId="785C3B1E" w14:textId="24233B29" w:rsidR="00FD2831" w:rsidRDefault="00FD2831" w:rsidP="00FD2831">
      <w:pPr>
        <w:pStyle w:val="ListParagraph"/>
        <w:numPr>
          <w:ilvl w:val="0"/>
          <w:numId w:val="8"/>
        </w:numPr>
        <w:autoSpaceDE w:val="0"/>
        <w:autoSpaceDN w:val="0"/>
        <w:adjustRightInd w:val="0"/>
        <w:spacing w:after="0" w:line="240" w:lineRule="auto"/>
        <w:contextualSpacing w:val="0"/>
        <w:rPr>
          <w:rFonts w:ascii="Arial" w:eastAsia="Calibri" w:hAnsi="Arial" w:cs="Arial"/>
          <w:sz w:val="22"/>
          <w:szCs w:val="22"/>
        </w:rPr>
      </w:pPr>
      <w:r w:rsidRPr="00A73C12">
        <w:rPr>
          <w:rFonts w:ascii="Arial" w:eastAsia="Calibri" w:hAnsi="Arial" w:cs="Arial"/>
          <w:sz w:val="22"/>
          <w:szCs w:val="22"/>
        </w:rPr>
        <w:t xml:space="preserve">Watts, M., et al., </w:t>
      </w:r>
      <w:r w:rsidRPr="00A73C12">
        <w:rPr>
          <w:rFonts w:ascii="Arial" w:eastAsia="Calibri" w:hAnsi="Arial" w:cs="Arial"/>
          <w:i/>
          <w:iCs/>
          <w:sz w:val="22"/>
          <w:szCs w:val="22"/>
        </w:rPr>
        <w:t>Variable product purity and functional capacity after CD34 selection: a direct comparison of the CliniMACS (v2.1) and Isolex 300i (v2.5) clinical scale devices.</w:t>
      </w:r>
      <w:r w:rsidRPr="00A73C12">
        <w:rPr>
          <w:rFonts w:ascii="Arial" w:eastAsia="Calibri" w:hAnsi="Arial" w:cs="Arial"/>
          <w:sz w:val="22"/>
          <w:szCs w:val="22"/>
        </w:rPr>
        <w:t xml:space="preserve"> Br J Haematol, 2002. </w:t>
      </w:r>
      <w:r w:rsidRPr="00A73C12">
        <w:rPr>
          <w:rFonts w:ascii="Arial" w:eastAsia="Calibri" w:hAnsi="Arial" w:cs="Arial"/>
          <w:b/>
          <w:bCs/>
          <w:sz w:val="22"/>
          <w:szCs w:val="22"/>
        </w:rPr>
        <w:t>118</w:t>
      </w:r>
      <w:r w:rsidRPr="00A73C12">
        <w:rPr>
          <w:rFonts w:ascii="Arial" w:eastAsia="Calibri" w:hAnsi="Arial" w:cs="Arial"/>
          <w:sz w:val="22"/>
          <w:szCs w:val="22"/>
        </w:rPr>
        <w:t>: p. 117-123.</w:t>
      </w:r>
    </w:p>
    <w:p w14:paraId="2C9754EB" w14:textId="77777777" w:rsidR="003B12F0" w:rsidRPr="00A73C12" w:rsidRDefault="003B12F0" w:rsidP="003B12F0">
      <w:pPr>
        <w:pStyle w:val="ListParagraph"/>
        <w:numPr>
          <w:ilvl w:val="0"/>
          <w:numId w:val="8"/>
        </w:numPr>
        <w:autoSpaceDE w:val="0"/>
        <w:autoSpaceDN w:val="0"/>
        <w:adjustRightInd w:val="0"/>
        <w:spacing w:after="0" w:line="240" w:lineRule="auto"/>
        <w:contextualSpacing w:val="0"/>
        <w:rPr>
          <w:rFonts w:ascii="Arial" w:eastAsia="Calibri" w:hAnsi="Arial" w:cs="Arial"/>
          <w:sz w:val="22"/>
          <w:szCs w:val="22"/>
        </w:rPr>
      </w:pPr>
      <w:r w:rsidRPr="00A73C12">
        <w:rPr>
          <w:rFonts w:ascii="Arial" w:eastAsia="Calibri" w:hAnsi="Arial" w:cs="Arial"/>
          <w:sz w:val="22"/>
          <w:szCs w:val="22"/>
        </w:rPr>
        <w:t xml:space="preserve">Maniar, A., et al., </w:t>
      </w:r>
      <w:r w:rsidRPr="00A73C12">
        <w:rPr>
          <w:rFonts w:ascii="Arial" w:eastAsia="Calibri" w:hAnsi="Arial" w:cs="Arial"/>
          <w:i/>
          <w:iCs/>
          <w:sz w:val="22"/>
          <w:szCs w:val="22"/>
        </w:rPr>
        <w:t>Human gammadelta T lymphocytes induce robust NK cell-mediated antitumor cytotoxicity through CD137 engagement.</w:t>
      </w:r>
      <w:r w:rsidRPr="00A73C12">
        <w:rPr>
          <w:rFonts w:ascii="Arial" w:eastAsia="Calibri" w:hAnsi="Arial" w:cs="Arial"/>
          <w:sz w:val="22"/>
          <w:szCs w:val="22"/>
        </w:rPr>
        <w:t xml:space="preserve"> Blood, 2010. </w:t>
      </w:r>
      <w:r w:rsidRPr="00A73C12">
        <w:rPr>
          <w:rFonts w:ascii="Arial" w:eastAsia="Calibri" w:hAnsi="Arial" w:cs="Arial"/>
          <w:b/>
          <w:bCs/>
          <w:sz w:val="22"/>
          <w:szCs w:val="22"/>
        </w:rPr>
        <w:t>116</w:t>
      </w:r>
      <w:r w:rsidRPr="00A73C12">
        <w:rPr>
          <w:rFonts w:ascii="Arial" w:eastAsia="Calibri" w:hAnsi="Arial" w:cs="Arial"/>
          <w:sz w:val="22"/>
          <w:szCs w:val="22"/>
        </w:rPr>
        <w:t>(10): p. 1726-33.</w:t>
      </w:r>
    </w:p>
    <w:p w14:paraId="2679DF99" w14:textId="77777777" w:rsidR="003B12F0" w:rsidRPr="00A73C12" w:rsidRDefault="003B12F0" w:rsidP="003B12F0">
      <w:pPr>
        <w:pStyle w:val="ListParagraph"/>
        <w:numPr>
          <w:ilvl w:val="0"/>
          <w:numId w:val="8"/>
        </w:numPr>
        <w:spacing w:line="240" w:lineRule="auto"/>
        <w:rPr>
          <w:rFonts w:ascii="Arial" w:hAnsi="Arial" w:cs="Arial"/>
          <w:sz w:val="22"/>
          <w:szCs w:val="22"/>
        </w:rPr>
      </w:pPr>
      <w:r w:rsidRPr="00A73C12">
        <w:rPr>
          <w:rFonts w:ascii="Arial" w:hAnsi="Arial" w:cs="Arial"/>
          <w:noProof/>
          <w:sz w:val="22"/>
          <w:szCs w:val="22"/>
        </w:rPr>
        <w:t>Schumm M, Lang P, Bethge W, et al. Depletion of T-cell receptor alpha/beta and CD19 positive cells from apheresis products with the CliniMACS device. Cytotherapy 2013;</w:t>
      </w:r>
      <w:r w:rsidRPr="00A73C12">
        <w:rPr>
          <w:rFonts w:ascii="Arial" w:hAnsi="Arial" w:cs="Arial"/>
          <w:b/>
          <w:bCs/>
          <w:noProof/>
          <w:sz w:val="22"/>
          <w:szCs w:val="22"/>
        </w:rPr>
        <w:t>15</w:t>
      </w:r>
      <w:r w:rsidRPr="00A73C12">
        <w:rPr>
          <w:rFonts w:ascii="Arial" w:hAnsi="Arial" w:cs="Arial"/>
          <w:noProof/>
          <w:sz w:val="22"/>
          <w:szCs w:val="22"/>
        </w:rPr>
        <w:t>:1253-8.</w:t>
      </w:r>
    </w:p>
    <w:p w14:paraId="7F4DB464" w14:textId="77777777" w:rsidR="003B12F0" w:rsidRPr="00A73C12" w:rsidRDefault="003B12F0" w:rsidP="003B12F0">
      <w:pPr>
        <w:pStyle w:val="ListParagraph"/>
        <w:numPr>
          <w:ilvl w:val="0"/>
          <w:numId w:val="8"/>
        </w:numPr>
        <w:spacing w:line="240" w:lineRule="auto"/>
        <w:rPr>
          <w:rFonts w:ascii="Arial" w:hAnsi="Arial" w:cs="Arial"/>
          <w:sz w:val="22"/>
          <w:szCs w:val="22"/>
        </w:rPr>
      </w:pPr>
      <w:r w:rsidRPr="00A73C12">
        <w:rPr>
          <w:rFonts w:ascii="Arial" w:hAnsi="Arial" w:cs="Arial"/>
          <w:noProof/>
          <w:sz w:val="22"/>
          <w:szCs w:val="22"/>
        </w:rPr>
        <w:t>Locatelli F, Merli P, Pagliara D, et al. Outcome of children with acute leukemia given HLA-haploidentical HSCT after alphabeta T-cell and B-cell depletion. Blood 2017;130:677-85.</w:t>
      </w:r>
    </w:p>
    <w:p w14:paraId="3D83B29F" w14:textId="77777777" w:rsidR="003B12F0" w:rsidRPr="00A73C12" w:rsidRDefault="003B12F0" w:rsidP="003B12F0">
      <w:pPr>
        <w:pStyle w:val="ListParagraph"/>
        <w:numPr>
          <w:ilvl w:val="0"/>
          <w:numId w:val="8"/>
        </w:numPr>
        <w:spacing w:line="240" w:lineRule="auto"/>
        <w:rPr>
          <w:rFonts w:ascii="Arial" w:hAnsi="Arial" w:cs="Arial"/>
          <w:sz w:val="22"/>
          <w:szCs w:val="22"/>
        </w:rPr>
      </w:pPr>
      <w:r w:rsidRPr="00A73C12">
        <w:rPr>
          <w:rFonts w:ascii="Arial" w:hAnsi="Arial" w:cs="Arial"/>
          <w:noProof/>
          <w:sz w:val="22"/>
          <w:szCs w:val="22"/>
        </w:rPr>
        <w:t>Bertaina A, Merli P, Rutella S, et al. HLA-haploidentical stem cell transplantation after removal of alphabeta+ T and B cells in children with nonmalignant disorders. Blood 2014;</w:t>
      </w:r>
      <w:r w:rsidRPr="00A73C12">
        <w:rPr>
          <w:rFonts w:ascii="Arial" w:hAnsi="Arial" w:cs="Arial"/>
          <w:b/>
          <w:bCs/>
          <w:noProof/>
          <w:sz w:val="22"/>
          <w:szCs w:val="22"/>
        </w:rPr>
        <w:t>124</w:t>
      </w:r>
      <w:r w:rsidRPr="00A73C12">
        <w:rPr>
          <w:rFonts w:ascii="Arial" w:hAnsi="Arial" w:cs="Arial"/>
          <w:noProof/>
          <w:sz w:val="22"/>
          <w:szCs w:val="22"/>
        </w:rPr>
        <w:t>:822-6.</w:t>
      </w:r>
    </w:p>
    <w:p w14:paraId="07BC0438" w14:textId="77777777" w:rsidR="003B12F0" w:rsidRPr="00A73C12" w:rsidRDefault="003B12F0" w:rsidP="003B12F0">
      <w:pPr>
        <w:pStyle w:val="ListParagraph"/>
        <w:numPr>
          <w:ilvl w:val="0"/>
          <w:numId w:val="8"/>
        </w:numPr>
        <w:autoSpaceDE w:val="0"/>
        <w:autoSpaceDN w:val="0"/>
        <w:adjustRightInd w:val="0"/>
        <w:spacing w:after="0" w:line="240" w:lineRule="auto"/>
        <w:contextualSpacing w:val="0"/>
        <w:rPr>
          <w:rFonts w:ascii="Arial" w:eastAsia="Calibri" w:hAnsi="Arial" w:cs="Arial"/>
          <w:sz w:val="22"/>
          <w:szCs w:val="22"/>
        </w:rPr>
      </w:pPr>
      <w:r w:rsidRPr="00A73C12">
        <w:rPr>
          <w:rFonts w:ascii="Arial" w:eastAsia="Calibri" w:hAnsi="Arial" w:cs="Arial"/>
          <w:sz w:val="22"/>
          <w:szCs w:val="22"/>
        </w:rPr>
        <w:t xml:space="preserve">Bethge, W.A., et al., </w:t>
      </w:r>
      <w:r w:rsidRPr="00A73C12">
        <w:rPr>
          <w:rFonts w:ascii="Arial" w:eastAsia="Calibri" w:hAnsi="Arial" w:cs="Arial"/>
          <w:i/>
          <w:iCs/>
          <w:sz w:val="22"/>
          <w:szCs w:val="22"/>
        </w:rPr>
        <w:t>Haploidentical allogeneic hematopoietic cell transplantation in adults with reduced-intensity conditioning and CD3/CD19 depletion: fast engraftment and low toxicity.</w:t>
      </w:r>
      <w:r w:rsidRPr="00A73C12">
        <w:rPr>
          <w:rFonts w:ascii="Arial" w:eastAsia="Calibri" w:hAnsi="Arial" w:cs="Arial"/>
          <w:sz w:val="22"/>
          <w:szCs w:val="22"/>
        </w:rPr>
        <w:t xml:space="preserve"> Exp Hematol, 2006. </w:t>
      </w:r>
      <w:r w:rsidRPr="00A73C12">
        <w:rPr>
          <w:rFonts w:ascii="Arial" w:eastAsia="Calibri" w:hAnsi="Arial" w:cs="Arial"/>
          <w:b/>
          <w:bCs/>
          <w:sz w:val="22"/>
          <w:szCs w:val="22"/>
        </w:rPr>
        <w:t>34</w:t>
      </w:r>
      <w:r w:rsidRPr="00A73C12">
        <w:rPr>
          <w:rFonts w:ascii="Arial" w:eastAsia="Calibri" w:hAnsi="Arial" w:cs="Arial"/>
          <w:sz w:val="22"/>
          <w:szCs w:val="22"/>
        </w:rPr>
        <w:t>(12): p.1746-52.</w:t>
      </w:r>
    </w:p>
    <w:p w14:paraId="7C5E1AD1" w14:textId="77777777" w:rsidR="0026633E" w:rsidRPr="0026633E" w:rsidRDefault="0026633E" w:rsidP="0026633E">
      <w:pPr>
        <w:pStyle w:val="ListParagraph"/>
        <w:numPr>
          <w:ilvl w:val="0"/>
          <w:numId w:val="8"/>
        </w:numPr>
        <w:spacing w:line="276" w:lineRule="auto"/>
        <w:rPr>
          <w:rFonts w:ascii="Arial" w:hAnsi="Arial" w:cs="Arial"/>
          <w:sz w:val="22"/>
          <w:szCs w:val="22"/>
        </w:rPr>
      </w:pPr>
      <w:r w:rsidRPr="0026633E">
        <w:rPr>
          <w:rFonts w:ascii="Arial" w:hAnsi="Arial" w:cs="Arial"/>
          <w:sz w:val="22"/>
          <w:szCs w:val="22"/>
        </w:rPr>
        <w:t>Underwood J, Rahim M, West C, Britton R, Skipworth E, Graves V, Sexton S, Harris H, Schwering D, Sinn A, Pollok KE, Robertson KA, Goebel WS, Hege KM. How old is too old? </w:t>
      </w:r>
      <w:r w:rsidRPr="0026633E">
        <w:rPr>
          <w:rFonts w:ascii="Arial" w:hAnsi="Arial" w:cs="Arial"/>
          <w:i/>
          <w:iCs/>
          <w:sz w:val="22"/>
          <w:szCs w:val="22"/>
        </w:rPr>
        <w:t>In vivo</w:t>
      </w:r>
      <w:r w:rsidRPr="0026633E">
        <w:rPr>
          <w:rFonts w:ascii="Arial" w:hAnsi="Arial" w:cs="Arial"/>
          <w:sz w:val="22"/>
          <w:szCs w:val="22"/>
        </w:rPr>
        <w:t> engraftment of human peripheral blood stem cells cryopreserved for up to 18 years - implications for clinical transplantation and stability programs. World J Stem Cells. 2020 May 26;12(5):359-367. doi: 10.4252/wjsc.v12.i5.359. PMID: 32547684; PMCID: PMC7280863.</w:t>
      </w:r>
    </w:p>
    <w:p w14:paraId="5D794649" w14:textId="60E2A6CA" w:rsidR="00582A96" w:rsidRPr="00D6112B" w:rsidRDefault="00582A96" w:rsidP="00D6112B">
      <w:pPr>
        <w:pStyle w:val="ListParagraph"/>
        <w:numPr>
          <w:ilvl w:val="0"/>
          <w:numId w:val="8"/>
        </w:numPr>
        <w:autoSpaceDE w:val="0"/>
        <w:autoSpaceDN w:val="0"/>
        <w:adjustRightInd w:val="0"/>
        <w:spacing w:after="0" w:line="240" w:lineRule="auto"/>
        <w:contextualSpacing w:val="0"/>
        <w:rPr>
          <w:rFonts w:ascii="Arial" w:eastAsia="Calibri" w:hAnsi="Arial" w:cs="Arial"/>
          <w:sz w:val="22"/>
          <w:szCs w:val="22"/>
        </w:rPr>
      </w:pPr>
      <w:hyperlink r:id="rId9" w:history="1">
        <w:r w:rsidRPr="00582A96">
          <w:rPr>
            <w:rStyle w:val="Hyperlink"/>
          </w:rPr>
          <w:t>https://www.ecfr.gov/current/title-21/chapter-I/subchapter-L/part-1271/subpart-C</w:t>
        </w:r>
      </w:hyperlink>
    </w:p>
    <w:p w14:paraId="3D111A4C" w14:textId="77777777" w:rsidR="005A75A7" w:rsidRDefault="005A75A7" w:rsidP="005A75A7"/>
    <w:p w14:paraId="1CF986EE" w14:textId="77777777" w:rsidR="00D6112B" w:rsidRDefault="00D6112B" w:rsidP="005A75A7"/>
    <w:p w14:paraId="1AEA4D8D" w14:textId="77777777" w:rsidR="00D6112B" w:rsidRDefault="00D6112B" w:rsidP="005A75A7"/>
    <w:p w14:paraId="40760FF3" w14:textId="533A395E" w:rsidR="005A75A7" w:rsidRDefault="005A75A7" w:rsidP="005A75A7">
      <w:pPr>
        <w:rPr>
          <w:b/>
          <w:bCs/>
        </w:rPr>
      </w:pPr>
      <w:r>
        <w:rPr>
          <w:b/>
          <w:bCs/>
        </w:rPr>
        <w:lastRenderedPageBreak/>
        <w:t xml:space="preserve">Appendix A. </w:t>
      </w:r>
    </w:p>
    <w:tbl>
      <w:tblPr>
        <w:tblStyle w:val="TableGrid"/>
        <w:tblW w:w="0" w:type="auto"/>
        <w:tblLook w:val="04A0" w:firstRow="1" w:lastRow="0" w:firstColumn="1" w:lastColumn="0" w:noHBand="0" w:noVBand="1"/>
      </w:tblPr>
      <w:tblGrid>
        <w:gridCol w:w="2753"/>
        <w:gridCol w:w="6597"/>
      </w:tblGrid>
      <w:tr w:rsidR="00267BC7" w:rsidRPr="005A75A7" w14:paraId="5878EF64" w14:textId="77777777" w:rsidTr="00EC01E9">
        <w:tc>
          <w:tcPr>
            <w:tcW w:w="9350" w:type="dxa"/>
            <w:gridSpan w:val="2"/>
            <w:hideMark/>
          </w:tcPr>
          <w:p w14:paraId="07884571" w14:textId="77777777" w:rsidR="00267BC7" w:rsidRPr="005A75A7" w:rsidRDefault="00267BC7" w:rsidP="00EC01E9">
            <w:pPr>
              <w:jc w:val="center"/>
              <w:rPr>
                <w:b/>
                <w:bCs/>
              </w:rPr>
            </w:pPr>
            <w:r w:rsidRPr="005A75A7">
              <w:rPr>
                <w:b/>
                <w:bCs/>
              </w:rPr>
              <w:t>Versiti Indiana Blood Center   CLIA# 15D0664398</w:t>
            </w:r>
          </w:p>
          <w:p w14:paraId="11DCA37F" w14:textId="77777777" w:rsidR="00267BC7" w:rsidRPr="005A75A7" w:rsidRDefault="00267BC7" w:rsidP="00EC01E9">
            <w:pPr>
              <w:spacing w:after="160" w:line="278" w:lineRule="auto"/>
              <w:rPr>
                <w:b/>
                <w:bCs/>
              </w:rPr>
            </w:pPr>
          </w:p>
        </w:tc>
      </w:tr>
      <w:tr w:rsidR="00267BC7" w:rsidRPr="005A75A7" w14:paraId="53AA27F2" w14:textId="77777777" w:rsidTr="00EC01E9">
        <w:tc>
          <w:tcPr>
            <w:tcW w:w="2753" w:type="dxa"/>
            <w:tcBorders>
              <w:top w:val="single" w:sz="4" w:space="0" w:color="auto"/>
              <w:left w:val="single" w:sz="4" w:space="0" w:color="auto"/>
              <w:bottom w:val="single" w:sz="4" w:space="0" w:color="auto"/>
              <w:right w:val="single" w:sz="4" w:space="0" w:color="auto"/>
            </w:tcBorders>
            <w:hideMark/>
          </w:tcPr>
          <w:p w14:paraId="3284A845" w14:textId="77777777" w:rsidR="00267BC7" w:rsidRPr="005A75A7" w:rsidRDefault="00267BC7" w:rsidP="00EC01E9">
            <w:pPr>
              <w:spacing w:after="160" w:line="278" w:lineRule="auto"/>
              <w:rPr>
                <w:b/>
                <w:bCs/>
              </w:rPr>
            </w:pPr>
            <w:r w:rsidRPr="005A75A7">
              <w:rPr>
                <w:b/>
                <w:bCs/>
              </w:rPr>
              <w:t>HBsAg</w:t>
            </w:r>
          </w:p>
        </w:tc>
        <w:tc>
          <w:tcPr>
            <w:tcW w:w="6597" w:type="dxa"/>
            <w:tcBorders>
              <w:top w:val="single" w:sz="4" w:space="0" w:color="auto"/>
              <w:left w:val="single" w:sz="4" w:space="0" w:color="auto"/>
              <w:bottom w:val="single" w:sz="4" w:space="0" w:color="auto"/>
              <w:right w:val="single" w:sz="4" w:space="0" w:color="auto"/>
            </w:tcBorders>
            <w:hideMark/>
          </w:tcPr>
          <w:p w14:paraId="263829D9" w14:textId="77777777" w:rsidR="00267BC7" w:rsidRPr="005A75A7" w:rsidRDefault="00267BC7" w:rsidP="00EC01E9">
            <w:pPr>
              <w:spacing w:after="160" w:line="278" w:lineRule="auto"/>
              <w:rPr>
                <w:b/>
                <w:bCs/>
              </w:rPr>
            </w:pPr>
            <w:r w:rsidRPr="005A75A7">
              <w:rPr>
                <w:b/>
                <w:bCs/>
              </w:rPr>
              <w:t>Abbott Alinity HBsAG Reagent Kit</w:t>
            </w:r>
          </w:p>
        </w:tc>
      </w:tr>
      <w:tr w:rsidR="00267BC7" w:rsidRPr="005A75A7" w14:paraId="0FD702F0" w14:textId="77777777" w:rsidTr="00EC01E9">
        <w:tc>
          <w:tcPr>
            <w:tcW w:w="2753" w:type="dxa"/>
            <w:tcBorders>
              <w:top w:val="single" w:sz="4" w:space="0" w:color="auto"/>
              <w:left w:val="single" w:sz="4" w:space="0" w:color="auto"/>
              <w:bottom w:val="single" w:sz="4" w:space="0" w:color="auto"/>
              <w:right w:val="single" w:sz="4" w:space="0" w:color="auto"/>
            </w:tcBorders>
            <w:hideMark/>
          </w:tcPr>
          <w:p w14:paraId="41CB5F02" w14:textId="77777777" w:rsidR="00267BC7" w:rsidRPr="005A75A7" w:rsidRDefault="00267BC7" w:rsidP="00EC01E9">
            <w:pPr>
              <w:spacing w:after="160" w:line="278" w:lineRule="auto"/>
              <w:rPr>
                <w:b/>
                <w:bCs/>
              </w:rPr>
            </w:pPr>
            <w:r w:rsidRPr="005A75A7">
              <w:rPr>
                <w:b/>
                <w:bCs/>
              </w:rPr>
              <w:t>Anti-HBc</w:t>
            </w:r>
          </w:p>
        </w:tc>
        <w:tc>
          <w:tcPr>
            <w:tcW w:w="6597" w:type="dxa"/>
            <w:tcBorders>
              <w:top w:val="single" w:sz="4" w:space="0" w:color="auto"/>
              <w:left w:val="single" w:sz="4" w:space="0" w:color="auto"/>
              <w:bottom w:val="single" w:sz="4" w:space="0" w:color="auto"/>
              <w:right w:val="single" w:sz="4" w:space="0" w:color="auto"/>
            </w:tcBorders>
            <w:hideMark/>
          </w:tcPr>
          <w:p w14:paraId="32089F60" w14:textId="77777777" w:rsidR="00267BC7" w:rsidRPr="005A75A7" w:rsidRDefault="00267BC7" w:rsidP="00EC01E9">
            <w:pPr>
              <w:spacing w:after="160" w:line="278" w:lineRule="auto"/>
              <w:rPr>
                <w:b/>
                <w:bCs/>
              </w:rPr>
            </w:pPr>
            <w:r w:rsidRPr="005A75A7">
              <w:rPr>
                <w:b/>
                <w:bCs/>
              </w:rPr>
              <w:t>Abbott Alinity Anti-HBc Reagent Kit</w:t>
            </w:r>
          </w:p>
        </w:tc>
      </w:tr>
      <w:tr w:rsidR="00267BC7" w:rsidRPr="005A75A7" w14:paraId="02CDAAE6" w14:textId="77777777" w:rsidTr="00EC01E9">
        <w:tc>
          <w:tcPr>
            <w:tcW w:w="2753" w:type="dxa"/>
            <w:tcBorders>
              <w:top w:val="single" w:sz="4" w:space="0" w:color="auto"/>
              <w:left w:val="single" w:sz="4" w:space="0" w:color="auto"/>
              <w:bottom w:val="single" w:sz="4" w:space="0" w:color="auto"/>
              <w:right w:val="single" w:sz="4" w:space="0" w:color="auto"/>
            </w:tcBorders>
            <w:hideMark/>
          </w:tcPr>
          <w:p w14:paraId="46987B97" w14:textId="77777777" w:rsidR="00267BC7" w:rsidRPr="005A75A7" w:rsidRDefault="00267BC7" w:rsidP="00EC01E9">
            <w:pPr>
              <w:spacing w:after="160" w:line="278" w:lineRule="auto"/>
              <w:rPr>
                <w:b/>
                <w:bCs/>
              </w:rPr>
            </w:pPr>
            <w:r w:rsidRPr="005A75A7">
              <w:rPr>
                <w:b/>
                <w:bCs/>
              </w:rPr>
              <w:t>Anti-HCV</w:t>
            </w:r>
          </w:p>
        </w:tc>
        <w:tc>
          <w:tcPr>
            <w:tcW w:w="6597" w:type="dxa"/>
            <w:tcBorders>
              <w:top w:val="single" w:sz="4" w:space="0" w:color="auto"/>
              <w:left w:val="single" w:sz="4" w:space="0" w:color="auto"/>
              <w:bottom w:val="single" w:sz="4" w:space="0" w:color="auto"/>
              <w:right w:val="single" w:sz="4" w:space="0" w:color="auto"/>
            </w:tcBorders>
            <w:hideMark/>
          </w:tcPr>
          <w:p w14:paraId="62CA37DB" w14:textId="77777777" w:rsidR="00267BC7" w:rsidRPr="005A75A7" w:rsidRDefault="00267BC7" w:rsidP="00EC01E9">
            <w:pPr>
              <w:spacing w:after="160" w:line="278" w:lineRule="auto"/>
              <w:rPr>
                <w:b/>
                <w:bCs/>
              </w:rPr>
            </w:pPr>
            <w:r w:rsidRPr="005A75A7">
              <w:rPr>
                <w:b/>
                <w:bCs/>
              </w:rPr>
              <w:t>Abbott Alinity Anti-HCV II Reagent Kit</w:t>
            </w:r>
          </w:p>
        </w:tc>
      </w:tr>
      <w:tr w:rsidR="00267BC7" w:rsidRPr="005A75A7" w14:paraId="42260EC3" w14:textId="77777777" w:rsidTr="00EC01E9">
        <w:tc>
          <w:tcPr>
            <w:tcW w:w="2753" w:type="dxa"/>
            <w:tcBorders>
              <w:top w:val="single" w:sz="4" w:space="0" w:color="auto"/>
              <w:left w:val="single" w:sz="4" w:space="0" w:color="auto"/>
              <w:bottom w:val="single" w:sz="4" w:space="0" w:color="auto"/>
              <w:right w:val="single" w:sz="4" w:space="0" w:color="auto"/>
            </w:tcBorders>
            <w:hideMark/>
          </w:tcPr>
          <w:p w14:paraId="2721E0F8" w14:textId="77777777" w:rsidR="00267BC7" w:rsidRPr="005A75A7" w:rsidRDefault="00267BC7" w:rsidP="00EC01E9">
            <w:pPr>
              <w:spacing w:after="160" w:line="278" w:lineRule="auto"/>
              <w:rPr>
                <w:b/>
                <w:bCs/>
              </w:rPr>
            </w:pPr>
            <w:r w:rsidRPr="005A75A7">
              <w:rPr>
                <w:b/>
                <w:bCs/>
              </w:rPr>
              <w:t>Anti-HTLV I/II</w:t>
            </w:r>
          </w:p>
        </w:tc>
        <w:tc>
          <w:tcPr>
            <w:tcW w:w="6597" w:type="dxa"/>
            <w:tcBorders>
              <w:top w:val="single" w:sz="4" w:space="0" w:color="auto"/>
              <w:left w:val="single" w:sz="4" w:space="0" w:color="auto"/>
              <w:bottom w:val="single" w:sz="4" w:space="0" w:color="auto"/>
              <w:right w:val="single" w:sz="4" w:space="0" w:color="auto"/>
            </w:tcBorders>
            <w:hideMark/>
          </w:tcPr>
          <w:p w14:paraId="59C05267" w14:textId="77777777" w:rsidR="00267BC7" w:rsidRPr="005A75A7" w:rsidRDefault="00267BC7" w:rsidP="00EC01E9">
            <w:pPr>
              <w:spacing w:after="160" w:line="278" w:lineRule="auto"/>
              <w:rPr>
                <w:b/>
                <w:bCs/>
              </w:rPr>
            </w:pPr>
            <w:r w:rsidRPr="005A75A7">
              <w:rPr>
                <w:b/>
                <w:bCs/>
              </w:rPr>
              <w:t>Abbott Alinity HTLV I/II Reagent Kit</w:t>
            </w:r>
          </w:p>
        </w:tc>
      </w:tr>
      <w:tr w:rsidR="00267BC7" w:rsidRPr="005A75A7" w14:paraId="117A5FBA" w14:textId="77777777" w:rsidTr="00EC01E9">
        <w:tc>
          <w:tcPr>
            <w:tcW w:w="2753" w:type="dxa"/>
            <w:tcBorders>
              <w:top w:val="single" w:sz="4" w:space="0" w:color="auto"/>
              <w:left w:val="single" w:sz="4" w:space="0" w:color="auto"/>
              <w:bottom w:val="single" w:sz="4" w:space="0" w:color="auto"/>
              <w:right w:val="single" w:sz="4" w:space="0" w:color="auto"/>
            </w:tcBorders>
            <w:hideMark/>
          </w:tcPr>
          <w:p w14:paraId="49112468" w14:textId="77777777" w:rsidR="00267BC7" w:rsidRPr="005A75A7" w:rsidRDefault="00267BC7" w:rsidP="00EC01E9">
            <w:pPr>
              <w:spacing w:after="160" w:line="278" w:lineRule="auto"/>
              <w:rPr>
                <w:b/>
                <w:bCs/>
              </w:rPr>
            </w:pPr>
            <w:r w:rsidRPr="005A75A7">
              <w:rPr>
                <w:b/>
                <w:bCs/>
              </w:rPr>
              <w:t>HIV-1 NAT</w:t>
            </w:r>
          </w:p>
        </w:tc>
        <w:tc>
          <w:tcPr>
            <w:tcW w:w="6597" w:type="dxa"/>
            <w:tcBorders>
              <w:top w:val="single" w:sz="4" w:space="0" w:color="auto"/>
              <w:left w:val="single" w:sz="4" w:space="0" w:color="auto"/>
              <w:bottom w:val="single" w:sz="4" w:space="0" w:color="auto"/>
              <w:right w:val="single" w:sz="4" w:space="0" w:color="auto"/>
            </w:tcBorders>
            <w:hideMark/>
          </w:tcPr>
          <w:p w14:paraId="31AE9441" w14:textId="77777777" w:rsidR="00267BC7" w:rsidRPr="005A75A7" w:rsidRDefault="00267BC7" w:rsidP="00EC01E9">
            <w:pPr>
              <w:spacing w:after="160" w:line="278" w:lineRule="auto"/>
              <w:rPr>
                <w:b/>
                <w:bCs/>
              </w:rPr>
            </w:pPr>
            <w:r w:rsidRPr="005A75A7">
              <w:rPr>
                <w:b/>
                <w:bCs/>
              </w:rPr>
              <w:t>Cobas MPX Multiplex HIV, HCV, &amp; HBV nucleic acid test</w:t>
            </w:r>
          </w:p>
        </w:tc>
      </w:tr>
      <w:tr w:rsidR="00267BC7" w:rsidRPr="005A75A7" w14:paraId="519D806C" w14:textId="77777777" w:rsidTr="00EC01E9">
        <w:tc>
          <w:tcPr>
            <w:tcW w:w="2753" w:type="dxa"/>
            <w:tcBorders>
              <w:top w:val="single" w:sz="4" w:space="0" w:color="auto"/>
              <w:left w:val="single" w:sz="4" w:space="0" w:color="auto"/>
              <w:bottom w:val="single" w:sz="4" w:space="0" w:color="auto"/>
              <w:right w:val="single" w:sz="4" w:space="0" w:color="auto"/>
            </w:tcBorders>
            <w:hideMark/>
          </w:tcPr>
          <w:p w14:paraId="1EB71B71" w14:textId="77777777" w:rsidR="00267BC7" w:rsidRPr="005A75A7" w:rsidRDefault="00267BC7" w:rsidP="00EC01E9">
            <w:pPr>
              <w:spacing w:after="160" w:line="278" w:lineRule="auto"/>
              <w:rPr>
                <w:b/>
                <w:bCs/>
              </w:rPr>
            </w:pPr>
            <w:r w:rsidRPr="005A75A7">
              <w:rPr>
                <w:b/>
                <w:bCs/>
              </w:rPr>
              <w:t>HCV NAT</w:t>
            </w:r>
          </w:p>
        </w:tc>
        <w:tc>
          <w:tcPr>
            <w:tcW w:w="6597" w:type="dxa"/>
            <w:tcBorders>
              <w:top w:val="single" w:sz="4" w:space="0" w:color="auto"/>
              <w:left w:val="single" w:sz="4" w:space="0" w:color="auto"/>
              <w:bottom w:val="single" w:sz="4" w:space="0" w:color="auto"/>
              <w:right w:val="single" w:sz="4" w:space="0" w:color="auto"/>
            </w:tcBorders>
            <w:hideMark/>
          </w:tcPr>
          <w:p w14:paraId="71A492B8" w14:textId="77777777" w:rsidR="00267BC7" w:rsidRPr="005A75A7" w:rsidRDefault="00267BC7" w:rsidP="00EC01E9">
            <w:pPr>
              <w:spacing w:after="160" w:line="278" w:lineRule="auto"/>
              <w:rPr>
                <w:b/>
                <w:bCs/>
              </w:rPr>
            </w:pPr>
            <w:r w:rsidRPr="005A75A7">
              <w:rPr>
                <w:b/>
                <w:bCs/>
              </w:rPr>
              <w:t>Cobas MPX Multiplex HIV, HCV, &amp; HBV nucleic acid test</w:t>
            </w:r>
          </w:p>
        </w:tc>
      </w:tr>
      <w:tr w:rsidR="00267BC7" w:rsidRPr="005A75A7" w14:paraId="143D6945" w14:textId="77777777" w:rsidTr="00EC01E9">
        <w:tc>
          <w:tcPr>
            <w:tcW w:w="2753" w:type="dxa"/>
            <w:tcBorders>
              <w:top w:val="single" w:sz="4" w:space="0" w:color="auto"/>
              <w:left w:val="single" w:sz="4" w:space="0" w:color="auto"/>
              <w:bottom w:val="single" w:sz="4" w:space="0" w:color="auto"/>
              <w:right w:val="single" w:sz="4" w:space="0" w:color="auto"/>
            </w:tcBorders>
            <w:hideMark/>
          </w:tcPr>
          <w:p w14:paraId="22549883" w14:textId="77777777" w:rsidR="00267BC7" w:rsidRPr="005A75A7" w:rsidRDefault="00267BC7" w:rsidP="00EC01E9">
            <w:pPr>
              <w:spacing w:after="160" w:line="278" w:lineRule="auto"/>
              <w:rPr>
                <w:b/>
                <w:bCs/>
              </w:rPr>
            </w:pPr>
            <w:r w:rsidRPr="005A75A7">
              <w:rPr>
                <w:b/>
                <w:bCs/>
              </w:rPr>
              <w:t>Anti-HIV 1,2</w:t>
            </w:r>
          </w:p>
        </w:tc>
        <w:tc>
          <w:tcPr>
            <w:tcW w:w="6597" w:type="dxa"/>
            <w:tcBorders>
              <w:top w:val="single" w:sz="4" w:space="0" w:color="auto"/>
              <w:left w:val="single" w:sz="4" w:space="0" w:color="auto"/>
              <w:bottom w:val="single" w:sz="4" w:space="0" w:color="auto"/>
              <w:right w:val="single" w:sz="4" w:space="0" w:color="auto"/>
            </w:tcBorders>
            <w:hideMark/>
          </w:tcPr>
          <w:p w14:paraId="226B94EF" w14:textId="77777777" w:rsidR="00267BC7" w:rsidRPr="005A75A7" w:rsidRDefault="00267BC7" w:rsidP="00EC01E9">
            <w:pPr>
              <w:spacing w:after="160" w:line="278" w:lineRule="auto"/>
              <w:rPr>
                <w:b/>
                <w:bCs/>
              </w:rPr>
            </w:pPr>
            <w:r w:rsidRPr="005A75A7">
              <w:rPr>
                <w:b/>
                <w:bCs/>
              </w:rPr>
              <w:t>Abbott Alinity HIV Ag/Ab Combo Reagent Kit</w:t>
            </w:r>
          </w:p>
        </w:tc>
      </w:tr>
      <w:tr w:rsidR="00267BC7" w:rsidRPr="005A75A7" w14:paraId="7A7CA651" w14:textId="77777777" w:rsidTr="00EC01E9">
        <w:tc>
          <w:tcPr>
            <w:tcW w:w="2753" w:type="dxa"/>
            <w:tcBorders>
              <w:top w:val="single" w:sz="4" w:space="0" w:color="auto"/>
              <w:left w:val="single" w:sz="4" w:space="0" w:color="auto"/>
              <w:bottom w:val="single" w:sz="4" w:space="0" w:color="auto"/>
              <w:right w:val="single" w:sz="4" w:space="0" w:color="auto"/>
            </w:tcBorders>
            <w:hideMark/>
          </w:tcPr>
          <w:p w14:paraId="12FC4ABF" w14:textId="77777777" w:rsidR="00267BC7" w:rsidRPr="005A75A7" w:rsidRDefault="00267BC7" w:rsidP="00EC01E9">
            <w:pPr>
              <w:spacing w:after="160" w:line="278" w:lineRule="auto"/>
              <w:rPr>
                <w:b/>
                <w:bCs/>
              </w:rPr>
            </w:pPr>
            <w:r w:rsidRPr="005A75A7">
              <w:rPr>
                <w:b/>
                <w:bCs/>
              </w:rPr>
              <w:t>STS</w:t>
            </w:r>
          </w:p>
        </w:tc>
        <w:tc>
          <w:tcPr>
            <w:tcW w:w="6597" w:type="dxa"/>
            <w:tcBorders>
              <w:top w:val="single" w:sz="4" w:space="0" w:color="auto"/>
              <w:left w:val="single" w:sz="4" w:space="0" w:color="auto"/>
              <w:bottom w:val="single" w:sz="4" w:space="0" w:color="auto"/>
              <w:right w:val="single" w:sz="4" w:space="0" w:color="auto"/>
            </w:tcBorders>
            <w:hideMark/>
          </w:tcPr>
          <w:p w14:paraId="73CC2A38" w14:textId="77777777" w:rsidR="00267BC7" w:rsidRPr="005A75A7" w:rsidRDefault="00267BC7" w:rsidP="00EC01E9">
            <w:pPr>
              <w:spacing w:after="160" w:line="278" w:lineRule="auto"/>
              <w:rPr>
                <w:b/>
                <w:bCs/>
              </w:rPr>
            </w:pPr>
            <w:r w:rsidRPr="005A75A7">
              <w:rPr>
                <w:b/>
                <w:bCs/>
              </w:rPr>
              <w:t>Beckman Coulter PK7400 TP HA Reagent</w:t>
            </w:r>
          </w:p>
        </w:tc>
      </w:tr>
      <w:tr w:rsidR="00267BC7" w:rsidRPr="005A75A7" w14:paraId="683BCB98" w14:textId="77777777" w:rsidTr="00EC01E9">
        <w:tc>
          <w:tcPr>
            <w:tcW w:w="2753" w:type="dxa"/>
            <w:tcBorders>
              <w:top w:val="single" w:sz="4" w:space="0" w:color="auto"/>
              <w:left w:val="single" w:sz="4" w:space="0" w:color="auto"/>
              <w:bottom w:val="single" w:sz="4" w:space="0" w:color="auto"/>
              <w:right w:val="single" w:sz="4" w:space="0" w:color="auto"/>
            </w:tcBorders>
            <w:hideMark/>
          </w:tcPr>
          <w:p w14:paraId="1B057AEC" w14:textId="77777777" w:rsidR="00267BC7" w:rsidRPr="005A75A7" w:rsidRDefault="00267BC7" w:rsidP="00EC01E9">
            <w:pPr>
              <w:spacing w:after="160" w:line="278" w:lineRule="auto"/>
              <w:rPr>
                <w:b/>
                <w:bCs/>
              </w:rPr>
            </w:pPr>
            <w:r w:rsidRPr="005A75A7">
              <w:rPr>
                <w:b/>
                <w:bCs/>
              </w:rPr>
              <w:t>WNV NAT</w:t>
            </w:r>
          </w:p>
        </w:tc>
        <w:tc>
          <w:tcPr>
            <w:tcW w:w="6597" w:type="dxa"/>
            <w:tcBorders>
              <w:top w:val="single" w:sz="4" w:space="0" w:color="auto"/>
              <w:left w:val="single" w:sz="4" w:space="0" w:color="auto"/>
              <w:bottom w:val="single" w:sz="4" w:space="0" w:color="auto"/>
              <w:right w:val="single" w:sz="4" w:space="0" w:color="auto"/>
            </w:tcBorders>
            <w:hideMark/>
          </w:tcPr>
          <w:p w14:paraId="3C496F33" w14:textId="77777777" w:rsidR="00267BC7" w:rsidRPr="005A75A7" w:rsidRDefault="00267BC7" w:rsidP="00EC01E9">
            <w:pPr>
              <w:spacing w:after="160" w:line="278" w:lineRule="auto"/>
              <w:rPr>
                <w:b/>
                <w:bCs/>
              </w:rPr>
            </w:pPr>
            <w:r w:rsidRPr="005A75A7">
              <w:rPr>
                <w:b/>
                <w:bCs/>
              </w:rPr>
              <w:t>Cobas WNV test</w:t>
            </w:r>
          </w:p>
        </w:tc>
      </w:tr>
      <w:tr w:rsidR="00267BC7" w:rsidRPr="005A75A7" w14:paraId="156FA2D3" w14:textId="77777777" w:rsidTr="00EC01E9">
        <w:tc>
          <w:tcPr>
            <w:tcW w:w="2753" w:type="dxa"/>
            <w:tcBorders>
              <w:top w:val="single" w:sz="4" w:space="0" w:color="auto"/>
              <w:left w:val="single" w:sz="4" w:space="0" w:color="auto"/>
              <w:bottom w:val="single" w:sz="4" w:space="0" w:color="auto"/>
              <w:right w:val="single" w:sz="4" w:space="0" w:color="auto"/>
            </w:tcBorders>
            <w:hideMark/>
          </w:tcPr>
          <w:p w14:paraId="58FE7EC7" w14:textId="77777777" w:rsidR="00267BC7" w:rsidRPr="005A75A7" w:rsidRDefault="00267BC7" w:rsidP="00EC01E9">
            <w:pPr>
              <w:spacing w:after="160" w:line="278" w:lineRule="auto"/>
              <w:rPr>
                <w:b/>
                <w:bCs/>
              </w:rPr>
            </w:pPr>
            <w:r w:rsidRPr="005A75A7">
              <w:rPr>
                <w:b/>
                <w:bCs/>
              </w:rPr>
              <w:t>Chagas</w:t>
            </w:r>
          </w:p>
        </w:tc>
        <w:tc>
          <w:tcPr>
            <w:tcW w:w="6597" w:type="dxa"/>
            <w:tcBorders>
              <w:top w:val="single" w:sz="4" w:space="0" w:color="auto"/>
              <w:left w:val="single" w:sz="4" w:space="0" w:color="auto"/>
              <w:bottom w:val="single" w:sz="4" w:space="0" w:color="auto"/>
              <w:right w:val="single" w:sz="4" w:space="0" w:color="auto"/>
            </w:tcBorders>
            <w:hideMark/>
          </w:tcPr>
          <w:p w14:paraId="36527C19" w14:textId="77777777" w:rsidR="00267BC7" w:rsidRPr="005A75A7" w:rsidRDefault="00267BC7" w:rsidP="00EC01E9">
            <w:pPr>
              <w:spacing w:after="160" w:line="278" w:lineRule="auto"/>
              <w:rPr>
                <w:b/>
                <w:bCs/>
              </w:rPr>
            </w:pPr>
            <w:r w:rsidRPr="005A75A7">
              <w:rPr>
                <w:b/>
                <w:bCs/>
              </w:rPr>
              <w:t>Abbott Alinity Chagas Reagent Kit</w:t>
            </w:r>
          </w:p>
        </w:tc>
      </w:tr>
      <w:tr w:rsidR="00267BC7" w:rsidRPr="005A75A7" w14:paraId="1C5F0E9C" w14:textId="77777777" w:rsidTr="00EC01E9">
        <w:tc>
          <w:tcPr>
            <w:tcW w:w="2753" w:type="dxa"/>
            <w:tcBorders>
              <w:top w:val="single" w:sz="4" w:space="0" w:color="auto"/>
              <w:left w:val="single" w:sz="4" w:space="0" w:color="auto"/>
              <w:bottom w:val="single" w:sz="4" w:space="0" w:color="auto"/>
              <w:right w:val="single" w:sz="4" w:space="0" w:color="auto"/>
            </w:tcBorders>
            <w:hideMark/>
          </w:tcPr>
          <w:p w14:paraId="76C64706" w14:textId="77777777" w:rsidR="00267BC7" w:rsidRPr="005A75A7" w:rsidRDefault="00267BC7" w:rsidP="00EC01E9">
            <w:pPr>
              <w:spacing w:after="160" w:line="278" w:lineRule="auto"/>
              <w:rPr>
                <w:b/>
                <w:bCs/>
              </w:rPr>
            </w:pPr>
            <w:r w:rsidRPr="005A75A7">
              <w:rPr>
                <w:b/>
                <w:bCs/>
              </w:rPr>
              <w:t>HBV NAT</w:t>
            </w:r>
          </w:p>
        </w:tc>
        <w:tc>
          <w:tcPr>
            <w:tcW w:w="6597" w:type="dxa"/>
            <w:tcBorders>
              <w:top w:val="single" w:sz="4" w:space="0" w:color="auto"/>
              <w:left w:val="single" w:sz="4" w:space="0" w:color="auto"/>
              <w:bottom w:val="single" w:sz="4" w:space="0" w:color="auto"/>
              <w:right w:val="single" w:sz="4" w:space="0" w:color="auto"/>
            </w:tcBorders>
            <w:hideMark/>
          </w:tcPr>
          <w:p w14:paraId="2F9FB13C" w14:textId="77777777" w:rsidR="00267BC7" w:rsidRPr="005A75A7" w:rsidRDefault="00267BC7" w:rsidP="00EC01E9">
            <w:pPr>
              <w:spacing w:after="160" w:line="278" w:lineRule="auto"/>
              <w:rPr>
                <w:b/>
                <w:bCs/>
              </w:rPr>
            </w:pPr>
            <w:r w:rsidRPr="005A75A7">
              <w:rPr>
                <w:b/>
                <w:bCs/>
              </w:rPr>
              <w:t>Cobas MPX Multiplex HIV, HCV, &amp; HBV nucleic acid test</w:t>
            </w:r>
          </w:p>
        </w:tc>
      </w:tr>
      <w:tr w:rsidR="00267BC7" w:rsidRPr="005A75A7" w14:paraId="3A540C00" w14:textId="77777777" w:rsidTr="00EC01E9">
        <w:tc>
          <w:tcPr>
            <w:tcW w:w="9350" w:type="dxa"/>
            <w:gridSpan w:val="2"/>
            <w:hideMark/>
          </w:tcPr>
          <w:p w14:paraId="05C038EA" w14:textId="4A4638D7" w:rsidR="00267BC7" w:rsidRPr="005A75A7" w:rsidRDefault="002F19C3" w:rsidP="00EC01E9">
            <w:pPr>
              <w:spacing w:after="160" w:line="278" w:lineRule="auto"/>
              <w:jc w:val="center"/>
              <w:rPr>
                <w:b/>
                <w:bCs/>
              </w:rPr>
            </w:pPr>
            <w:r w:rsidRPr="002F19C3">
              <w:rPr>
                <w:b/>
                <w:bCs/>
              </w:rPr>
              <w:t>DPLM at IU Health Pathology</w:t>
            </w:r>
            <w:r>
              <w:rPr>
                <w:b/>
                <w:bCs/>
              </w:rPr>
              <w:t xml:space="preserve"> </w:t>
            </w:r>
            <w:r w:rsidR="00267BC7">
              <w:rPr>
                <w:b/>
                <w:bCs/>
              </w:rPr>
              <w:t>CLIA #</w:t>
            </w:r>
            <w:r w:rsidR="00267BC7" w:rsidRPr="00FA7A8A">
              <w:rPr>
                <w:b/>
                <w:bCs/>
              </w:rPr>
              <w:t>15D0902829</w:t>
            </w:r>
          </w:p>
        </w:tc>
      </w:tr>
      <w:tr w:rsidR="00267BC7" w:rsidRPr="005A75A7" w14:paraId="24B1BD6A" w14:textId="77777777" w:rsidTr="00EC01E9">
        <w:tc>
          <w:tcPr>
            <w:tcW w:w="2753" w:type="dxa"/>
            <w:hideMark/>
          </w:tcPr>
          <w:p w14:paraId="455D2F2C" w14:textId="77777777" w:rsidR="00267BC7" w:rsidRPr="005A75A7" w:rsidRDefault="00267BC7" w:rsidP="00EC01E9">
            <w:pPr>
              <w:spacing w:after="160" w:line="278" w:lineRule="auto"/>
              <w:rPr>
                <w:b/>
                <w:bCs/>
              </w:rPr>
            </w:pPr>
            <w:r>
              <w:rPr>
                <w:b/>
                <w:bCs/>
              </w:rPr>
              <w:t>Anti-CMV</w:t>
            </w:r>
          </w:p>
        </w:tc>
        <w:tc>
          <w:tcPr>
            <w:tcW w:w="6597" w:type="dxa"/>
            <w:hideMark/>
          </w:tcPr>
          <w:p w14:paraId="22E7764A" w14:textId="77777777" w:rsidR="00267BC7" w:rsidRPr="005A75A7" w:rsidRDefault="00267BC7" w:rsidP="00EC01E9">
            <w:pPr>
              <w:spacing w:after="160" w:line="278" w:lineRule="auto"/>
              <w:rPr>
                <w:b/>
                <w:bCs/>
              </w:rPr>
            </w:pPr>
            <w:r>
              <w:rPr>
                <w:b/>
                <w:bCs/>
              </w:rPr>
              <w:t>Biomerieux Vidas</w:t>
            </w:r>
          </w:p>
        </w:tc>
      </w:tr>
    </w:tbl>
    <w:p w14:paraId="6227875C" w14:textId="5FF1249E" w:rsidR="0062742B" w:rsidRDefault="0062742B" w:rsidP="005A75A7">
      <w:pPr>
        <w:rPr>
          <w:b/>
          <w:bCs/>
        </w:rPr>
      </w:pPr>
    </w:p>
    <w:p w14:paraId="2B757D4B" w14:textId="77777777" w:rsidR="0062742B" w:rsidRDefault="0062742B" w:rsidP="005A75A7">
      <w:pPr>
        <w:rPr>
          <w:b/>
          <w:bCs/>
        </w:rPr>
      </w:pPr>
    </w:p>
    <w:p w14:paraId="35A42D63" w14:textId="77777777" w:rsidR="0062742B" w:rsidRDefault="0062742B" w:rsidP="005A75A7">
      <w:pPr>
        <w:rPr>
          <w:b/>
          <w:bCs/>
        </w:rPr>
      </w:pPr>
    </w:p>
    <w:p w14:paraId="3C3014F3" w14:textId="77777777" w:rsidR="0062742B" w:rsidRDefault="0062742B" w:rsidP="005A75A7">
      <w:pPr>
        <w:rPr>
          <w:b/>
          <w:bCs/>
        </w:rPr>
      </w:pPr>
    </w:p>
    <w:p w14:paraId="2314D624" w14:textId="77777777" w:rsidR="0062742B" w:rsidRDefault="0062742B" w:rsidP="005A75A7">
      <w:pPr>
        <w:rPr>
          <w:b/>
          <w:bCs/>
        </w:rPr>
      </w:pPr>
    </w:p>
    <w:p w14:paraId="01703B34" w14:textId="77777777" w:rsidR="00CE1D2F" w:rsidRDefault="00CE1D2F" w:rsidP="005A75A7">
      <w:pPr>
        <w:rPr>
          <w:b/>
          <w:bCs/>
        </w:rPr>
      </w:pPr>
    </w:p>
    <w:p w14:paraId="1A346A3D" w14:textId="77777777" w:rsidR="002F19C3" w:rsidRDefault="002F19C3" w:rsidP="005A75A7">
      <w:pPr>
        <w:rPr>
          <w:b/>
          <w:bCs/>
        </w:rPr>
      </w:pPr>
    </w:p>
    <w:p w14:paraId="7BE89819" w14:textId="77777777" w:rsidR="00CE1D2F" w:rsidRDefault="00CE1D2F" w:rsidP="005A75A7">
      <w:pPr>
        <w:rPr>
          <w:b/>
          <w:bCs/>
        </w:rPr>
      </w:pPr>
    </w:p>
    <w:p w14:paraId="5433B64D" w14:textId="77777777" w:rsidR="00CE1D2F" w:rsidRDefault="00CE1D2F" w:rsidP="005A75A7">
      <w:pPr>
        <w:rPr>
          <w:b/>
          <w:bCs/>
        </w:rPr>
      </w:pPr>
    </w:p>
    <w:p w14:paraId="6F7F7767" w14:textId="77777777" w:rsidR="0062742B" w:rsidRDefault="0062742B" w:rsidP="005A75A7">
      <w:pPr>
        <w:rPr>
          <w:b/>
          <w:bCs/>
        </w:rPr>
      </w:pPr>
    </w:p>
    <w:p w14:paraId="77A16326" w14:textId="77777777" w:rsidR="0062742B" w:rsidRDefault="0062742B" w:rsidP="005A75A7">
      <w:pPr>
        <w:rPr>
          <w:b/>
          <w:bCs/>
        </w:rPr>
      </w:pPr>
    </w:p>
    <w:p w14:paraId="4B8491E2" w14:textId="252D93E6" w:rsidR="0062742B" w:rsidRDefault="0062742B" w:rsidP="005A75A7">
      <w:pPr>
        <w:rPr>
          <w:b/>
          <w:bCs/>
        </w:rPr>
      </w:pPr>
      <w:r>
        <w:rPr>
          <w:b/>
          <w:bCs/>
        </w:rPr>
        <w:lastRenderedPageBreak/>
        <w:t xml:space="preserve">Appendix B. </w:t>
      </w:r>
    </w:p>
    <w:tbl>
      <w:tblPr>
        <w:tblW w:w="10080" w:type="dxa"/>
        <w:tblLook w:val="04A0" w:firstRow="1" w:lastRow="0" w:firstColumn="1" w:lastColumn="0" w:noHBand="0" w:noVBand="1"/>
      </w:tblPr>
      <w:tblGrid>
        <w:gridCol w:w="535"/>
        <w:gridCol w:w="917"/>
        <w:gridCol w:w="738"/>
        <w:gridCol w:w="753"/>
        <w:gridCol w:w="860"/>
        <w:gridCol w:w="808"/>
        <w:gridCol w:w="847"/>
        <w:gridCol w:w="730"/>
        <w:gridCol w:w="627"/>
        <w:gridCol w:w="870"/>
        <w:gridCol w:w="615"/>
        <w:gridCol w:w="745"/>
        <w:gridCol w:w="765"/>
        <w:gridCol w:w="121"/>
        <w:gridCol w:w="149"/>
      </w:tblGrid>
      <w:tr w:rsidR="00CE1D2F" w:rsidRPr="00CE1D2F" w14:paraId="483FC529" w14:textId="77777777" w:rsidTr="00CE1D2F">
        <w:trPr>
          <w:trHeight w:val="273"/>
        </w:trPr>
        <w:tc>
          <w:tcPr>
            <w:tcW w:w="9810" w:type="dxa"/>
            <w:gridSpan w:val="13"/>
            <w:tcBorders>
              <w:top w:val="nil"/>
              <w:left w:val="nil"/>
              <w:bottom w:val="nil"/>
              <w:right w:val="nil"/>
            </w:tcBorders>
            <w:shd w:val="clear" w:color="auto" w:fill="auto"/>
            <w:noWrap/>
            <w:vAlign w:val="bottom"/>
            <w:hideMark/>
          </w:tcPr>
          <w:p w14:paraId="276C27CB" w14:textId="77777777" w:rsidR="0062742B" w:rsidRPr="00CE1D2F" w:rsidRDefault="0062742B" w:rsidP="0062742B">
            <w:pPr>
              <w:spacing w:after="0" w:line="240" w:lineRule="auto"/>
              <w:jc w:val="center"/>
              <w:rPr>
                <w:rFonts w:ascii="Arial" w:eastAsia="Times New Roman" w:hAnsi="Arial" w:cs="Arial"/>
                <w:b/>
                <w:bCs/>
                <w:kern w:val="0"/>
                <w:sz w:val="14"/>
                <w:szCs w:val="14"/>
                <w14:ligatures w14:val="none"/>
              </w:rPr>
            </w:pPr>
            <w:r w:rsidRPr="00CE1D2F">
              <w:rPr>
                <w:rFonts w:ascii="Arial" w:eastAsia="Times New Roman" w:hAnsi="Arial" w:cs="Arial"/>
                <w:b/>
                <w:bCs/>
                <w:kern w:val="0"/>
                <w:sz w:val="14"/>
                <w:szCs w:val="14"/>
                <w14:ligatures w14:val="none"/>
              </w:rPr>
              <w:t>2022 Stability Testing Summary</w:t>
            </w:r>
          </w:p>
        </w:tc>
        <w:tc>
          <w:tcPr>
            <w:tcW w:w="270" w:type="dxa"/>
            <w:gridSpan w:val="2"/>
            <w:tcBorders>
              <w:top w:val="nil"/>
              <w:left w:val="nil"/>
              <w:bottom w:val="nil"/>
              <w:right w:val="nil"/>
            </w:tcBorders>
            <w:shd w:val="clear" w:color="auto" w:fill="auto"/>
            <w:noWrap/>
            <w:vAlign w:val="bottom"/>
            <w:hideMark/>
          </w:tcPr>
          <w:p w14:paraId="7B3F58D4" w14:textId="77777777" w:rsidR="0062742B" w:rsidRPr="00CE1D2F" w:rsidRDefault="0062742B" w:rsidP="0062742B">
            <w:pPr>
              <w:spacing w:after="0" w:line="240" w:lineRule="auto"/>
              <w:jc w:val="center"/>
              <w:rPr>
                <w:rFonts w:ascii="Arial" w:eastAsia="Times New Roman" w:hAnsi="Arial" w:cs="Arial"/>
                <w:b/>
                <w:bCs/>
                <w:kern w:val="0"/>
                <w:sz w:val="14"/>
                <w:szCs w:val="14"/>
                <w14:ligatures w14:val="none"/>
              </w:rPr>
            </w:pPr>
          </w:p>
        </w:tc>
      </w:tr>
      <w:tr w:rsidR="00CE1D2F" w:rsidRPr="00CE1D2F" w14:paraId="22E7A45A" w14:textId="77777777" w:rsidTr="00CE1D2F">
        <w:trPr>
          <w:gridAfter w:val="1"/>
          <w:wAfter w:w="149" w:type="dxa"/>
          <w:trHeight w:val="262"/>
        </w:trPr>
        <w:tc>
          <w:tcPr>
            <w:tcW w:w="535"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517B9162" w14:textId="77777777" w:rsidR="0062742B" w:rsidRPr="00CE1D2F" w:rsidRDefault="0062742B" w:rsidP="0062742B">
            <w:pPr>
              <w:spacing w:after="0" w:line="240" w:lineRule="auto"/>
              <w:jc w:val="center"/>
              <w:rPr>
                <w:rFonts w:ascii="Arial" w:eastAsia="Times New Roman" w:hAnsi="Arial" w:cs="Arial"/>
                <w:b/>
                <w:bCs/>
                <w:kern w:val="0"/>
                <w:sz w:val="14"/>
                <w:szCs w:val="14"/>
                <w14:ligatures w14:val="none"/>
              </w:rPr>
            </w:pPr>
            <w:r w:rsidRPr="00CE1D2F">
              <w:rPr>
                <w:rFonts w:ascii="Arial" w:eastAsia="Times New Roman" w:hAnsi="Arial" w:cs="Arial"/>
                <w:b/>
                <w:bCs/>
                <w:kern w:val="0"/>
                <w:sz w:val="14"/>
                <w:szCs w:val="14"/>
                <w14:ligatures w14:val="none"/>
              </w:rPr>
              <w:t>Auto or Allo</w:t>
            </w:r>
          </w:p>
        </w:tc>
        <w:tc>
          <w:tcPr>
            <w:tcW w:w="91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C852E21" w14:textId="77777777" w:rsidR="0062742B" w:rsidRPr="00CE1D2F" w:rsidRDefault="0062742B" w:rsidP="0062742B">
            <w:pPr>
              <w:spacing w:after="0" w:line="240" w:lineRule="auto"/>
              <w:jc w:val="center"/>
              <w:rPr>
                <w:rFonts w:ascii="Arial" w:eastAsia="Times New Roman" w:hAnsi="Arial" w:cs="Arial"/>
                <w:b/>
                <w:bCs/>
                <w:kern w:val="0"/>
                <w:sz w:val="14"/>
                <w:szCs w:val="14"/>
                <w14:ligatures w14:val="none"/>
              </w:rPr>
            </w:pPr>
            <w:r w:rsidRPr="00CE1D2F">
              <w:rPr>
                <w:rFonts w:ascii="Arial" w:eastAsia="Times New Roman" w:hAnsi="Arial" w:cs="Arial"/>
                <w:b/>
                <w:bCs/>
                <w:kern w:val="0"/>
                <w:sz w:val="14"/>
                <w:szCs w:val="14"/>
                <w14:ligatures w14:val="none"/>
              </w:rPr>
              <w:t>Thaw Date</w:t>
            </w:r>
          </w:p>
        </w:tc>
        <w:tc>
          <w:tcPr>
            <w:tcW w:w="73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C474D13" w14:textId="77777777" w:rsidR="0062742B" w:rsidRPr="00CE1D2F" w:rsidRDefault="0062742B" w:rsidP="0062742B">
            <w:pPr>
              <w:spacing w:after="0" w:line="240" w:lineRule="auto"/>
              <w:jc w:val="center"/>
              <w:rPr>
                <w:rFonts w:ascii="Arial" w:eastAsia="Times New Roman" w:hAnsi="Arial" w:cs="Arial"/>
                <w:b/>
                <w:bCs/>
                <w:kern w:val="0"/>
                <w:sz w:val="14"/>
                <w:szCs w:val="14"/>
                <w14:ligatures w14:val="none"/>
              </w:rPr>
            </w:pPr>
            <w:r w:rsidRPr="00CE1D2F">
              <w:rPr>
                <w:rFonts w:ascii="Arial" w:eastAsia="Times New Roman" w:hAnsi="Arial" w:cs="Arial"/>
                <w:b/>
                <w:bCs/>
                <w:kern w:val="0"/>
                <w:sz w:val="14"/>
                <w:szCs w:val="14"/>
                <w14:ligatures w14:val="none"/>
              </w:rPr>
              <w:t>Storage Time (yrs)</w:t>
            </w:r>
          </w:p>
        </w:tc>
        <w:tc>
          <w:tcPr>
            <w:tcW w:w="75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664CEBD" w14:textId="77777777" w:rsidR="0062742B" w:rsidRPr="00CE1D2F" w:rsidRDefault="0062742B" w:rsidP="0062742B">
            <w:pPr>
              <w:spacing w:after="0" w:line="240" w:lineRule="auto"/>
              <w:jc w:val="center"/>
              <w:rPr>
                <w:rFonts w:ascii="Arial" w:eastAsia="Times New Roman" w:hAnsi="Arial" w:cs="Arial"/>
                <w:b/>
                <w:bCs/>
                <w:kern w:val="0"/>
                <w:sz w:val="14"/>
                <w:szCs w:val="14"/>
                <w14:ligatures w14:val="none"/>
              </w:rPr>
            </w:pPr>
            <w:r w:rsidRPr="00CE1D2F">
              <w:rPr>
                <w:rFonts w:ascii="Arial" w:eastAsia="Times New Roman" w:hAnsi="Arial" w:cs="Arial"/>
                <w:b/>
                <w:bCs/>
                <w:kern w:val="0"/>
                <w:sz w:val="14"/>
                <w:szCs w:val="14"/>
                <w14:ligatures w14:val="none"/>
              </w:rPr>
              <w:t>Viability</w:t>
            </w:r>
          </w:p>
        </w:tc>
        <w:tc>
          <w:tcPr>
            <w:tcW w:w="8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45BCD73" w14:textId="77777777" w:rsidR="0062742B" w:rsidRPr="00CE1D2F" w:rsidRDefault="0062742B" w:rsidP="0062742B">
            <w:pPr>
              <w:spacing w:after="0" w:line="240" w:lineRule="auto"/>
              <w:jc w:val="center"/>
              <w:rPr>
                <w:rFonts w:ascii="Arial" w:eastAsia="Times New Roman" w:hAnsi="Arial" w:cs="Arial"/>
                <w:b/>
                <w:bCs/>
                <w:kern w:val="0"/>
                <w:sz w:val="14"/>
                <w:szCs w:val="14"/>
                <w14:ligatures w14:val="none"/>
              </w:rPr>
            </w:pPr>
            <w:r w:rsidRPr="00CE1D2F">
              <w:rPr>
                <w:rFonts w:ascii="Arial" w:eastAsia="Times New Roman" w:hAnsi="Arial" w:cs="Arial"/>
                <w:b/>
                <w:bCs/>
                <w:kern w:val="0"/>
                <w:sz w:val="14"/>
                <w:szCs w:val="14"/>
                <w14:ligatures w14:val="none"/>
              </w:rPr>
              <w:t>Viable CD34+ Recovery (%)</w:t>
            </w:r>
          </w:p>
        </w:tc>
        <w:tc>
          <w:tcPr>
            <w:tcW w:w="80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0E595BC" w14:textId="77777777" w:rsidR="0062742B" w:rsidRPr="00CE1D2F" w:rsidRDefault="0062742B" w:rsidP="0062742B">
            <w:pPr>
              <w:spacing w:after="0" w:line="240" w:lineRule="auto"/>
              <w:jc w:val="center"/>
              <w:rPr>
                <w:rFonts w:ascii="Arial" w:eastAsia="Times New Roman" w:hAnsi="Arial" w:cs="Arial"/>
                <w:b/>
                <w:bCs/>
                <w:kern w:val="0"/>
                <w:sz w:val="14"/>
                <w:szCs w:val="14"/>
                <w14:ligatures w14:val="none"/>
              </w:rPr>
            </w:pPr>
            <w:r w:rsidRPr="00CE1D2F">
              <w:rPr>
                <w:rFonts w:ascii="Arial" w:eastAsia="Times New Roman" w:hAnsi="Arial" w:cs="Arial"/>
                <w:b/>
                <w:bCs/>
                <w:kern w:val="0"/>
                <w:sz w:val="14"/>
                <w:szCs w:val="14"/>
                <w14:ligatures w14:val="none"/>
              </w:rPr>
              <w:t>Mean # Colonies CFU</w:t>
            </w:r>
          </w:p>
        </w:tc>
        <w:tc>
          <w:tcPr>
            <w:tcW w:w="84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2AE28C8" w14:textId="77777777" w:rsidR="0062742B" w:rsidRPr="00CE1D2F" w:rsidRDefault="0062742B" w:rsidP="0062742B">
            <w:pPr>
              <w:spacing w:after="0" w:line="240" w:lineRule="auto"/>
              <w:jc w:val="center"/>
              <w:rPr>
                <w:rFonts w:ascii="Arial" w:eastAsia="Times New Roman" w:hAnsi="Arial" w:cs="Arial"/>
                <w:b/>
                <w:bCs/>
                <w:kern w:val="0"/>
                <w:sz w:val="14"/>
                <w:szCs w:val="14"/>
                <w14:ligatures w14:val="none"/>
              </w:rPr>
            </w:pPr>
            <w:r w:rsidRPr="00CE1D2F">
              <w:rPr>
                <w:rFonts w:ascii="Arial" w:eastAsia="Times New Roman" w:hAnsi="Arial" w:cs="Arial"/>
                <w:b/>
                <w:bCs/>
                <w:kern w:val="0"/>
                <w:sz w:val="14"/>
                <w:szCs w:val="14"/>
                <w14:ligatures w14:val="none"/>
              </w:rPr>
              <w:t>TNC Recovery (%)</w:t>
            </w:r>
          </w:p>
        </w:tc>
        <w:tc>
          <w:tcPr>
            <w:tcW w:w="73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E5F788B" w14:textId="77777777" w:rsidR="0062742B" w:rsidRPr="00CE1D2F" w:rsidRDefault="0062742B" w:rsidP="0062742B">
            <w:pPr>
              <w:spacing w:after="0" w:line="240" w:lineRule="auto"/>
              <w:jc w:val="center"/>
              <w:rPr>
                <w:rFonts w:ascii="Arial" w:eastAsia="Times New Roman" w:hAnsi="Arial" w:cs="Arial"/>
                <w:b/>
                <w:bCs/>
                <w:kern w:val="0"/>
                <w:sz w:val="14"/>
                <w:szCs w:val="14"/>
                <w14:ligatures w14:val="none"/>
              </w:rPr>
            </w:pPr>
            <w:r w:rsidRPr="00CE1D2F">
              <w:rPr>
                <w:rFonts w:ascii="Arial" w:eastAsia="Times New Roman" w:hAnsi="Arial" w:cs="Arial"/>
                <w:b/>
                <w:bCs/>
                <w:kern w:val="0"/>
                <w:sz w:val="14"/>
                <w:szCs w:val="14"/>
                <w14:ligatures w14:val="none"/>
              </w:rPr>
              <w:t>Sterility</w:t>
            </w:r>
          </w:p>
        </w:tc>
        <w:tc>
          <w:tcPr>
            <w:tcW w:w="62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FA037F3" w14:textId="77777777" w:rsidR="0062742B" w:rsidRPr="00CE1D2F" w:rsidRDefault="0062742B" w:rsidP="0062742B">
            <w:pPr>
              <w:spacing w:after="0" w:line="240" w:lineRule="auto"/>
              <w:jc w:val="center"/>
              <w:rPr>
                <w:rFonts w:ascii="Arial" w:eastAsia="Times New Roman" w:hAnsi="Arial" w:cs="Arial"/>
                <w:b/>
                <w:bCs/>
                <w:kern w:val="0"/>
                <w:sz w:val="14"/>
                <w:szCs w:val="14"/>
                <w14:ligatures w14:val="none"/>
              </w:rPr>
            </w:pPr>
            <w:r w:rsidRPr="00CE1D2F">
              <w:rPr>
                <w:rFonts w:ascii="Arial" w:eastAsia="Times New Roman" w:hAnsi="Arial" w:cs="Arial"/>
                <w:b/>
                <w:bCs/>
                <w:kern w:val="0"/>
                <w:sz w:val="14"/>
                <w:szCs w:val="14"/>
                <w14:ligatures w14:val="none"/>
              </w:rPr>
              <w:t>Data Entry ID</w:t>
            </w:r>
          </w:p>
        </w:tc>
        <w:tc>
          <w:tcPr>
            <w:tcW w:w="2230" w:type="dxa"/>
            <w:gridSpan w:val="3"/>
            <w:tcBorders>
              <w:top w:val="single" w:sz="8" w:space="0" w:color="auto"/>
              <w:left w:val="nil"/>
              <w:bottom w:val="single" w:sz="4" w:space="0" w:color="auto"/>
              <w:right w:val="single" w:sz="4" w:space="0" w:color="auto"/>
            </w:tcBorders>
            <w:shd w:val="clear" w:color="auto" w:fill="auto"/>
            <w:vAlign w:val="center"/>
            <w:hideMark/>
          </w:tcPr>
          <w:p w14:paraId="508F3BBE" w14:textId="77777777" w:rsidR="0062742B" w:rsidRPr="00CE1D2F" w:rsidRDefault="0062742B" w:rsidP="0062742B">
            <w:pPr>
              <w:spacing w:after="0" w:line="240" w:lineRule="auto"/>
              <w:jc w:val="center"/>
              <w:rPr>
                <w:rFonts w:ascii="Arial" w:eastAsia="Times New Roman" w:hAnsi="Arial" w:cs="Arial"/>
                <w:b/>
                <w:bCs/>
                <w:kern w:val="0"/>
                <w:sz w:val="14"/>
                <w:szCs w:val="14"/>
                <w14:ligatures w14:val="none"/>
              </w:rPr>
            </w:pPr>
            <w:r w:rsidRPr="00CE1D2F">
              <w:rPr>
                <w:rFonts w:ascii="Arial" w:eastAsia="Times New Roman" w:hAnsi="Arial" w:cs="Arial"/>
                <w:b/>
                <w:bCs/>
                <w:kern w:val="0"/>
                <w:sz w:val="14"/>
                <w:szCs w:val="14"/>
                <w14:ligatures w14:val="none"/>
              </w:rPr>
              <w:t>Condition of:                     (Visual Inspection)</w:t>
            </w:r>
          </w:p>
        </w:tc>
        <w:tc>
          <w:tcPr>
            <w:tcW w:w="886"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1F3D964" w14:textId="77777777" w:rsidR="0062742B" w:rsidRPr="00CE1D2F" w:rsidRDefault="0062742B" w:rsidP="0062742B">
            <w:pPr>
              <w:spacing w:after="0" w:line="240" w:lineRule="auto"/>
              <w:jc w:val="center"/>
              <w:rPr>
                <w:rFonts w:ascii="Arial" w:eastAsia="Times New Roman" w:hAnsi="Arial" w:cs="Arial"/>
                <w:b/>
                <w:bCs/>
                <w:kern w:val="0"/>
                <w:sz w:val="14"/>
                <w:szCs w:val="14"/>
                <w14:ligatures w14:val="none"/>
              </w:rPr>
            </w:pPr>
            <w:r w:rsidRPr="00CE1D2F">
              <w:rPr>
                <w:rFonts w:ascii="Arial" w:eastAsia="Times New Roman" w:hAnsi="Arial" w:cs="Arial"/>
                <w:b/>
                <w:bCs/>
                <w:kern w:val="0"/>
                <w:sz w:val="14"/>
                <w:szCs w:val="14"/>
                <w14:ligatures w14:val="none"/>
              </w:rPr>
              <w:t>Freezer Location During Storage Period</w:t>
            </w:r>
          </w:p>
        </w:tc>
      </w:tr>
      <w:tr w:rsidR="00CE1D2F" w:rsidRPr="00CE1D2F" w14:paraId="0701D640" w14:textId="77777777" w:rsidTr="00CE1D2F">
        <w:trPr>
          <w:gridAfter w:val="1"/>
          <w:wAfter w:w="149" w:type="dxa"/>
          <w:trHeight w:val="970"/>
        </w:trPr>
        <w:tc>
          <w:tcPr>
            <w:tcW w:w="535" w:type="dxa"/>
            <w:vMerge/>
            <w:tcBorders>
              <w:top w:val="single" w:sz="8" w:space="0" w:color="auto"/>
              <w:left w:val="single" w:sz="8" w:space="0" w:color="auto"/>
              <w:bottom w:val="single" w:sz="4" w:space="0" w:color="auto"/>
              <w:right w:val="single" w:sz="4" w:space="0" w:color="auto"/>
            </w:tcBorders>
            <w:vAlign w:val="center"/>
            <w:hideMark/>
          </w:tcPr>
          <w:p w14:paraId="2B98CE10" w14:textId="77777777" w:rsidR="0062742B" w:rsidRPr="00CE1D2F" w:rsidRDefault="0062742B" w:rsidP="0062742B">
            <w:pPr>
              <w:spacing w:after="0" w:line="240" w:lineRule="auto"/>
              <w:rPr>
                <w:rFonts w:ascii="Arial" w:eastAsia="Times New Roman" w:hAnsi="Arial" w:cs="Arial"/>
                <w:b/>
                <w:bCs/>
                <w:kern w:val="0"/>
                <w:sz w:val="14"/>
                <w:szCs w:val="14"/>
                <w14:ligatures w14:val="none"/>
              </w:rPr>
            </w:pPr>
          </w:p>
        </w:tc>
        <w:tc>
          <w:tcPr>
            <w:tcW w:w="917" w:type="dxa"/>
            <w:vMerge/>
            <w:tcBorders>
              <w:top w:val="single" w:sz="8" w:space="0" w:color="auto"/>
              <w:left w:val="single" w:sz="4" w:space="0" w:color="auto"/>
              <w:bottom w:val="single" w:sz="4" w:space="0" w:color="auto"/>
              <w:right w:val="single" w:sz="4" w:space="0" w:color="auto"/>
            </w:tcBorders>
            <w:vAlign w:val="center"/>
            <w:hideMark/>
          </w:tcPr>
          <w:p w14:paraId="20260C96" w14:textId="77777777" w:rsidR="0062742B" w:rsidRPr="00CE1D2F" w:rsidRDefault="0062742B" w:rsidP="0062742B">
            <w:pPr>
              <w:spacing w:after="0" w:line="240" w:lineRule="auto"/>
              <w:rPr>
                <w:rFonts w:ascii="Arial" w:eastAsia="Times New Roman" w:hAnsi="Arial" w:cs="Arial"/>
                <w:b/>
                <w:bCs/>
                <w:kern w:val="0"/>
                <w:sz w:val="14"/>
                <w:szCs w:val="14"/>
                <w14:ligatures w14:val="none"/>
              </w:rPr>
            </w:pPr>
          </w:p>
        </w:tc>
        <w:tc>
          <w:tcPr>
            <w:tcW w:w="738" w:type="dxa"/>
            <w:vMerge/>
            <w:tcBorders>
              <w:top w:val="single" w:sz="8" w:space="0" w:color="auto"/>
              <w:left w:val="single" w:sz="4" w:space="0" w:color="auto"/>
              <w:bottom w:val="single" w:sz="4" w:space="0" w:color="auto"/>
              <w:right w:val="single" w:sz="4" w:space="0" w:color="auto"/>
            </w:tcBorders>
            <w:vAlign w:val="center"/>
            <w:hideMark/>
          </w:tcPr>
          <w:p w14:paraId="6EBDA8FC" w14:textId="77777777" w:rsidR="0062742B" w:rsidRPr="00CE1D2F" w:rsidRDefault="0062742B" w:rsidP="0062742B">
            <w:pPr>
              <w:spacing w:after="0" w:line="240" w:lineRule="auto"/>
              <w:rPr>
                <w:rFonts w:ascii="Arial" w:eastAsia="Times New Roman" w:hAnsi="Arial" w:cs="Arial"/>
                <w:b/>
                <w:bCs/>
                <w:kern w:val="0"/>
                <w:sz w:val="14"/>
                <w:szCs w:val="14"/>
                <w14:ligatures w14:val="none"/>
              </w:rPr>
            </w:pPr>
          </w:p>
        </w:tc>
        <w:tc>
          <w:tcPr>
            <w:tcW w:w="753" w:type="dxa"/>
            <w:vMerge/>
            <w:tcBorders>
              <w:top w:val="single" w:sz="8" w:space="0" w:color="auto"/>
              <w:left w:val="single" w:sz="4" w:space="0" w:color="auto"/>
              <w:bottom w:val="single" w:sz="4" w:space="0" w:color="auto"/>
              <w:right w:val="single" w:sz="4" w:space="0" w:color="auto"/>
            </w:tcBorders>
            <w:vAlign w:val="center"/>
            <w:hideMark/>
          </w:tcPr>
          <w:p w14:paraId="7D08CB39" w14:textId="77777777" w:rsidR="0062742B" w:rsidRPr="00CE1D2F" w:rsidRDefault="0062742B" w:rsidP="0062742B">
            <w:pPr>
              <w:spacing w:after="0" w:line="240" w:lineRule="auto"/>
              <w:rPr>
                <w:rFonts w:ascii="Arial" w:eastAsia="Times New Roman" w:hAnsi="Arial" w:cs="Arial"/>
                <w:b/>
                <w:bCs/>
                <w:kern w:val="0"/>
                <w:sz w:val="14"/>
                <w:szCs w:val="14"/>
                <w14:ligatures w14:val="none"/>
              </w:rPr>
            </w:pPr>
          </w:p>
        </w:tc>
        <w:tc>
          <w:tcPr>
            <w:tcW w:w="860" w:type="dxa"/>
            <w:vMerge/>
            <w:tcBorders>
              <w:top w:val="single" w:sz="8" w:space="0" w:color="auto"/>
              <w:left w:val="single" w:sz="4" w:space="0" w:color="auto"/>
              <w:bottom w:val="single" w:sz="4" w:space="0" w:color="auto"/>
              <w:right w:val="single" w:sz="4" w:space="0" w:color="auto"/>
            </w:tcBorders>
            <w:vAlign w:val="center"/>
            <w:hideMark/>
          </w:tcPr>
          <w:p w14:paraId="55693753" w14:textId="77777777" w:rsidR="0062742B" w:rsidRPr="00CE1D2F" w:rsidRDefault="0062742B" w:rsidP="0062742B">
            <w:pPr>
              <w:spacing w:after="0" w:line="240" w:lineRule="auto"/>
              <w:rPr>
                <w:rFonts w:ascii="Arial" w:eastAsia="Times New Roman" w:hAnsi="Arial" w:cs="Arial"/>
                <w:b/>
                <w:bCs/>
                <w:kern w:val="0"/>
                <w:sz w:val="14"/>
                <w:szCs w:val="14"/>
                <w14:ligatures w14:val="none"/>
              </w:rPr>
            </w:pPr>
          </w:p>
        </w:tc>
        <w:tc>
          <w:tcPr>
            <w:tcW w:w="808" w:type="dxa"/>
            <w:vMerge/>
            <w:tcBorders>
              <w:top w:val="single" w:sz="8" w:space="0" w:color="auto"/>
              <w:left w:val="single" w:sz="4" w:space="0" w:color="auto"/>
              <w:bottom w:val="single" w:sz="4" w:space="0" w:color="auto"/>
              <w:right w:val="single" w:sz="4" w:space="0" w:color="auto"/>
            </w:tcBorders>
            <w:vAlign w:val="center"/>
            <w:hideMark/>
          </w:tcPr>
          <w:p w14:paraId="407C6177" w14:textId="77777777" w:rsidR="0062742B" w:rsidRPr="00CE1D2F" w:rsidRDefault="0062742B" w:rsidP="0062742B">
            <w:pPr>
              <w:spacing w:after="0" w:line="240" w:lineRule="auto"/>
              <w:rPr>
                <w:rFonts w:ascii="Arial" w:eastAsia="Times New Roman" w:hAnsi="Arial" w:cs="Arial"/>
                <w:b/>
                <w:bCs/>
                <w:kern w:val="0"/>
                <w:sz w:val="14"/>
                <w:szCs w:val="14"/>
                <w14:ligatures w14:val="none"/>
              </w:rPr>
            </w:pPr>
          </w:p>
        </w:tc>
        <w:tc>
          <w:tcPr>
            <w:tcW w:w="847" w:type="dxa"/>
            <w:vMerge/>
            <w:tcBorders>
              <w:top w:val="single" w:sz="8" w:space="0" w:color="auto"/>
              <w:left w:val="single" w:sz="4" w:space="0" w:color="auto"/>
              <w:bottom w:val="single" w:sz="8" w:space="0" w:color="000000"/>
              <w:right w:val="single" w:sz="4" w:space="0" w:color="auto"/>
            </w:tcBorders>
            <w:vAlign w:val="center"/>
            <w:hideMark/>
          </w:tcPr>
          <w:p w14:paraId="7EB3E4CC" w14:textId="77777777" w:rsidR="0062742B" w:rsidRPr="00CE1D2F" w:rsidRDefault="0062742B" w:rsidP="0062742B">
            <w:pPr>
              <w:spacing w:after="0" w:line="240" w:lineRule="auto"/>
              <w:rPr>
                <w:rFonts w:ascii="Arial" w:eastAsia="Times New Roman" w:hAnsi="Arial" w:cs="Arial"/>
                <w:b/>
                <w:bCs/>
                <w:kern w:val="0"/>
                <w:sz w:val="14"/>
                <w:szCs w:val="14"/>
                <w14:ligatures w14:val="none"/>
              </w:rPr>
            </w:pPr>
          </w:p>
        </w:tc>
        <w:tc>
          <w:tcPr>
            <w:tcW w:w="730" w:type="dxa"/>
            <w:vMerge/>
            <w:tcBorders>
              <w:top w:val="single" w:sz="8" w:space="0" w:color="auto"/>
              <w:left w:val="single" w:sz="4" w:space="0" w:color="auto"/>
              <w:bottom w:val="single" w:sz="4" w:space="0" w:color="auto"/>
              <w:right w:val="single" w:sz="4" w:space="0" w:color="auto"/>
            </w:tcBorders>
            <w:vAlign w:val="center"/>
            <w:hideMark/>
          </w:tcPr>
          <w:p w14:paraId="565D6CC1" w14:textId="77777777" w:rsidR="0062742B" w:rsidRPr="00CE1D2F" w:rsidRDefault="0062742B" w:rsidP="0062742B">
            <w:pPr>
              <w:spacing w:after="0" w:line="240" w:lineRule="auto"/>
              <w:rPr>
                <w:rFonts w:ascii="Arial" w:eastAsia="Times New Roman" w:hAnsi="Arial" w:cs="Arial"/>
                <w:b/>
                <w:bCs/>
                <w:kern w:val="0"/>
                <w:sz w:val="14"/>
                <w:szCs w:val="14"/>
                <w14:ligatures w14:val="none"/>
              </w:rPr>
            </w:pPr>
          </w:p>
        </w:tc>
        <w:tc>
          <w:tcPr>
            <w:tcW w:w="627" w:type="dxa"/>
            <w:vMerge/>
            <w:tcBorders>
              <w:top w:val="single" w:sz="8" w:space="0" w:color="auto"/>
              <w:left w:val="single" w:sz="4" w:space="0" w:color="auto"/>
              <w:bottom w:val="single" w:sz="4" w:space="0" w:color="auto"/>
              <w:right w:val="single" w:sz="4" w:space="0" w:color="auto"/>
            </w:tcBorders>
            <w:vAlign w:val="center"/>
            <w:hideMark/>
          </w:tcPr>
          <w:p w14:paraId="592211B0" w14:textId="77777777" w:rsidR="0062742B" w:rsidRPr="00CE1D2F" w:rsidRDefault="0062742B" w:rsidP="0062742B">
            <w:pPr>
              <w:spacing w:after="0" w:line="240" w:lineRule="auto"/>
              <w:rPr>
                <w:rFonts w:ascii="Arial" w:eastAsia="Times New Roman" w:hAnsi="Arial" w:cs="Arial"/>
                <w:b/>
                <w:bCs/>
                <w:kern w:val="0"/>
                <w:sz w:val="14"/>
                <w:szCs w:val="14"/>
                <w14:ligatures w14:val="none"/>
              </w:rPr>
            </w:pPr>
          </w:p>
        </w:tc>
        <w:tc>
          <w:tcPr>
            <w:tcW w:w="870" w:type="dxa"/>
            <w:tcBorders>
              <w:top w:val="nil"/>
              <w:left w:val="nil"/>
              <w:bottom w:val="nil"/>
              <w:right w:val="single" w:sz="4" w:space="0" w:color="auto"/>
            </w:tcBorders>
            <w:shd w:val="clear" w:color="auto" w:fill="auto"/>
            <w:vAlign w:val="center"/>
            <w:hideMark/>
          </w:tcPr>
          <w:p w14:paraId="0B0D6428" w14:textId="77777777" w:rsidR="0062742B" w:rsidRPr="00CE1D2F" w:rsidRDefault="0062742B" w:rsidP="0062742B">
            <w:pPr>
              <w:spacing w:after="0" w:line="240" w:lineRule="auto"/>
              <w:jc w:val="center"/>
              <w:rPr>
                <w:rFonts w:ascii="Arial" w:eastAsia="Times New Roman" w:hAnsi="Arial" w:cs="Arial"/>
                <w:b/>
                <w:bCs/>
                <w:kern w:val="0"/>
                <w:sz w:val="14"/>
                <w:szCs w:val="14"/>
                <w14:ligatures w14:val="none"/>
              </w:rPr>
            </w:pPr>
            <w:r w:rsidRPr="00CE1D2F">
              <w:rPr>
                <w:rFonts w:ascii="Arial" w:eastAsia="Times New Roman" w:hAnsi="Arial" w:cs="Arial"/>
                <w:b/>
                <w:bCs/>
                <w:kern w:val="0"/>
                <w:sz w:val="14"/>
                <w:szCs w:val="14"/>
                <w14:ligatures w14:val="none"/>
              </w:rPr>
              <w:t>Container</w:t>
            </w:r>
          </w:p>
        </w:tc>
        <w:tc>
          <w:tcPr>
            <w:tcW w:w="615" w:type="dxa"/>
            <w:tcBorders>
              <w:top w:val="nil"/>
              <w:left w:val="nil"/>
              <w:bottom w:val="nil"/>
              <w:right w:val="single" w:sz="4" w:space="0" w:color="auto"/>
            </w:tcBorders>
            <w:shd w:val="clear" w:color="auto" w:fill="auto"/>
            <w:vAlign w:val="center"/>
            <w:hideMark/>
          </w:tcPr>
          <w:p w14:paraId="1BC8167E" w14:textId="77777777" w:rsidR="0062742B" w:rsidRPr="00CE1D2F" w:rsidRDefault="0062742B" w:rsidP="0062742B">
            <w:pPr>
              <w:spacing w:after="0" w:line="240" w:lineRule="auto"/>
              <w:jc w:val="center"/>
              <w:rPr>
                <w:rFonts w:ascii="Arial" w:eastAsia="Times New Roman" w:hAnsi="Arial" w:cs="Arial"/>
                <w:b/>
                <w:bCs/>
                <w:kern w:val="0"/>
                <w:sz w:val="14"/>
                <w:szCs w:val="14"/>
                <w14:ligatures w14:val="none"/>
              </w:rPr>
            </w:pPr>
            <w:r w:rsidRPr="00CE1D2F">
              <w:rPr>
                <w:rFonts w:ascii="Arial" w:eastAsia="Times New Roman" w:hAnsi="Arial" w:cs="Arial"/>
                <w:b/>
                <w:bCs/>
                <w:kern w:val="0"/>
                <w:sz w:val="14"/>
                <w:szCs w:val="14"/>
                <w14:ligatures w14:val="none"/>
              </w:rPr>
              <w:t>Label</w:t>
            </w:r>
          </w:p>
        </w:tc>
        <w:tc>
          <w:tcPr>
            <w:tcW w:w="745" w:type="dxa"/>
            <w:tcBorders>
              <w:top w:val="nil"/>
              <w:left w:val="nil"/>
              <w:bottom w:val="nil"/>
              <w:right w:val="single" w:sz="4" w:space="0" w:color="auto"/>
            </w:tcBorders>
            <w:shd w:val="clear" w:color="auto" w:fill="auto"/>
            <w:vAlign w:val="center"/>
            <w:hideMark/>
          </w:tcPr>
          <w:p w14:paraId="6613AFF2" w14:textId="77777777" w:rsidR="0062742B" w:rsidRPr="00CE1D2F" w:rsidRDefault="0062742B" w:rsidP="0062742B">
            <w:pPr>
              <w:spacing w:after="0" w:line="240" w:lineRule="auto"/>
              <w:jc w:val="center"/>
              <w:rPr>
                <w:rFonts w:ascii="Arial" w:eastAsia="Times New Roman" w:hAnsi="Arial" w:cs="Arial"/>
                <w:b/>
                <w:bCs/>
                <w:kern w:val="0"/>
                <w:sz w:val="14"/>
                <w:szCs w:val="14"/>
                <w14:ligatures w14:val="none"/>
              </w:rPr>
            </w:pPr>
            <w:r w:rsidRPr="00CE1D2F">
              <w:rPr>
                <w:rFonts w:ascii="Arial" w:eastAsia="Times New Roman" w:hAnsi="Arial" w:cs="Arial"/>
                <w:b/>
                <w:bCs/>
                <w:kern w:val="0"/>
                <w:sz w:val="14"/>
                <w:szCs w:val="14"/>
                <w14:ligatures w14:val="none"/>
              </w:rPr>
              <w:t>Product</w:t>
            </w:r>
          </w:p>
        </w:tc>
        <w:tc>
          <w:tcPr>
            <w:tcW w:w="886" w:type="dxa"/>
            <w:gridSpan w:val="2"/>
            <w:vMerge/>
            <w:tcBorders>
              <w:top w:val="nil"/>
              <w:left w:val="nil"/>
              <w:bottom w:val="nil"/>
              <w:right w:val="single" w:sz="4" w:space="0" w:color="auto"/>
            </w:tcBorders>
            <w:vAlign w:val="center"/>
            <w:hideMark/>
          </w:tcPr>
          <w:p w14:paraId="1C51BE64" w14:textId="77777777" w:rsidR="0062742B" w:rsidRPr="00CE1D2F" w:rsidRDefault="0062742B" w:rsidP="0062742B">
            <w:pPr>
              <w:spacing w:after="0" w:line="240" w:lineRule="auto"/>
              <w:rPr>
                <w:rFonts w:ascii="Arial" w:eastAsia="Times New Roman" w:hAnsi="Arial" w:cs="Arial"/>
                <w:b/>
                <w:bCs/>
                <w:kern w:val="0"/>
                <w:sz w:val="14"/>
                <w:szCs w:val="14"/>
                <w14:ligatures w14:val="none"/>
              </w:rPr>
            </w:pPr>
          </w:p>
        </w:tc>
      </w:tr>
      <w:tr w:rsidR="00CE1D2F" w:rsidRPr="00CE1D2F" w14:paraId="64A6001B" w14:textId="77777777" w:rsidTr="00CE1D2F">
        <w:trPr>
          <w:trHeight w:val="258"/>
        </w:trPr>
        <w:tc>
          <w:tcPr>
            <w:tcW w:w="53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C851982"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Auto</w:t>
            </w:r>
          </w:p>
        </w:tc>
        <w:tc>
          <w:tcPr>
            <w:tcW w:w="917" w:type="dxa"/>
            <w:tcBorders>
              <w:top w:val="single" w:sz="8" w:space="0" w:color="auto"/>
              <w:left w:val="nil"/>
              <w:bottom w:val="single" w:sz="4" w:space="0" w:color="auto"/>
              <w:right w:val="single" w:sz="4" w:space="0" w:color="auto"/>
            </w:tcBorders>
            <w:shd w:val="clear" w:color="auto" w:fill="auto"/>
            <w:noWrap/>
            <w:vAlign w:val="bottom"/>
            <w:hideMark/>
          </w:tcPr>
          <w:p w14:paraId="49307C46"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08.21.2019</w:t>
            </w:r>
          </w:p>
        </w:tc>
        <w:tc>
          <w:tcPr>
            <w:tcW w:w="738" w:type="dxa"/>
            <w:tcBorders>
              <w:top w:val="single" w:sz="8" w:space="0" w:color="auto"/>
              <w:left w:val="nil"/>
              <w:bottom w:val="single" w:sz="4" w:space="0" w:color="auto"/>
              <w:right w:val="single" w:sz="4" w:space="0" w:color="auto"/>
            </w:tcBorders>
            <w:shd w:val="clear" w:color="auto" w:fill="auto"/>
            <w:noWrap/>
            <w:vAlign w:val="bottom"/>
            <w:hideMark/>
          </w:tcPr>
          <w:p w14:paraId="641C6092"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16</w:t>
            </w:r>
          </w:p>
        </w:tc>
        <w:tc>
          <w:tcPr>
            <w:tcW w:w="753" w:type="dxa"/>
            <w:tcBorders>
              <w:top w:val="single" w:sz="8" w:space="0" w:color="auto"/>
              <w:left w:val="nil"/>
              <w:bottom w:val="single" w:sz="4" w:space="0" w:color="auto"/>
              <w:right w:val="single" w:sz="4" w:space="0" w:color="auto"/>
            </w:tcBorders>
            <w:shd w:val="clear" w:color="auto" w:fill="auto"/>
            <w:noWrap/>
            <w:vAlign w:val="bottom"/>
            <w:hideMark/>
          </w:tcPr>
          <w:p w14:paraId="2FB1A465" w14:textId="77777777" w:rsidR="0062742B" w:rsidRPr="00CE1D2F" w:rsidRDefault="0062742B" w:rsidP="0062742B">
            <w:pPr>
              <w:spacing w:after="0" w:line="240" w:lineRule="auto"/>
              <w:jc w:val="center"/>
              <w:rPr>
                <w:rFonts w:ascii="Arial" w:eastAsia="Times New Roman" w:hAnsi="Arial" w:cs="Arial"/>
                <w:color w:val="000000"/>
                <w:kern w:val="0"/>
                <w:sz w:val="14"/>
                <w:szCs w:val="14"/>
                <w14:ligatures w14:val="none"/>
              </w:rPr>
            </w:pPr>
            <w:r w:rsidRPr="00CE1D2F">
              <w:rPr>
                <w:rFonts w:ascii="Arial" w:eastAsia="Times New Roman" w:hAnsi="Arial" w:cs="Arial"/>
                <w:color w:val="000000"/>
                <w:kern w:val="0"/>
                <w:sz w:val="14"/>
                <w:szCs w:val="14"/>
                <w14:ligatures w14:val="none"/>
              </w:rPr>
              <w:t>75</w:t>
            </w:r>
          </w:p>
        </w:tc>
        <w:tc>
          <w:tcPr>
            <w:tcW w:w="860" w:type="dxa"/>
            <w:tcBorders>
              <w:top w:val="single" w:sz="8" w:space="0" w:color="auto"/>
              <w:left w:val="nil"/>
              <w:bottom w:val="single" w:sz="4" w:space="0" w:color="auto"/>
              <w:right w:val="single" w:sz="4" w:space="0" w:color="auto"/>
            </w:tcBorders>
            <w:shd w:val="clear" w:color="auto" w:fill="auto"/>
            <w:noWrap/>
            <w:vAlign w:val="bottom"/>
            <w:hideMark/>
          </w:tcPr>
          <w:p w14:paraId="4CFC8AFC"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100</w:t>
            </w:r>
          </w:p>
        </w:tc>
        <w:tc>
          <w:tcPr>
            <w:tcW w:w="808" w:type="dxa"/>
            <w:tcBorders>
              <w:top w:val="single" w:sz="8" w:space="0" w:color="auto"/>
              <w:left w:val="nil"/>
              <w:bottom w:val="single" w:sz="4" w:space="0" w:color="auto"/>
              <w:right w:val="single" w:sz="4" w:space="0" w:color="auto"/>
            </w:tcBorders>
            <w:shd w:val="clear" w:color="auto" w:fill="auto"/>
            <w:noWrap/>
            <w:vAlign w:val="bottom"/>
            <w:hideMark/>
          </w:tcPr>
          <w:p w14:paraId="0F6CCCA7" w14:textId="77777777" w:rsidR="0062742B" w:rsidRPr="00CE1D2F" w:rsidRDefault="0062742B" w:rsidP="0062742B">
            <w:pPr>
              <w:spacing w:after="0" w:line="240" w:lineRule="auto"/>
              <w:jc w:val="center"/>
              <w:rPr>
                <w:rFonts w:ascii="Arial" w:eastAsia="Times New Roman" w:hAnsi="Arial" w:cs="Arial"/>
                <w:color w:val="000000"/>
                <w:kern w:val="0"/>
                <w:sz w:val="14"/>
                <w:szCs w:val="14"/>
                <w14:ligatures w14:val="none"/>
              </w:rPr>
            </w:pPr>
            <w:r w:rsidRPr="00CE1D2F">
              <w:rPr>
                <w:rFonts w:ascii="Arial" w:eastAsia="Times New Roman" w:hAnsi="Arial" w:cs="Arial"/>
                <w:color w:val="000000"/>
                <w:kern w:val="0"/>
                <w:sz w:val="14"/>
                <w:szCs w:val="14"/>
                <w14:ligatures w14:val="none"/>
              </w:rPr>
              <w:t>56</w:t>
            </w:r>
          </w:p>
        </w:tc>
        <w:tc>
          <w:tcPr>
            <w:tcW w:w="847" w:type="dxa"/>
            <w:tcBorders>
              <w:top w:val="nil"/>
              <w:left w:val="nil"/>
              <w:bottom w:val="single" w:sz="4" w:space="0" w:color="auto"/>
              <w:right w:val="single" w:sz="4" w:space="0" w:color="auto"/>
            </w:tcBorders>
            <w:shd w:val="clear" w:color="auto" w:fill="auto"/>
            <w:noWrap/>
            <w:vAlign w:val="bottom"/>
            <w:hideMark/>
          </w:tcPr>
          <w:p w14:paraId="5BF3D3BF"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93</w:t>
            </w:r>
          </w:p>
        </w:tc>
        <w:tc>
          <w:tcPr>
            <w:tcW w:w="730" w:type="dxa"/>
            <w:tcBorders>
              <w:top w:val="single" w:sz="8" w:space="0" w:color="auto"/>
              <w:left w:val="nil"/>
              <w:bottom w:val="single" w:sz="4" w:space="0" w:color="auto"/>
              <w:right w:val="single" w:sz="4" w:space="0" w:color="auto"/>
            </w:tcBorders>
            <w:shd w:val="clear" w:color="auto" w:fill="auto"/>
            <w:noWrap/>
            <w:vAlign w:val="bottom"/>
            <w:hideMark/>
          </w:tcPr>
          <w:p w14:paraId="340F1F41"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ng/nf</w:t>
            </w:r>
          </w:p>
        </w:tc>
        <w:tc>
          <w:tcPr>
            <w:tcW w:w="627" w:type="dxa"/>
            <w:tcBorders>
              <w:top w:val="single" w:sz="8" w:space="0" w:color="auto"/>
              <w:left w:val="nil"/>
              <w:bottom w:val="single" w:sz="4" w:space="0" w:color="auto"/>
              <w:right w:val="single" w:sz="4" w:space="0" w:color="auto"/>
            </w:tcBorders>
            <w:shd w:val="clear" w:color="auto" w:fill="auto"/>
            <w:noWrap/>
            <w:vAlign w:val="bottom"/>
            <w:hideMark/>
          </w:tcPr>
          <w:p w14:paraId="432EC46C"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JD</w:t>
            </w:r>
          </w:p>
        </w:tc>
        <w:tc>
          <w:tcPr>
            <w:tcW w:w="870" w:type="dxa"/>
            <w:tcBorders>
              <w:top w:val="single" w:sz="8" w:space="0" w:color="auto"/>
              <w:left w:val="nil"/>
              <w:bottom w:val="single" w:sz="4" w:space="0" w:color="auto"/>
              <w:right w:val="single" w:sz="4" w:space="0" w:color="auto"/>
            </w:tcBorders>
            <w:shd w:val="clear" w:color="auto" w:fill="auto"/>
            <w:noWrap/>
            <w:vAlign w:val="bottom"/>
            <w:hideMark/>
          </w:tcPr>
          <w:p w14:paraId="74324BD5"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615" w:type="dxa"/>
            <w:tcBorders>
              <w:top w:val="single" w:sz="8" w:space="0" w:color="auto"/>
              <w:left w:val="nil"/>
              <w:bottom w:val="single" w:sz="4" w:space="0" w:color="auto"/>
              <w:right w:val="single" w:sz="4" w:space="0" w:color="auto"/>
            </w:tcBorders>
            <w:shd w:val="clear" w:color="auto" w:fill="auto"/>
            <w:noWrap/>
            <w:vAlign w:val="bottom"/>
            <w:hideMark/>
          </w:tcPr>
          <w:p w14:paraId="48941A19"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45" w:type="dxa"/>
            <w:tcBorders>
              <w:top w:val="single" w:sz="8" w:space="0" w:color="auto"/>
              <w:left w:val="nil"/>
              <w:bottom w:val="single" w:sz="4" w:space="0" w:color="auto"/>
              <w:right w:val="single" w:sz="4" w:space="0" w:color="auto"/>
            </w:tcBorders>
            <w:shd w:val="clear" w:color="auto" w:fill="auto"/>
            <w:noWrap/>
            <w:vAlign w:val="bottom"/>
            <w:hideMark/>
          </w:tcPr>
          <w:p w14:paraId="74BA0453"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65" w:type="dxa"/>
            <w:tcBorders>
              <w:top w:val="single" w:sz="8" w:space="0" w:color="auto"/>
              <w:left w:val="nil"/>
              <w:bottom w:val="single" w:sz="4" w:space="0" w:color="auto"/>
              <w:right w:val="single" w:sz="8" w:space="0" w:color="auto"/>
            </w:tcBorders>
            <w:shd w:val="clear" w:color="auto" w:fill="auto"/>
            <w:noWrap/>
            <w:vAlign w:val="bottom"/>
            <w:hideMark/>
          </w:tcPr>
          <w:p w14:paraId="1F44DCCA"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7</w:t>
            </w:r>
          </w:p>
        </w:tc>
        <w:tc>
          <w:tcPr>
            <w:tcW w:w="270" w:type="dxa"/>
            <w:gridSpan w:val="2"/>
            <w:tcBorders>
              <w:top w:val="single" w:sz="8" w:space="0" w:color="auto"/>
              <w:left w:val="nil"/>
              <w:bottom w:val="nil"/>
              <w:right w:val="single" w:sz="8" w:space="0" w:color="auto"/>
            </w:tcBorders>
            <w:shd w:val="clear" w:color="auto" w:fill="auto"/>
            <w:noWrap/>
            <w:vAlign w:val="bottom"/>
            <w:hideMark/>
          </w:tcPr>
          <w:p w14:paraId="2FD6F5F2" w14:textId="77777777" w:rsidR="0062742B" w:rsidRPr="00CE1D2F" w:rsidRDefault="0062742B" w:rsidP="0062742B">
            <w:pPr>
              <w:spacing w:after="0" w:line="240" w:lineRule="auto"/>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r>
      <w:tr w:rsidR="00CE1D2F" w:rsidRPr="00CE1D2F" w14:paraId="118AB7F1" w14:textId="77777777" w:rsidTr="00CE1D2F">
        <w:trPr>
          <w:trHeight w:val="258"/>
        </w:trPr>
        <w:tc>
          <w:tcPr>
            <w:tcW w:w="535" w:type="dxa"/>
            <w:tcBorders>
              <w:top w:val="nil"/>
              <w:left w:val="single" w:sz="8" w:space="0" w:color="auto"/>
              <w:bottom w:val="single" w:sz="4" w:space="0" w:color="auto"/>
              <w:right w:val="single" w:sz="4" w:space="0" w:color="auto"/>
            </w:tcBorders>
            <w:shd w:val="clear" w:color="auto" w:fill="auto"/>
            <w:noWrap/>
            <w:vAlign w:val="bottom"/>
            <w:hideMark/>
          </w:tcPr>
          <w:p w14:paraId="4F5EF8AE"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Auto</w:t>
            </w:r>
          </w:p>
        </w:tc>
        <w:tc>
          <w:tcPr>
            <w:tcW w:w="917" w:type="dxa"/>
            <w:tcBorders>
              <w:top w:val="nil"/>
              <w:left w:val="nil"/>
              <w:bottom w:val="single" w:sz="4" w:space="0" w:color="auto"/>
              <w:right w:val="single" w:sz="4" w:space="0" w:color="auto"/>
            </w:tcBorders>
            <w:shd w:val="clear" w:color="auto" w:fill="auto"/>
            <w:noWrap/>
            <w:vAlign w:val="bottom"/>
            <w:hideMark/>
          </w:tcPr>
          <w:p w14:paraId="09770222"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08.21.2019</w:t>
            </w:r>
          </w:p>
        </w:tc>
        <w:tc>
          <w:tcPr>
            <w:tcW w:w="738" w:type="dxa"/>
            <w:tcBorders>
              <w:top w:val="nil"/>
              <w:left w:val="nil"/>
              <w:bottom w:val="single" w:sz="4" w:space="0" w:color="auto"/>
              <w:right w:val="single" w:sz="4" w:space="0" w:color="auto"/>
            </w:tcBorders>
            <w:shd w:val="clear" w:color="auto" w:fill="auto"/>
            <w:noWrap/>
            <w:vAlign w:val="bottom"/>
            <w:hideMark/>
          </w:tcPr>
          <w:p w14:paraId="35997A70"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10</w:t>
            </w:r>
          </w:p>
        </w:tc>
        <w:tc>
          <w:tcPr>
            <w:tcW w:w="753" w:type="dxa"/>
            <w:tcBorders>
              <w:top w:val="nil"/>
              <w:left w:val="nil"/>
              <w:bottom w:val="single" w:sz="4" w:space="0" w:color="auto"/>
              <w:right w:val="single" w:sz="4" w:space="0" w:color="auto"/>
            </w:tcBorders>
            <w:shd w:val="clear" w:color="auto" w:fill="auto"/>
            <w:noWrap/>
            <w:vAlign w:val="bottom"/>
            <w:hideMark/>
          </w:tcPr>
          <w:p w14:paraId="5BFAFB58" w14:textId="77777777" w:rsidR="0062742B" w:rsidRPr="00CE1D2F" w:rsidRDefault="0062742B" w:rsidP="0062742B">
            <w:pPr>
              <w:spacing w:after="0" w:line="240" w:lineRule="auto"/>
              <w:jc w:val="center"/>
              <w:rPr>
                <w:rFonts w:ascii="Arial" w:eastAsia="Times New Roman" w:hAnsi="Arial" w:cs="Arial"/>
                <w:color w:val="000000"/>
                <w:kern w:val="0"/>
                <w:sz w:val="14"/>
                <w:szCs w:val="14"/>
                <w14:ligatures w14:val="none"/>
              </w:rPr>
            </w:pPr>
            <w:r w:rsidRPr="00CE1D2F">
              <w:rPr>
                <w:rFonts w:ascii="Arial" w:eastAsia="Times New Roman" w:hAnsi="Arial" w:cs="Arial"/>
                <w:color w:val="000000"/>
                <w:kern w:val="0"/>
                <w:sz w:val="14"/>
                <w:szCs w:val="14"/>
                <w14:ligatures w14:val="none"/>
              </w:rPr>
              <w:t>88</w:t>
            </w:r>
          </w:p>
        </w:tc>
        <w:tc>
          <w:tcPr>
            <w:tcW w:w="860" w:type="dxa"/>
            <w:tcBorders>
              <w:top w:val="nil"/>
              <w:left w:val="nil"/>
              <w:bottom w:val="single" w:sz="4" w:space="0" w:color="auto"/>
              <w:right w:val="single" w:sz="4" w:space="0" w:color="auto"/>
            </w:tcBorders>
            <w:shd w:val="clear" w:color="auto" w:fill="auto"/>
            <w:noWrap/>
            <w:vAlign w:val="bottom"/>
            <w:hideMark/>
          </w:tcPr>
          <w:p w14:paraId="468944F2"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98</w:t>
            </w:r>
          </w:p>
        </w:tc>
        <w:tc>
          <w:tcPr>
            <w:tcW w:w="808" w:type="dxa"/>
            <w:tcBorders>
              <w:top w:val="nil"/>
              <w:left w:val="nil"/>
              <w:bottom w:val="single" w:sz="4" w:space="0" w:color="auto"/>
              <w:right w:val="single" w:sz="4" w:space="0" w:color="auto"/>
            </w:tcBorders>
            <w:shd w:val="clear" w:color="auto" w:fill="auto"/>
            <w:noWrap/>
            <w:vAlign w:val="bottom"/>
            <w:hideMark/>
          </w:tcPr>
          <w:p w14:paraId="1B26D9EC" w14:textId="77777777" w:rsidR="0062742B" w:rsidRPr="00CE1D2F" w:rsidRDefault="0062742B" w:rsidP="0062742B">
            <w:pPr>
              <w:spacing w:after="0" w:line="240" w:lineRule="auto"/>
              <w:jc w:val="center"/>
              <w:rPr>
                <w:rFonts w:ascii="Arial" w:eastAsia="Times New Roman" w:hAnsi="Arial" w:cs="Arial"/>
                <w:color w:val="000000"/>
                <w:kern w:val="0"/>
                <w:sz w:val="14"/>
                <w:szCs w:val="14"/>
                <w14:ligatures w14:val="none"/>
              </w:rPr>
            </w:pPr>
            <w:r w:rsidRPr="00CE1D2F">
              <w:rPr>
                <w:rFonts w:ascii="Arial" w:eastAsia="Times New Roman" w:hAnsi="Arial" w:cs="Arial"/>
                <w:color w:val="000000"/>
                <w:kern w:val="0"/>
                <w:sz w:val="14"/>
                <w:szCs w:val="14"/>
                <w14:ligatures w14:val="none"/>
              </w:rPr>
              <w:t>206</w:t>
            </w:r>
          </w:p>
        </w:tc>
        <w:tc>
          <w:tcPr>
            <w:tcW w:w="847" w:type="dxa"/>
            <w:tcBorders>
              <w:top w:val="nil"/>
              <w:left w:val="nil"/>
              <w:bottom w:val="single" w:sz="4" w:space="0" w:color="auto"/>
              <w:right w:val="single" w:sz="4" w:space="0" w:color="auto"/>
            </w:tcBorders>
            <w:shd w:val="clear" w:color="auto" w:fill="auto"/>
            <w:noWrap/>
            <w:vAlign w:val="bottom"/>
            <w:hideMark/>
          </w:tcPr>
          <w:p w14:paraId="3C82FCB0"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86</w:t>
            </w:r>
          </w:p>
        </w:tc>
        <w:tc>
          <w:tcPr>
            <w:tcW w:w="730" w:type="dxa"/>
            <w:tcBorders>
              <w:top w:val="nil"/>
              <w:left w:val="nil"/>
              <w:bottom w:val="single" w:sz="4" w:space="0" w:color="auto"/>
              <w:right w:val="single" w:sz="4" w:space="0" w:color="auto"/>
            </w:tcBorders>
            <w:shd w:val="clear" w:color="auto" w:fill="auto"/>
            <w:noWrap/>
            <w:vAlign w:val="bottom"/>
            <w:hideMark/>
          </w:tcPr>
          <w:p w14:paraId="0824D07F"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ng/nf</w:t>
            </w:r>
          </w:p>
        </w:tc>
        <w:tc>
          <w:tcPr>
            <w:tcW w:w="627" w:type="dxa"/>
            <w:tcBorders>
              <w:top w:val="nil"/>
              <w:left w:val="nil"/>
              <w:bottom w:val="single" w:sz="4" w:space="0" w:color="auto"/>
              <w:right w:val="single" w:sz="4" w:space="0" w:color="auto"/>
            </w:tcBorders>
            <w:shd w:val="clear" w:color="auto" w:fill="auto"/>
            <w:noWrap/>
            <w:vAlign w:val="bottom"/>
            <w:hideMark/>
          </w:tcPr>
          <w:p w14:paraId="075F427A"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JD</w:t>
            </w:r>
          </w:p>
        </w:tc>
        <w:tc>
          <w:tcPr>
            <w:tcW w:w="870" w:type="dxa"/>
            <w:tcBorders>
              <w:top w:val="nil"/>
              <w:left w:val="nil"/>
              <w:bottom w:val="single" w:sz="4" w:space="0" w:color="auto"/>
              <w:right w:val="single" w:sz="4" w:space="0" w:color="auto"/>
            </w:tcBorders>
            <w:shd w:val="clear" w:color="auto" w:fill="auto"/>
            <w:noWrap/>
            <w:vAlign w:val="bottom"/>
            <w:hideMark/>
          </w:tcPr>
          <w:p w14:paraId="6C85E77B"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615" w:type="dxa"/>
            <w:tcBorders>
              <w:top w:val="nil"/>
              <w:left w:val="nil"/>
              <w:bottom w:val="single" w:sz="4" w:space="0" w:color="auto"/>
              <w:right w:val="single" w:sz="4" w:space="0" w:color="auto"/>
            </w:tcBorders>
            <w:shd w:val="clear" w:color="auto" w:fill="auto"/>
            <w:noWrap/>
            <w:vAlign w:val="bottom"/>
            <w:hideMark/>
          </w:tcPr>
          <w:p w14:paraId="680E5D7B"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45" w:type="dxa"/>
            <w:tcBorders>
              <w:top w:val="nil"/>
              <w:left w:val="nil"/>
              <w:bottom w:val="single" w:sz="4" w:space="0" w:color="auto"/>
              <w:right w:val="single" w:sz="4" w:space="0" w:color="auto"/>
            </w:tcBorders>
            <w:shd w:val="clear" w:color="auto" w:fill="auto"/>
            <w:noWrap/>
            <w:vAlign w:val="bottom"/>
            <w:hideMark/>
          </w:tcPr>
          <w:p w14:paraId="0A252502"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65" w:type="dxa"/>
            <w:tcBorders>
              <w:top w:val="nil"/>
              <w:left w:val="nil"/>
              <w:bottom w:val="single" w:sz="4" w:space="0" w:color="auto"/>
              <w:right w:val="single" w:sz="8" w:space="0" w:color="auto"/>
            </w:tcBorders>
            <w:shd w:val="clear" w:color="auto" w:fill="auto"/>
            <w:noWrap/>
            <w:vAlign w:val="bottom"/>
            <w:hideMark/>
          </w:tcPr>
          <w:p w14:paraId="4E0971BA"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12</w:t>
            </w:r>
          </w:p>
        </w:tc>
        <w:tc>
          <w:tcPr>
            <w:tcW w:w="270" w:type="dxa"/>
            <w:gridSpan w:val="2"/>
            <w:tcBorders>
              <w:top w:val="nil"/>
              <w:left w:val="nil"/>
              <w:bottom w:val="nil"/>
              <w:right w:val="single" w:sz="8" w:space="0" w:color="auto"/>
            </w:tcBorders>
            <w:shd w:val="clear" w:color="auto" w:fill="auto"/>
            <w:noWrap/>
            <w:vAlign w:val="bottom"/>
            <w:hideMark/>
          </w:tcPr>
          <w:p w14:paraId="5B5CC8A8" w14:textId="77777777" w:rsidR="0062742B" w:rsidRPr="00CE1D2F" w:rsidRDefault="0062742B" w:rsidP="0062742B">
            <w:pPr>
              <w:spacing w:after="0" w:line="240" w:lineRule="auto"/>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r>
      <w:tr w:rsidR="00CE1D2F" w:rsidRPr="00CE1D2F" w14:paraId="15256FAC" w14:textId="77777777" w:rsidTr="00CE1D2F">
        <w:trPr>
          <w:trHeight w:val="258"/>
        </w:trPr>
        <w:tc>
          <w:tcPr>
            <w:tcW w:w="535" w:type="dxa"/>
            <w:tcBorders>
              <w:top w:val="nil"/>
              <w:left w:val="single" w:sz="8" w:space="0" w:color="auto"/>
              <w:bottom w:val="single" w:sz="4" w:space="0" w:color="auto"/>
              <w:right w:val="single" w:sz="4" w:space="0" w:color="auto"/>
            </w:tcBorders>
            <w:shd w:val="clear" w:color="auto" w:fill="auto"/>
            <w:noWrap/>
            <w:vAlign w:val="bottom"/>
            <w:hideMark/>
          </w:tcPr>
          <w:p w14:paraId="11BF430A"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Auto</w:t>
            </w:r>
          </w:p>
        </w:tc>
        <w:tc>
          <w:tcPr>
            <w:tcW w:w="917" w:type="dxa"/>
            <w:tcBorders>
              <w:top w:val="nil"/>
              <w:left w:val="nil"/>
              <w:bottom w:val="single" w:sz="4" w:space="0" w:color="auto"/>
              <w:right w:val="single" w:sz="4" w:space="0" w:color="auto"/>
            </w:tcBorders>
            <w:shd w:val="clear" w:color="auto" w:fill="auto"/>
            <w:noWrap/>
            <w:vAlign w:val="bottom"/>
            <w:hideMark/>
          </w:tcPr>
          <w:p w14:paraId="717B89BB"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08.21.2019</w:t>
            </w:r>
          </w:p>
        </w:tc>
        <w:tc>
          <w:tcPr>
            <w:tcW w:w="738" w:type="dxa"/>
            <w:tcBorders>
              <w:top w:val="nil"/>
              <w:left w:val="nil"/>
              <w:bottom w:val="single" w:sz="4" w:space="0" w:color="auto"/>
              <w:right w:val="single" w:sz="4" w:space="0" w:color="auto"/>
            </w:tcBorders>
            <w:shd w:val="clear" w:color="auto" w:fill="auto"/>
            <w:noWrap/>
            <w:vAlign w:val="bottom"/>
            <w:hideMark/>
          </w:tcPr>
          <w:p w14:paraId="2B5FC67E"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10</w:t>
            </w:r>
          </w:p>
        </w:tc>
        <w:tc>
          <w:tcPr>
            <w:tcW w:w="753" w:type="dxa"/>
            <w:tcBorders>
              <w:top w:val="nil"/>
              <w:left w:val="nil"/>
              <w:bottom w:val="single" w:sz="4" w:space="0" w:color="auto"/>
              <w:right w:val="single" w:sz="4" w:space="0" w:color="auto"/>
            </w:tcBorders>
            <w:shd w:val="clear" w:color="auto" w:fill="auto"/>
            <w:noWrap/>
            <w:vAlign w:val="bottom"/>
            <w:hideMark/>
          </w:tcPr>
          <w:p w14:paraId="144E977C" w14:textId="77777777" w:rsidR="0062742B" w:rsidRPr="00CE1D2F" w:rsidRDefault="0062742B" w:rsidP="0062742B">
            <w:pPr>
              <w:spacing w:after="0" w:line="240" w:lineRule="auto"/>
              <w:jc w:val="center"/>
              <w:rPr>
                <w:rFonts w:ascii="Arial" w:eastAsia="Times New Roman" w:hAnsi="Arial" w:cs="Arial"/>
                <w:color w:val="000000"/>
                <w:kern w:val="0"/>
                <w:sz w:val="14"/>
                <w:szCs w:val="14"/>
                <w14:ligatures w14:val="none"/>
              </w:rPr>
            </w:pPr>
            <w:r w:rsidRPr="00CE1D2F">
              <w:rPr>
                <w:rFonts w:ascii="Arial" w:eastAsia="Times New Roman" w:hAnsi="Arial" w:cs="Arial"/>
                <w:color w:val="000000"/>
                <w:kern w:val="0"/>
                <w:sz w:val="14"/>
                <w:szCs w:val="14"/>
                <w14:ligatures w14:val="none"/>
              </w:rPr>
              <w:t>83</w:t>
            </w:r>
          </w:p>
        </w:tc>
        <w:tc>
          <w:tcPr>
            <w:tcW w:w="860" w:type="dxa"/>
            <w:tcBorders>
              <w:top w:val="nil"/>
              <w:left w:val="nil"/>
              <w:bottom w:val="single" w:sz="4" w:space="0" w:color="auto"/>
              <w:right w:val="single" w:sz="4" w:space="0" w:color="auto"/>
            </w:tcBorders>
            <w:shd w:val="clear" w:color="auto" w:fill="auto"/>
            <w:noWrap/>
            <w:vAlign w:val="bottom"/>
            <w:hideMark/>
          </w:tcPr>
          <w:p w14:paraId="26161D01"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100</w:t>
            </w:r>
          </w:p>
        </w:tc>
        <w:tc>
          <w:tcPr>
            <w:tcW w:w="808" w:type="dxa"/>
            <w:tcBorders>
              <w:top w:val="nil"/>
              <w:left w:val="nil"/>
              <w:bottom w:val="single" w:sz="4" w:space="0" w:color="auto"/>
              <w:right w:val="single" w:sz="4" w:space="0" w:color="auto"/>
            </w:tcBorders>
            <w:shd w:val="clear" w:color="auto" w:fill="auto"/>
            <w:noWrap/>
            <w:vAlign w:val="bottom"/>
            <w:hideMark/>
          </w:tcPr>
          <w:p w14:paraId="3963889B" w14:textId="77777777" w:rsidR="0062742B" w:rsidRPr="00CE1D2F" w:rsidRDefault="0062742B" w:rsidP="0062742B">
            <w:pPr>
              <w:spacing w:after="0" w:line="240" w:lineRule="auto"/>
              <w:jc w:val="center"/>
              <w:rPr>
                <w:rFonts w:ascii="Arial" w:eastAsia="Times New Roman" w:hAnsi="Arial" w:cs="Arial"/>
                <w:color w:val="000000"/>
                <w:kern w:val="0"/>
                <w:sz w:val="14"/>
                <w:szCs w:val="14"/>
                <w14:ligatures w14:val="none"/>
              </w:rPr>
            </w:pPr>
            <w:r w:rsidRPr="00CE1D2F">
              <w:rPr>
                <w:rFonts w:ascii="Arial" w:eastAsia="Times New Roman" w:hAnsi="Arial" w:cs="Arial"/>
                <w:color w:val="000000"/>
                <w:kern w:val="0"/>
                <w:sz w:val="14"/>
                <w:szCs w:val="14"/>
                <w14:ligatures w14:val="none"/>
              </w:rPr>
              <w:t>18</w:t>
            </w:r>
          </w:p>
        </w:tc>
        <w:tc>
          <w:tcPr>
            <w:tcW w:w="847" w:type="dxa"/>
            <w:tcBorders>
              <w:top w:val="nil"/>
              <w:left w:val="nil"/>
              <w:bottom w:val="single" w:sz="4" w:space="0" w:color="auto"/>
              <w:right w:val="single" w:sz="4" w:space="0" w:color="auto"/>
            </w:tcBorders>
            <w:shd w:val="clear" w:color="auto" w:fill="auto"/>
            <w:noWrap/>
            <w:vAlign w:val="bottom"/>
            <w:hideMark/>
          </w:tcPr>
          <w:p w14:paraId="3A7C6299"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87</w:t>
            </w:r>
          </w:p>
        </w:tc>
        <w:tc>
          <w:tcPr>
            <w:tcW w:w="730" w:type="dxa"/>
            <w:tcBorders>
              <w:top w:val="nil"/>
              <w:left w:val="nil"/>
              <w:bottom w:val="single" w:sz="4" w:space="0" w:color="auto"/>
              <w:right w:val="single" w:sz="4" w:space="0" w:color="auto"/>
            </w:tcBorders>
            <w:shd w:val="clear" w:color="auto" w:fill="auto"/>
            <w:noWrap/>
            <w:vAlign w:val="bottom"/>
            <w:hideMark/>
          </w:tcPr>
          <w:p w14:paraId="50DF5B93"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ng/nf</w:t>
            </w:r>
          </w:p>
        </w:tc>
        <w:tc>
          <w:tcPr>
            <w:tcW w:w="627" w:type="dxa"/>
            <w:tcBorders>
              <w:top w:val="nil"/>
              <w:left w:val="nil"/>
              <w:bottom w:val="single" w:sz="4" w:space="0" w:color="auto"/>
              <w:right w:val="single" w:sz="4" w:space="0" w:color="auto"/>
            </w:tcBorders>
            <w:shd w:val="clear" w:color="auto" w:fill="auto"/>
            <w:noWrap/>
            <w:vAlign w:val="bottom"/>
            <w:hideMark/>
          </w:tcPr>
          <w:p w14:paraId="23C907FF"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JD</w:t>
            </w:r>
          </w:p>
        </w:tc>
        <w:tc>
          <w:tcPr>
            <w:tcW w:w="870" w:type="dxa"/>
            <w:tcBorders>
              <w:top w:val="nil"/>
              <w:left w:val="nil"/>
              <w:bottom w:val="single" w:sz="4" w:space="0" w:color="auto"/>
              <w:right w:val="single" w:sz="4" w:space="0" w:color="auto"/>
            </w:tcBorders>
            <w:shd w:val="clear" w:color="auto" w:fill="auto"/>
            <w:noWrap/>
            <w:vAlign w:val="bottom"/>
            <w:hideMark/>
          </w:tcPr>
          <w:p w14:paraId="72448332"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615" w:type="dxa"/>
            <w:tcBorders>
              <w:top w:val="nil"/>
              <w:left w:val="nil"/>
              <w:bottom w:val="single" w:sz="4" w:space="0" w:color="auto"/>
              <w:right w:val="single" w:sz="4" w:space="0" w:color="auto"/>
            </w:tcBorders>
            <w:shd w:val="clear" w:color="auto" w:fill="auto"/>
            <w:noWrap/>
            <w:vAlign w:val="bottom"/>
            <w:hideMark/>
          </w:tcPr>
          <w:p w14:paraId="496A12E5"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45" w:type="dxa"/>
            <w:tcBorders>
              <w:top w:val="nil"/>
              <w:left w:val="nil"/>
              <w:bottom w:val="single" w:sz="4" w:space="0" w:color="auto"/>
              <w:right w:val="single" w:sz="4" w:space="0" w:color="auto"/>
            </w:tcBorders>
            <w:shd w:val="clear" w:color="auto" w:fill="auto"/>
            <w:noWrap/>
            <w:vAlign w:val="bottom"/>
            <w:hideMark/>
          </w:tcPr>
          <w:p w14:paraId="0563AD3E"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65" w:type="dxa"/>
            <w:tcBorders>
              <w:top w:val="nil"/>
              <w:left w:val="nil"/>
              <w:bottom w:val="single" w:sz="4" w:space="0" w:color="auto"/>
              <w:right w:val="single" w:sz="8" w:space="0" w:color="auto"/>
            </w:tcBorders>
            <w:shd w:val="clear" w:color="auto" w:fill="auto"/>
            <w:noWrap/>
            <w:vAlign w:val="bottom"/>
            <w:hideMark/>
          </w:tcPr>
          <w:p w14:paraId="5BF9D307"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11</w:t>
            </w:r>
          </w:p>
        </w:tc>
        <w:tc>
          <w:tcPr>
            <w:tcW w:w="270" w:type="dxa"/>
            <w:gridSpan w:val="2"/>
            <w:tcBorders>
              <w:top w:val="nil"/>
              <w:left w:val="nil"/>
              <w:bottom w:val="nil"/>
              <w:right w:val="single" w:sz="8" w:space="0" w:color="auto"/>
            </w:tcBorders>
            <w:shd w:val="clear" w:color="auto" w:fill="auto"/>
            <w:noWrap/>
            <w:vAlign w:val="bottom"/>
            <w:hideMark/>
          </w:tcPr>
          <w:p w14:paraId="1A219387" w14:textId="77777777" w:rsidR="0062742B" w:rsidRPr="00CE1D2F" w:rsidRDefault="0062742B" w:rsidP="0062742B">
            <w:pPr>
              <w:spacing w:after="0" w:line="240" w:lineRule="auto"/>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r>
      <w:tr w:rsidR="00CE1D2F" w:rsidRPr="00CE1D2F" w14:paraId="3C648F8E" w14:textId="77777777" w:rsidTr="00CE1D2F">
        <w:trPr>
          <w:trHeight w:val="258"/>
        </w:trPr>
        <w:tc>
          <w:tcPr>
            <w:tcW w:w="535" w:type="dxa"/>
            <w:tcBorders>
              <w:top w:val="nil"/>
              <w:left w:val="single" w:sz="8" w:space="0" w:color="auto"/>
              <w:bottom w:val="single" w:sz="4" w:space="0" w:color="auto"/>
              <w:right w:val="single" w:sz="4" w:space="0" w:color="auto"/>
            </w:tcBorders>
            <w:shd w:val="clear" w:color="auto" w:fill="auto"/>
            <w:noWrap/>
            <w:vAlign w:val="bottom"/>
            <w:hideMark/>
          </w:tcPr>
          <w:p w14:paraId="5839D3DA"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Auto</w:t>
            </w:r>
          </w:p>
        </w:tc>
        <w:tc>
          <w:tcPr>
            <w:tcW w:w="917" w:type="dxa"/>
            <w:tcBorders>
              <w:top w:val="nil"/>
              <w:left w:val="nil"/>
              <w:bottom w:val="single" w:sz="4" w:space="0" w:color="auto"/>
              <w:right w:val="single" w:sz="4" w:space="0" w:color="auto"/>
            </w:tcBorders>
            <w:shd w:val="clear" w:color="auto" w:fill="auto"/>
            <w:noWrap/>
            <w:vAlign w:val="bottom"/>
            <w:hideMark/>
          </w:tcPr>
          <w:p w14:paraId="3D813F24"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08.21.2019</w:t>
            </w:r>
          </w:p>
        </w:tc>
        <w:tc>
          <w:tcPr>
            <w:tcW w:w="738" w:type="dxa"/>
            <w:tcBorders>
              <w:top w:val="nil"/>
              <w:left w:val="nil"/>
              <w:bottom w:val="single" w:sz="4" w:space="0" w:color="auto"/>
              <w:right w:val="single" w:sz="4" w:space="0" w:color="auto"/>
            </w:tcBorders>
            <w:shd w:val="clear" w:color="auto" w:fill="auto"/>
            <w:noWrap/>
            <w:vAlign w:val="bottom"/>
            <w:hideMark/>
          </w:tcPr>
          <w:p w14:paraId="226025F7"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13</w:t>
            </w:r>
          </w:p>
        </w:tc>
        <w:tc>
          <w:tcPr>
            <w:tcW w:w="753" w:type="dxa"/>
            <w:tcBorders>
              <w:top w:val="nil"/>
              <w:left w:val="nil"/>
              <w:bottom w:val="single" w:sz="4" w:space="0" w:color="auto"/>
              <w:right w:val="single" w:sz="4" w:space="0" w:color="auto"/>
            </w:tcBorders>
            <w:shd w:val="clear" w:color="auto" w:fill="auto"/>
            <w:noWrap/>
            <w:vAlign w:val="bottom"/>
            <w:hideMark/>
          </w:tcPr>
          <w:p w14:paraId="5D9D3F0F" w14:textId="77777777" w:rsidR="0062742B" w:rsidRPr="00CE1D2F" w:rsidRDefault="0062742B" w:rsidP="0062742B">
            <w:pPr>
              <w:spacing w:after="0" w:line="240" w:lineRule="auto"/>
              <w:jc w:val="center"/>
              <w:rPr>
                <w:rFonts w:ascii="Arial" w:eastAsia="Times New Roman" w:hAnsi="Arial" w:cs="Arial"/>
                <w:color w:val="000000"/>
                <w:kern w:val="0"/>
                <w:sz w:val="14"/>
                <w:szCs w:val="14"/>
                <w14:ligatures w14:val="none"/>
              </w:rPr>
            </w:pPr>
            <w:r w:rsidRPr="00CE1D2F">
              <w:rPr>
                <w:rFonts w:ascii="Arial" w:eastAsia="Times New Roman" w:hAnsi="Arial" w:cs="Arial"/>
                <w:color w:val="000000"/>
                <w:kern w:val="0"/>
                <w:sz w:val="14"/>
                <w:szCs w:val="14"/>
                <w14:ligatures w14:val="none"/>
              </w:rPr>
              <w:t>83</w:t>
            </w:r>
          </w:p>
        </w:tc>
        <w:tc>
          <w:tcPr>
            <w:tcW w:w="860" w:type="dxa"/>
            <w:tcBorders>
              <w:top w:val="nil"/>
              <w:left w:val="nil"/>
              <w:bottom w:val="single" w:sz="4" w:space="0" w:color="auto"/>
              <w:right w:val="single" w:sz="4" w:space="0" w:color="auto"/>
            </w:tcBorders>
            <w:shd w:val="clear" w:color="auto" w:fill="auto"/>
            <w:noWrap/>
            <w:vAlign w:val="bottom"/>
            <w:hideMark/>
          </w:tcPr>
          <w:p w14:paraId="7489037A"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94</w:t>
            </w:r>
          </w:p>
        </w:tc>
        <w:tc>
          <w:tcPr>
            <w:tcW w:w="808" w:type="dxa"/>
            <w:tcBorders>
              <w:top w:val="nil"/>
              <w:left w:val="nil"/>
              <w:bottom w:val="single" w:sz="4" w:space="0" w:color="auto"/>
              <w:right w:val="single" w:sz="4" w:space="0" w:color="auto"/>
            </w:tcBorders>
            <w:shd w:val="clear" w:color="auto" w:fill="auto"/>
            <w:noWrap/>
            <w:vAlign w:val="bottom"/>
            <w:hideMark/>
          </w:tcPr>
          <w:p w14:paraId="47576824" w14:textId="77777777" w:rsidR="0062742B" w:rsidRPr="00CE1D2F" w:rsidRDefault="0062742B" w:rsidP="0062742B">
            <w:pPr>
              <w:spacing w:after="0" w:line="240" w:lineRule="auto"/>
              <w:jc w:val="center"/>
              <w:rPr>
                <w:rFonts w:ascii="Arial" w:eastAsia="Times New Roman" w:hAnsi="Arial" w:cs="Arial"/>
                <w:color w:val="000000"/>
                <w:kern w:val="0"/>
                <w:sz w:val="14"/>
                <w:szCs w:val="14"/>
                <w14:ligatures w14:val="none"/>
              </w:rPr>
            </w:pPr>
            <w:r w:rsidRPr="00CE1D2F">
              <w:rPr>
                <w:rFonts w:ascii="Arial" w:eastAsia="Times New Roman" w:hAnsi="Arial" w:cs="Arial"/>
                <w:color w:val="000000"/>
                <w:kern w:val="0"/>
                <w:sz w:val="14"/>
                <w:szCs w:val="14"/>
                <w14:ligatures w14:val="none"/>
              </w:rPr>
              <w:t>99</w:t>
            </w:r>
          </w:p>
        </w:tc>
        <w:tc>
          <w:tcPr>
            <w:tcW w:w="847" w:type="dxa"/>
            <w:tcBorders>
              <w:top w:val="nil"/>
              <w:left w:val="nil"/>
              <w:bottom w:val="single" w:sz="4" w:space="0" w:color="auto"/>
              <w:right w:val="single" w:sz="4" w:space="0" w:color="auto"/>
            </w:tcBorders>
            <w:shd w:val="clear" w:color="auto" w:fill="auto"/>
            <w:noWrap/>
            <w:vAlign w:val="bottom"/>
            <w:hideMark/>
          </w:tcPr>
          <w:p w14:paraId="7F42FAA0"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94</w:t>
            </w:r>
          </w:p>
        </w:tc>
        <w:tc>
          <w:tcPr>
            <w:tcW w:w="730" w:type="dxa"/>
            <w:tcBorders>
              <w:top w:val="nil"/>
              <w:left w:val="nil"/>
              <w:bottom w:val="single" w:sz="4" w:space="0" w:color="auto"/>
              <w:right w:val="single" w:sz="4" w:space="0" w:color="auto"/>
            </w:tcBorders>
            <w:shd w:val="clear" w:color="auto" w:fill="auto"/>
            <w:noWrap/>
            <w:vAlign w:val="bottom"/>
            <w:hideMark/>
          </w:tcPr>
          <w:p w14:paraId="4795CC41"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ng/nf</w:t>
            </w:r>
          </w:p>
        </w:tc>
        <w:tc>
          <w:tcPr>
            <w:tcW w:w="627" w:type="dxa"/>
            <w:tcBorders>
              <w:top w:val="nil"/>
              <w:left w:val="nil"/>
              <w:bottom w:val="single" w:sz="4" w:space="0" w:color="auto"/>
              <w:right w:val="single" w:sz="4" w:space="0" w:color="auto"/>
            </w:tcBorders>
            <w:shd w:val="clear" w:color="auto" w:fill="auto"/>
            <w:noWrap/>
            <w:vAlign w:val="bottom"/>
            <w:hideMark/>
          </w:tcPr>
          <w:p w14:paraId="58C9A477"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JD</w:t>
            </w:r>
          </w:p>
        </w:tc>
        <w:tc>
          <w:tcPr>
            <w:tcW w:w="870" w:type="dxa"/>
            <w:tcBorders>
              <w:top w:val="nil"/>
              <w:left w:val="nil"/>
              <w:bottom w:val="single" w:sz="4" w:space="0" w:color="auto"/>
              <w:right w:val="single" w:sz="4" w:space="0" w:color="auto"/>
            </w:tcBorders>
            <w:shd w:val="clear" w:color="auto" w:fill="auto"/>
            <w:noWrap/>
            <w:vAlign w:val="bottom"/>
            <w:hideMark/>
          </w:tcPr>
          <w:p w14:paraId="4AB754AD"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615" w:type="dxa"/>
            <w:tcBorders>
              <w:top w:val="nil"/>
              <w:left w:val="nil"/>
              <w:bottom w:val="single" w:sz="4" w:space="0" w:color="auto"/>
              <w:right w:val="single" w:sz="4" w:space="0" w:color="auto"/>
            </w:tcBorders>
            <w:shd w:val="clear" w:color="auto" w:fill="auto"/>
            <w:noWrap/>
            <w:vAlign w:val="bottom"/>
            <w:hideMark/>
          </w:tcPr>
          <w:p w14:paraId="76385CD1"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45" w:type="dxa"/>
            <w:tcBorders>
              <w:top w:val="nil"/>
              <w:left w:val="nil"/>
              <w:bottom w:val="single" w:sz="4" w:space="0" w:color="auto"/>
              <w:right w:val="single" w:sz="4" w:space="0" w:color="auto"/>
            </w:tcBorders>
            <w:shd w:val="clear" w:color="auto" w:fill="auto"/>
            <w:noWrap/>
            <w:vAlign w:val="bottom"/>
            <w:hideMark/>
          </w:tcPr>
          <w:p w14:paraId="6B4DB44F"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65" w:type="dxa"/>
            <w:tcBorders>
              <w:top w:val="nil"/>
              <w:left w:val="nil"/>
              <w:bottom w:val="single" w:sz="4" w:space="0" w:color="auto"/>
              <w:right w:val="single" w:sz="8" w:space="0" w:color="auto"/>
            </w:tcBorders>
            <w:shd w:val="clear" w:color="auto" w:fill="auto"/>
            <w:noWrap/>
            <w:vAlign w:val="bottom"/>
            <w:hideMark/>
          </w:tcPr>
          <w:p w14:paraId="1F0B3A9B"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21</w:t>
            </w:r>
          </w:p>
        </w:tc>
        <w:tc>
          <w:tcPr>
            <w:tcW w:w="270" w:type="dxa"/>
            <w:gridSpan w:val="2"/>
            <w:tcBorders>
              <w:top w:val="nil"/>
              <w:left w:val="nil"/>
              <w:bottom w:val="nil"/>
              <w:right w:val="single" w:sz="8" w:space="0" w:color="auto"/>
            </w:tcBorders>
            <w:shd w:val="clear" w:color="auto" w:fill="auto"/>
            <w:noWrap/>
            <w:vAlign w:val="bottom"/>
            <w:hideMark/>
          </w:tcPr>
          <w:p w14:paraId="0CD4022F" w14:textId="77777777" w:rsidR="0062742B" w:rsidRPr="00CE1D2F" w:rsidRDefault="0062742B" w:rsidP="0062742B">
            <w:pPr>
              <w:spacing w:after="0" w:line="240" w:lineRule="auto"/>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r>
      <w:tr w:rsidR="00CE1D2F" w:rsidRPr="00CE1D2F" w14:paraId="6AE4DAE7" w14:textId="77777777" w:rsidTr="00CE1D2F">
        <w:trPr>
          <w:trHeight w:val="258"/>
        </w:trPr>
        <w:tc>
          <w:tcPr>
            <w:tcW w:w="535" w:type="dxa"/>
            <w:tcBorders>
              <w:top w:val="nil"/>
              <w:left w:val="single" w:sz="8" w:space="0" w:color="auto"/>
              <w:bottom w:val="single" w:sz="4" w:space="0" w:color="auto"/>
              <w:right w:val="single" w:sz="4" w:space="0" w:color="auto"/>
            </w:tcBorders>
            <w:shd w:val="clear" w:color="auto" w:fill="auto"/>
            <w:noWrap/>
            <w:vAlign w:val="bottom"/>
            <w:hideMark/>
          </w:tcPr>
          <w:p w14:paraId="78E40330"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Allo</w:t>
            </w:r>
          </w:p>
        </w:tc>
        <w:tc>
          <w:tcPr>
            <w:tcW w:w="917" w:type="dxa"/>
            <w:tcBorders>
              <w:top w:val="nil"/>
              <w:left w:val="nil"/>
              <w:bottom w:val="single" w:sz="4" w:space="0" w:color="auto"/>
              <w:right w:val="single" w:sz="4" w:space="0" w:color="auto"/>
            </w:tcBorders>
            <w:shd w:val="clear" w:color="auto" w:fill="auto"/>
            <w:noWrap/>
            <w:vAlign w:val="bottom"/>
            <w:hideMark/>
          </w:tcPr>
          <w:p w14:paraId="5E5B4903"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08.21.2019</w:t>
            </w:r>
          </w:p>
        </w:tc>
        <w:tc>
          <w:tcPr>
            <w:tcW w:w="738" w:type="dxa"/>
            <w:tcBorders>
              <w:top w:val="nil"/>
              <w:left w:val="nil"/>
              <w:bottom w:val="single" w:sz="4" w:space="0" w:color="auto"/>
              <w:right w:val="single" w:sz="4" w:space="0" w:color="auto"/>
            </w:tcBorders>
            <w:shd w:val="clear" w:color="auto" w:fill="auto"/>
            <w:noWrap/>
            <w:vAlign w:val="bottom"/>
            <w:hideMark/>
          </w:tcPr>
          <w:p w14:paraId="6F0CEC9A"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7</w:t>
            </w:r>
          </w:p>
        </w:tc>
        <w:tc>
          <w:tcPr>
            <w:tcW w:w="753" w:type="dxa"/>
            <w:tcBorders>
              <w:top w:val="nil"/>
              <w:left w:val="nil"/>
              <w:bottom w:val="single" w:sz="4" w:space="0" w:color="auto"/>
              <w:right w:val="single" w:sz="4" w:space="0" w:color="auto"/>
            </w:tcBorders>
            <w:shd w:val="clear" w:color="auto" w:fill="auto"/>
            <w:noWrap/>
            <w:vAlign w:val="bottom"/>
            <w:hideMark/>
          </w:tcPr>
          <w:p w14:paraId="5DDDBB17" w14:textId="77777777" w:rsidR="0062742B" w:rsidRPr="00CE1D2F" w:rsidRDefault="0062742B" w:rsidP="0062742B">
            <w:pPr>
              <w:spacing w:after="0" w:line="240" w:lineRule="auto"/>
              <w:jc w:val="center"/>
              <w:rPr>
                <w:rFonts w:ascii="Arial" w:eastAsia="Times New Roman" w:hAnsi="Arial" w:cs="Arial"/>
                <w:color w:val="000000"/>
                <w:kern w:val="0"/>
                <w:sz w:val="14"/>
                <w:szCs w:val="14"/>
                <w14:ligatures w14:val="none"/>
              </w:rPr>
            </w:pPr>
            <w:r w:rsidRPr="00CE1D2F">
              <w:rPr>
                <w:rFonts w:ascii="Arial" w:eastAsia="Times New Roman" w:hAnsi="Arial" w:cs="Arial"/>
                <w:color w:val="000000"/>
                <w:kern w:val="0"/>
                <w:sz w:val="14"/>
                <w:szCs w:val="14"/>
                <w14:ligatures w14:val="none"/>
              </w:rPr>
              <w:t>77</w:t>
            </w:r>
          </w:p>
        </w:tc>
        <w:tc>
          <w:tcPr>
            <w:tcW w:w="860" w:type="dxa"/>
            <w:tcBorders>
              <w:top w:val="nil"/>
              <w:left w:val="nil"/>
              <w:bottom w:val="single" w:sz="4" w:space="0" w:color="auto"/>
              <w:right w:val="single" w:sz="4" w:space="0" w:color="auto"/>
            </w:tcBorders>
            <w:shd w:val="clear" w:color="auto" w:fill="auto"/>
            <w:noWrap/>
            <w:vAlign w:val="bottom"/>
            <w:hideMark/>
          </w:tcPr>
          <w:p w14:paraId="1E5F57F8"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100</w:t>
            </w:r>
          </w:p>
        </w:tc>
        <w:tc>
          <w:tcPr>
            <w:tcW w:w="808" w:type="dxa"/>
            <w:tcBorders>
              <w:top w:val="nil"/>
              <w:left w:val="nil"/>
              <w:bottom w:val="single" w:sz="4" w:space="0" w:color="auto"/>
              <w:right w:val="single" w:sz="4" w:space="0" w:color="auto"/>
            </w:tcBorders>
            <w:shd w:val="clear" w:color="auto" w:fill="auto"/>
            <w:noWrap/>
            <w:vAlign w:val="bottom"/>
            <w:hideMark/>
          </w:tcPr>
          <w:p w14:paraId="4ABE8D2D" w14:textId="77777777" w:rsidR="0062742B" w:rsidRPr="00CE1D2F" w:rsidRDefault="0062742B" w:rsidP="0062742B">
            <w:pPr>
              <w:spacing w:after="0" w:line="240" w:lineRule="auto"/>
              <w:jc w:val="center"/>
              <w:rPr>
                <w:rFonts w:ascii="Arial" w:eastAsia="Times New Roman" w:hAnsi="Arial" w:cs="Arial"/>
                <w:color w:val="000000"/>
                <w:kern w:val="0"/>
                <w:sz w:val="14"/>
                <w:szCs w:val="14"/>
                <w14:ligatures w14:val="none"/>
              </w:rPr>
            </w:pPr>
            <w:r w:rsidRPr="00CE1D2F">
              <w:rPr>
                <w:rFonts w:ascii="Arial" w:eastAsia="Times New Roman" w:hAnsi="Arial" w:cs="Arial"/>
                <w:color w:val="000000"/>
                <w:kern w:val="0"/>
                <w:sz w:val="14"/>
                <w:szCs w:val="14"/>
                <w14:ligatures w14:val="none"/>
              </w:rPr>
              <w:t>19</w:t>
            </w:r>
          </w:p>
        </w:tc>
        <w:tc>
          <w:tcPr>
            <w:tcW w:w="847" w:type="dxa"/>
            <w:tcBorders>
              <w:top w:val="nil"/>
              <w:left w:val="nil"/>
              <w:bottom w:val="single" w:sz="4" w:space="0" w:color="auto"/>
              <w:right w:val="single" w:sz="4" w:space="0" w:color="auto"/>
            </w:tcBorders>
            <w:shd w:val="clear" w:color="auto" w:fill="auto"/>
            <w:noWrap/>
            <w:vAlign w:val="bottom"/>
            <w:hideMark/>
          </w:tcPr>
          <w:p w14:paraId="0B3AC726"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92</w:t>
            </w:r>
          </w:p>
        </w:tc>
        <w:tc>
          <w:tcPr>
            <w:tcW w:w="730" w:type="dxa"/>
            <w:tcBorders>
              <w:top w:val="nil"/>
              <w:left w:val="nil"/>
              <w:bottom w:val="single" w:sz="4" w:space="0" w:color="auto"/>
              <w:right w:val="single" w:sz="4" w:space="0" w:color="auto"/>
            </w:tcBorders>
            <w:shd w:val="clear" w:color="auto" w:fill="auto"/>
            <w:noWrap/>
            <w:vAlign w:val="bottom"/>
            <w:hideMark/>
          </w:tcPr>
          <w:p w14:paraId="68F6C170"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ng/nf</w:t>
            </w:r>
          </w:p>
        </w:tc>
        <w:tc>
          <w:tcPr>
            <w:tcW w:w="627" w:type="dxa"/>
            <w:tcBorders>
              <w:top w:val="nil"/>
              <w:left w:val="nil"/>
              <w:bottom w:val="single" w:sz="4" w:space="0" w:color="auto"/>
              <w:right w:val="single" w:sz="4" w:space="0" w:color="auto"/>
            </w:tcBorders>
            <w:shd w:val="clear" w:color="auto" w:fill="auto"/>
            <w:noWrap/>
            <w:vAlign w:val="bottom"/>
            <w:hideMark/>
          </w:tcPr>
          <w:p w14:paraId="5D67CE36"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JD</w:t>
            </w:r>
          </w:p>
        </w:tc>
        <w:tc>
          <w:tcPr>
            <w:tcW w:w="870" w:type="dxa"/>
            <w:tcBorders>
              <w:top w:val="nil"/>
              <w:left w:val="nil"/>
              <w:bottom w:val="single" w:sz="4" w:space="0" w:color="auto"/>
              <w:right w:val="single" w:sz="4" w:space="0" w:color="auto"/>
            </w:tcBorders>
            <w:shd w:val="clear" w:color="auto" w:fill="auto"/>
            <w:noWrap/>
            <w:vAlign w:val="bottom"/>
            <w:hideMark/>
          </w:tcPr>
          <w:p w14:paraId="725ED65D"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615" w:type="dxa"/>
            <w:tcBorders>
              <w:top w:val="nil"/>
              <w:left w:val="nil"/>
              <w:bottom w:val="single" w:sz="4" w:space="0" w:color="auto"/>
              <w:right w:val="single" w:sz="4" w:space="0" w:color="auto"/>
            </w:tcBorders>
            <w:shd w:val="clear" w:color="auto" w:fill="auto"/>
            <w:noWrap/>
            <w:vAlign w:val="bottom"/>
            <w:hideMark/>
          </w:tcPr>
          <w:p w14:paraId="3B52AB71"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45" w:type="dxa"/>
            <w:tcBorders>
              <w:top w:val="nil"/>
              <w:left w:val="nil"/>
              <w:bottom w:val="single" w:sz="4" w:space="0" w:color="auto"/>
              <w:right w:val="single" w:sz="4" w:space="0" w:color="auto"/>
            </w:tcBorders>
            <w:shd w:val="clear" w:color="auto" w:fill="auto"/>
            <w:noWrap/>
            <w:vAlign w:val="bottom"/>
            <w:hideMark/>
          </w:tcPr>
          <w:p w14:paraId="6D87D90D"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65" w:type="dxa"/>
            <w:tcBorders>
              <w:top w:val="nil"/>
              <w:left w:val="nil"/>
              <w:bottom w:val="single" w:sz="4" w:space="0" w:color="auto"/>
              <w:right w:val="single" w:sz="8" w:space="0" w:color="auto"/>
            </w:tcBorders>
            <w:shd w:val="clear" w:color="auto" w:fill="auto"/>
            <w:noWrap/>
            <w:vAlign w:val="bottom"/>
            <w:hideMark/>
          </w:tcPr>
          <w:p w14:paraId="0F9EC11C"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16</w:t>
            </w:r>
          </w:p>
        </w:tc>
        <w:tc>
          <w:tcPr>
            <w:tcW w:w="270" w:type="dxa"/>
            <w:gridSpan w:val="2"/>
            <w:tcBorders>
              <w:top w:val="nil"/>
              <w:left w:val="nil"/>
              <w:bottom w:val="nil"/>
              <w:right w:val="single" w:sz="8" w:space="0" w:color="auto"/>
            </w:tcBorders>
            <w:shd w:val="clear" w:color="auto" w:fill="auto"/>
            <w:noWrap/>
            <w:vAlign w:val="bottom"/>
            <w:hideMark/>
          </w:tcPr>
          <w:p w14:paraId="58630C89" w14:textId="77777777" w:rsidR="0062742B" w:rsidRPr="00CE1D2F" w:rsidRDefault="0062742B" w:rsidP="0062742B">
            <w:pPr>
              <w:spacing w:after="0" w:line="240" w:lineRule="auto"/>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r>
      <w:tr w:rsidR="00CE1D2F" w:rsidRPr="00CE1D2F" w14:paraId="7DD83F6B" w14:textId="77777777" w:rsidTr="00CE1D2F">
        <w:trPr>
          <w:trHeight w:val="258"/>
        </w:trPr>
        <w:tc>
          <w:tcPr>
            <w:tcW w:w="535" w:type="dxa"/>
            <w:tcBorders>
              <w:top w:val="nil"/>
              <w:left w:val="single" w:sz="8" w:space="0" w:color="auto"/>
              <w:bottom w:val="single" w:sz="4" w:space="0" w:color="auto"/>
              <w:right w:val="single" w:sz="4" w:space="0" w:color="auto"/>
            </w:tcBorders>
            <w:shd w:val="clear" w:color="auto" w:fill="auto"/>
            <w:noWrap/>
            <w:vAlign w:val="bottom"/>
            <w:hideMark/>
          </w:tcPr>
          <w:p w14:paraId="68AEC8C6"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c>
          <w:tcPr>
            <w:tcW w:w="917" w:type="dxa"/>
            <w:tcBorders>
              <w:top w:val="nil"/>
              <w:left w:val="nil"/>
              <w:bottom w:val="single" w:sz="4" w:space="0" w:color="auto"/>
              <w:right w:val="single" w:sz="4" w:space="0" w:color="auto"/>
            </w:tcBorders>
            <w:shd w:val="clear" w:color="auto" w:fill="auto"/>
            <w:noWrap/>
            <w:vAlign w:val="bottom"/>
            <w:hideMark/>
          </w:tcPr>
          <w:p w14:paraId="145953AF"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c>
          <w:tcPr>
            <w:tcW w:w="738" w:type="dxa"/>
            <w:tcBorders>
              <w:top w:val="nil"/>
              <w:left w:val="nil"/>
              <w:bottom w:val="single" w:sz="4" w:space="0" w:color="auto"/>
              <w:right w:val="single" w:sz="4" w:space="0" w:color="auto"/>
            </w:tcBorders>
            <w:shd w:val="clear" w:color="auto" w:fill="auto"/>
            <w:noWrap/>
            <w:vAlign w:val="bottom"/>
            <w:hideMark/>
          </w:tcPr>
          <w:p w14:paraId="41EC2ECD"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c>
          <w:tcPr>
            <w:tcW w:w="753" w:type="dxa"/>
            <w:tcBorders>
              <w:top w:val="nil"/>
              <w:left w:val="nil"/>
              <w:bottom w:val="single" w:sz="4" w:space="0" w:color="auto"/>
              <w:right w:val="single" w:sz="4" w:space="0" w:color="auto"/>
            </w:tcBorders>
            <w:shd w:val="clear" w:color="auto" w:fill="auto"/>
            <w:noWrap/>
            <w:vAlign w:val="bottom"/>
            <w:hideMark/>
          </w:tcPr>
          <w:p w14:paraId="1CCC3A3A"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c>
          <w:tcPr>
            <w:tcW w:w="860" w:type="dxa"/>
            <w:tcBorders>
              <w:top w:val="nil"/>
              <w:left w:val="nil"/>
              <w:bottom w:val="single" w:sz="4" w:space="0" w:color="auto"/>
              <w:right w:val="single" w:sz="4" w:space="0" w:color="auto"/>
            </w:tcBorders>
            <w:shd w:val="clear" w:color="auto" w:fill="auto"/>
            <w:noWrap/>
            <w:vAlign w:val="bottom"/>
            <w:hideMark/>
          </w:tcPr>
          <w:p w14:paraId="61E28F0C"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c>
          <w:tcPr>
            <w:tcW w:w="808" w:type="dxa"/>
            <w:tcBorders>
              <w:top w:val="nil"/>
              <w:left w:val="nil"/>
              <w:bottom w:val="single" w:sz="4" w:space="0" w:color="auto"/>
              <w:right w:val="single" w:sz="4" w:space="0" w:color="auto"/>
            </w:tcBorders>
            <w:shd w:val="clear" w:color="auto" w:fill="auto"/>
            <w:noWrap/>
            <w:vAlign w:val="bottom"/>
            <w:hideMark/>
          </w:tcPr>
          <w:p w14:paraId="4B96A03E"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c>
          <w:tcPr>
            <w:tcW w:w="847" w:type="dxa"/>
            <w:tcBorders>
              <w:top w:val="nil"/>
              <w:left w:val="nil"/>
              <w:bottom w:val="single" w:sz="4" w:space="0" w:color="auto"/>
              <w:right w:val="single" w:sz="4" w:space="0" w:color="auto"/>
            </w:tcBorders>
            <w:shd w:val="clear" w:color="auto" w:fill="auto"/>
            <w:noWrap/>
            <w:vAlign w:val="bottom"/>
            <w:hideMark/>
          </w:tcPr>
          <w:p w14:paraId="6C8E3F0A"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c>
          <w:tcPr>
            <w:tcW w:w="730" w:type="dxa"/>
            <w:tcBorders>
              <w:top w:val="nil"/>
              <w:left w:val="nil"/>
              <w:bottom w:val="single" w:sz="4" w:space="0" w:color="auto"/>
              <w:right w:val="single" w:sz="4" w:space="0" w:color="auto"/>
            </w:tcBorders>
            <w:shd w:val="clear" w:color="auto" w:fill="auto"/>
            <w:noWrap/>
            <w:vAlign w:val="bottom"/>
            <w:hideMark/>
          </w:tcPr>
          <w:p w14:paraId="28155EA4"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c>
          <w:tcPr>
            <w:tcW w:w="627" w:type="dxa"/>
            <w:tcBorders>
              <w:top w:val="nil"/>
              <w:left w:val="nil"/>
              <w:bottom w:val="single" w:sz="4" w:space="0" w:color="auto"/>
              <w:right w:val="single" w:sz="4" w:space="0" w:color="auto"/>
            </w:tcBorders>
            <w:shd w:val="clear" w:color="auto" w:fill="auto"/>
            <w:noWrap/>
            <w:vAlign w:val="bottom"/>
            <w:hideMark/>
          </w:tcPr>
          <w:p w14:paraId="56DC84BB"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c>
          <w:tcPr>
            <w:tcW w:w="870" w:type="dxa"/>
            <w:tcBorders>
              <w:top w:val="nil"/>
              <w:left w:val="nil"/>
              <w:bottom w:val="single" w:sz="4" w:space="0" w:color="auto"/>
              <w:right w:val="single" w:sz="4" w:space="0" w:color="auto"/>
            </w:tcBorders>
            <w:shd w:val="clear" w:color="auto" w:fill="auto"/>
            <w:noWrap/>
            <w:vAlign w:val="bottom"/>
            <w:hideMark/>
          </w:tcPr>
          <w:p w14:paraId="64DCDAE4"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c>
          <w:tcPr>
            <w:tcW w:w="615" w:type="dxa"/>
            <w:tcBorders>
              <w:top w:val="nil"/>
              <w:left w:val="nil"/>
              <w:bottom w:val="single" w:sz="4" w:space="0" w:color="auto"/>
              <w:right w:val="single" w:sz="4" w:space="0" w:color="auto"/>
            </w:tcBorders>
            <w:shd w:val="clear" w:color="auto" w:fill="auto"/>
            <w:noWrap/>
            <w:vAlign w:val="bottom"/>
            <w:hideMark/>
          </w:tcPr>
          <w:p w14:paraId="07C63852"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c>
          <w:tcPr>
            <w:tcW w:w="745" w:type="dxa"/>
            <w:tcBorders>
              <w:top w:val="nil"/>
              <w:left w:val="nil"/>
              <w:bottom w:val="single" w:sz="4" w:space="0" w:color="auto"/>
              <w:right w:val="single" w:sz="4" w:space="0" w:color="auto"/>
            </w:tcBorders>
            <w:shd w:val="clear" w:color="auto" w:fill="auto"/>
            <w:noWrap/>
            <w:vAlign w:val="bottom"/>
            <w:hideMark/>
          </w:tcPr>
          <w:p w14:paraId="5A6B4CF2"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c>
          <w:tcPr>
            <w:tcW w:w="765" w:type="dxa"/>
            <w:tcBorders>
              <w:top w:val="nil"/>
              <w:left w:val="nil"/>
              <w:bottom w:val="single" w:sz="4" w:space="0" w:color="auto"/>
              <w:right w:val="single" w:sz="8" w:space="0" w:color="auto"/>
            </w:tcBorders>
            <w:shd w:val="clear" w:color="auto" w:fill="auto"/>
            <w:noWrap/>
            <w:vAlign w:val="bottom"/>
            <w:hideMark/>
          </w:tcPr>
          <w:p w14:paraId="6173D1BA"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c>
          <w:tcPr>
            <w:tcW w:w="270" w:type="dxa"/>
            <w:gridSpan w:val="2"/>
            <w:tcBorders>
              <w:top w:val="nil"/>
              <w:left w:val="nil"/>
              <w:bottom w:val="nil"/>
              <w:right w:val="single" w:sz="8" w:space="0" w:color="auto"/>
            </w:tcBorders>
            <w:shd w:val="clear" w:color="auto" w:fill="auto"/>
            <w:noWrap/>
            <w:vAlign w:val="bottom"/>
            <w:hideMark/>
          </w:tcPr>
          <w:p w14:paraId="3341C967" w14:textId="77777777" w:rsidR="0062742B" w:rsidRPr="00CE1D2F" w:rsidRDefault="0062742B" w:rsidP="0062742B">
            <w:pPr>
              <w:spacing w:after="0" w:line="240" w:lineRule="auto"/>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r>
      <w:tr w:rsidR="00CE1D2F" w:rsidRPr="00CE1D2F" w14:paraId="4BDF964B" w14:textId="77777777" w:rsidTr="00CE1D2F">
        <w:trPr>
          <w:trHeight w:val="258"/>
        </w:trPr>
        <w:tc>
          <w:tcPr>
            <w:tcW w:w="535" w:type="dxa"/>
            <w:tcBorders>
              <w:top w:val="nil"/>
              <w:left w:val="single" w:sz="8" w:space="0" w:color="auto"/>
              <w:bottom w:val="single" w:sz="4" w:space="0" w:color="auto"/>
              <w:right w:val="single" w:sz="4" w:space="0" w:color="auto"/>
            </w:tcBorders>
            <w:shd w:val="clear" w:color="auto" w:fill="auto"/>
            <w:noWrap/>
            <w:vAlign w:val="bottom"/>
            <w:hideMark/>
          </w:tcPr>
          <w:p w14:paraId="6C05E541"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Allo</w:t>
            </w:r>
          </w:p>
        </w:tc>
        <w:tc>
          <w:tcPr>
            <w:tcW w:w="917" w:type="dxa"/>
            <w:tcBorders>
              <w:top w:val="nil"/>
              <w:left w:val="nil"/>
              <w:bottom w:val="single" w:sz="4" w:space="0" w:color="auto"/>
              <w:right w:val="single" w:sz="4" w:space="0" w:color="auto"/>
            </w:tcBorders>
            <w:shd w:val="clear" w:color="auto" w:fill="auto"/>
            <w:noWrap/>
            <w:vAlign w:val="bottom"/>
            <w:hideMark/>
          </w:tcPr>
          <w:p w14:paraId="3938D258"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01.07.2020</w:t>
            </w:r>
          </w:p>
        </w:tc>
        <w:tc>
          <w:tcPr>
            <w:tcW w:w="738" w:type="dxa"/>
            <w:tcBorders>
              <w:top w:val="nil"/>
              <w:left w:val="nil"/>
              <w:bottom w:val="single" w:sz="4" w:space="0" w:color="auto"/>
              <w:right w:val="single" w:sz="4" w:space="0" w:color="auto"/>
            </w:tcBorders>
            <w:shd w:val="clear" w:color="auto" w:fill="auto"/>
            <w:noWrap/>
            <w:vAlign w:val="bottom"/>
            <w:hideMark/>
          </w:tcPr>
          <w:p w14:paraId="53EA4AD1"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9</w:t>
            </w:r>
          </w:p>
        </w:tc>
        <w:tc>
          <w:tcPr>
            <w:tcW w:w="753" w:type="dxa"/>
            <w:tcBorders>
              <w:top w:val="nil"/>
              <w:left w:val="nil"/>
              <w:bottom w:val="single" w:sz="4" w:space="0" w:color="auto"/>
              <w:right w:val="single" w:sz="4" w:space="0" w:color="auto"/>
            </w:tcBorders>
            <w:shd w:val="clear" w:color="auto" w:fill="auto"/>
            <w:noWrap/>
            <w:vAlign w:val="bottom"/>
            <w:hideMark/>
          </w:tcPr>
          <w:p w14:paraId="5E450D63" w14:textId="77777777" w:rsidR="0062742B" w:rsidRPr="00CE1D2F" w:rsidRDefault="0062742B" w:rsidP="0062742B">
            <w:pPr>
              <w:spacing w:after="0" w:line="240" w:lineRule="auto"/>
              <w:jc w:val="center"/>
              <w:rPr>
                <w:rFonts w:ascii="Arial" w:eastAsia="Times New Roman" w:hAnsi="Arial" w:cs="Arial"/>
                <w:color w:val="000000"/>
                <w:kern w:val="0"/>
                <w:sz w:val="14"/>
                <w:szCs w:val="14"/>
                <w14:ligatures w14:val="none"/>
              </w:rPr>
            </w:pPr>
            <w:r w:rsidRPr="00CE1D2F">
              <w:rPr>
                <w:rFonts w:ascii="Arial" w:eastAsia="Times New Roman" w:hAnsi="Arial" w:cs="Arial"/>
                <w:color w:val="000000"/>
                <w:kern w:val="0"/>
                <w:sz w:val="14"/>
                <w:szCs w:val="14"/>
                <w14:ligatures w14:val="none"/>
              </w:rPr>
              <w:t>77</w:t>
            </w:r>
          </w:p>
        </w:tc>
        <w:tc>
          <w:tcPr>
            <w:tcW w:w="860" w:type="dxa"/>
            <w:tcBorders>
              <w:top w:val="nil"/>
              <w:left w:val="nil"/>
              <w:bottom w:val="single" w:sz="4" w:space="0" w:color="auto"/>
              <w:right w:val="single" w:sz="4" w:space="0" w:color="auto"/>
            </w:tcBorders>
            <w:shd w:val="clear" w:color="auto" w:fill="auto"/>
            <w:noWrap/>
            <w:vAlign w:val="bottom"/>
            <w:hideMark/>
          </w:tcPr>
          <w:p w14:paraId="1A1F8A86"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100</w:t>
            </w:r>
          </w:p>
        </w:tc>
        <w:tc>
          <w:tcPr>
            <w:tcW w:w="808" w:type="dxa"/>
            <w:tcBorders>
              <w:top w:val="nil"/>
              <w:left w:val="nil"/>
              <w:bottom w:val="single" w:sz="4" w:space="0" w:color="auto"/>
              <w:right w:val="single" w:sz="4" w:space="0" w:color="auto"/>
            </w:tcBorders>
            <w:shd w:val="clear" w:color="auto" w:fill="auto"/>
            <w:noWrap/>
            <w:vAlign w:val="bottom"/>
            <w:hideMark/>
          </w:tcPr>
          <w:p w14:paraId="4711FE50" w14:textId="77777777" w:rsidR="0062742B" w:rsidRPr="00CE1D2F" w:rsidRDefault="0062742B" w:rsidP="0062742B">
            <w:pPr>
              <w:spacing w:after="0" w:line="240" w:lineRule="auto"/>
              <w:jc w:val="center"/>
              <w:rPr>
                <w:rFonts w:ascii="Arial" w:eastAsia="Times New Roman" w:hAnsi="Arial" w:cs="Arial"/>
                <w:color w:val="000000"/>
                <w:kern w:val="0"/>
                <w:sz w:val="14"/>
                <w:szCs w:val="14"/>
                <w14:ligatures w14:val="none"/>
              </w:rPr>
            </w:pPr>
            <w:r w:rsidRPr="00CE1D2F">
              <w:rPr>
                <w:rFonts w:ascii="Arial" w:eastAsia="Times New Roman" w:hAnsi="Arial" w:cs="Arial"/>
                <w:color w:val="000000"/>
                <w:kern w:val="0"/>
                <w:sz w:val="14"/>
                <w:szCs w:val="14"/>
                <w14:ligatures w14:val="none"/>
              </w:rPr>
              <w:t>29</w:t>
            </w:r>
          </w:p>
        </w:tc>
        <w:tc>
          <w:tcPr>
            <w:tcW w:w="847" w:type="dxa"/>
            <w:tcBorders>
              <w:top w:val="nil"/>
              <w:left w:val="nil"/>
              <w:bottom w:val="single" w:sz="4" w:space="0" w:color="auto"/>
              <w:right w:val="single" w:sz="4" w:space="0" w:color="auto"/>
            </w:tcBorders>
            <w:shd w:val="clear" w:color="auto" w:fill="auto"/>
            <w:noWrap/>
            <w:vAlign w:val="bottom"/>
            <w:hideMark/>
          </w:tcPr>
          <w:p w14:paraId="18560F6B"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73</w:t>
            </w:r>
          </w:p>
        </w:tc>
        <w:tc>
          <w:tcPr>
            <w:tcW w:w="730" w:type="dxa"/>
            <w:tcBorders>
              <w:top w:val="nil"/>
              <w:left w:val="nil"/>
              <w:bottom w:val="single" w:sz="4" w:space="0" w:color="auto"/>
              <w:right w:val="single" w:sz="4" w:space="0" w:color="auto"/>
            </w:tcBorders>
            <w:shd w:val="clear" w:color="auto" w:fill="auto"/>
            <w:noWrap/>
            <w:vAlign w:val="bottom"/>
            <w:hideMark/>
          </w:tcPr>
          <w:p w14:paraId="389A32DF"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ng/nf</w:t>
            </w:r>
          </w:p>
        </w:tc>
        <w:tc>
          <w:tcPr>
            <w:tcW w:w="627" w:type="dxa"/>
            <w:tcBorders>
              <w:top w:val="nil"/>
              <w:left w:val="nil"/>
              <w:bottom w:val="single" w:sz="4" w:space="0" w:color="auto"/>
              <w:right w:val="single" w:sz="4" w:space="0" w:color="auto"/>
            </w:tcBorders>
            <w:shd w:val="clear" w:color="auto" w:fill="auto"/>
            <w:noWrap/>
            <w:vAlign w:val="bottom"/>
            <w:hideMark/>
          </w:tcPr>
          <w:p w14:paraId="0E9E54EE"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JD</w:t>
            </w:r>
          </w:p>
        </w:tc>
        <w:tc>
          <w:tcPr>
            <w:tcW w:w="870" w:type="dxa"/>
            <w:tcBorders>
              <w:top w:val="nil"/>
              <w:left w:val="nil"/>
              <w:bottom w:val="single" w:sz="4" w:space="0" w:color="auto"/>
              <w:right w:val="single" w:sz="4" w:space="0" w:color="auto"/>
            </w:tcBorders>
            <w:shd w:val="clear" w:color="auto" w:fill="auto"/>
            <w:noWrap/>
            <w:vAlign w:val="bottom"/>
            <w:hideMark/>
          </w:tcPr>
          <w:p w14:paraId="6B2CDF9D"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615" w:type="dxa"/>
            <w:tcBorders>
              <w:top w:val="nil"/>
              <w:left w:val="nil"/>
              <w:bottom w:val="single" w:sz="4" w:space="0" w:color="auto"/>
              <w:right w:val="single" w:sz="4" w:space="0" w:color="auto"/>
            </w:tcBorders>
            <w:shd w:val="clear" w:color="auto" w:fill="auto"/>
            <w:noWrap/>
            <w:vAlign w:val="bottom"/>
            <w:hideMark/>
          </w:tcPr>
          <w:p w14:paraId="338B69DF"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45" w:type="dxa"/>
            <w:tcBorders>
              <w:top w:val="nil"/>
              <w:left w:val="nil"/>
              <w:bottom w:val="single" w:sz="4" w:space="0" w:color="auto"/>
              <w:right w:val="single" w:sz="4" w:space="0" w:color="auto"/>
            </w:tcBorders>
            <w:shd w:val="clear" w:color="auto" w:fill="auto"/>
            <w:noWrap/>
            <w:vAlign w:val="bottom"/>
            <w:hideMark/>
          </w:tcPr>
          <w:p w14:paraId="06694FC8"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65" w:type="dxa"/>
            <w:tcBorders>
              <w:top w:val="nil"/>
              <w:left w:val="nil"/>
              <w:bottom w:val="single" w:sz="4" w:space="0" w:color="auto"/>
              <w:right w:val="single" w:sz="8" w:space="0" w:color="auto"/>
            </w:tcBorders>
            <w:shd w:val="clear" w:color="auto" w:fill="auto"/>
            <w:noWrap/>
            <w:vAlign w:val="bottom"/>
            <w:hideMark/>
          </w:tcPr>
          <w:p w14:paraId="11264EE0"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Q</w:t>
            </w:r>
          </w:p>
        </w:tc>
        <w:tc>
          <w:tcPr>
            <w:tcW w:w="270" w:type="dxa"/>
            <w:gridSpan w:val="2"/>
            <w:tcBorders>
              <w:top w:val="nil"/>
              <w:left w:val="nil"/>
              <w:bottom w:val="nil"/>
              <w:right w:val="single" w:sz="8" w:space="0" w:color="auto"/>
            </w:tcBorders>
            <w:shd w:val="clear" w:color="auto" w:fill="auto"/>
            <w:noWrap/>
            <w:vAlign w:val="bottom"/>
            <w:hideMark/>
          </w:tcPr>
          <w:p w14:paraId="05ACA917" w14:textId="77777777" w:rsidR="0062742B" w:rsidRPr="00CE1D2F" w:rsidRDefault="0062742B" w:rsidP="0062742B">
            <w:pPr>
              <w:spacing w:after="0" w:line="240" w:lineRule="auto"/>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r>
      <w:tr w:rsidR="00CE1D2F" w:rsidRPr="00CE1D2F" w14:paraId="3BF3AD1C" w14:textId="77777777" w:rsidTr="00CE1D2F">
        <w:trPr>
          <w:trHeight w:val="258"/>
        </w:trPr>
        <w:tc>
          <w:tcPr>
            <w:tcW w:w="535" w:type="dxa"/>
            <w:tcBorders>
              <w:top w:val="nil"/>
              <w:left w:val="single" w:sz="8" w:space="0" w:color="auto"/>
              <w:bottom w:val="single" w:sz="4" w:space="0" w:color="auto"/>
              <w:right w:val="single" w:sz="4" w:space="0" w:color="auto"/>
            </w:tcBorders>
            <w:shd w:val="clear" w:color="auto" w:fill="auto"/>
            <w:noWrap/>
            <w:vAlign w:val="bottom"/>
            <w:hideMark/>
          </w:tcPr>
          <w:p w14:paraId="5B95AB43"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Auto</w:t>
            </w:r>
          </w:p>
        </w:tc>
        <w:tc>
          <w:tcPr>
            <w:tcW w:w="917" w:type="dxa"/>
            <w:tcBorders>
              <w:top w:val="nil"/>
              <w:left w:val="nil"/>
              <w:bottom w:val="single" w:sz="4" w:space="0" w:color="auto"/>
              <w:right w:val="single" w:sz="4" w:space="0" w:color="auto"/>
            </w:tcBorders>
            <w:shd w:val="clear" w:color="auto" w:fill="auto"/>
            <w:noWrap/>
            <w:vAlign w:val="bottom"/>
            <w:hideMark/>
          </w:tcPr>
          <w:p w14:paraId="17D81863"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01.08.2020</w:t>
            </w:r>
          </w:p>
        </w:tc>
        <w:tc>
          <w:tcPr>
            <w:tcW w:w="738" w:type="dxa"/>
            <w:tcBorders>
              <w:top w:val="nil"/>
              <w:left w:val="nil"/>
              <w:bottom w:val="single" w:sz="4" w:space="0" w:color="auto"/>
              <w:right w:val="single" w:sz="4" w:space="0" w:color="auto"/>
            </w:tcBorders>
            <w:shd w:val="clear" w:color="auto" w:fill="auto"/>
            <w:noWrap/>
            <w:vAlign w:val="bottom"/>
            <w:hideMark/>
          </w:tcPr>
          <w:p w14:paraId="582C48C8"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8</w:t>
            </w:r>
          </w:p>
        </w:tc>
        <w:tc>
          <w:tcPr>
            <w:tcW w:w="753" w:type="dxa"/>
            <w:tcBorders>
              <w:top w:val="nil"/>
              <w:left w:val="nil"/>
              <w:bottom w:val="single" w:sz="4" w:space="0" w:color="auto"/>
              <w:right w:val="single" w:sz="4" w:space="0" w:color="auto"/>
            </w:tcBorders>
            <w:shd w:val="clear" w:color="auto" w:fill="auto"/>
            <w:noWrap/>
            <w:vAlign w:val="bottom"/>
            <w:hideMark/>
          </w:tcPr>
          <w:p w14:paraId="35F1110D" w14:textId="77777777" w:rsidR="0062742B" w:rsidRPr="00CE1D2F" w:rsidRDefault="0062742B" w:rsidP="0062742B">
            <w:pPr>
              <w:spacing w:after="0" w:line="240" w:lineRule="auto"/>
              <w:jc w:val="center"/>
              <w:rPr>
                <w:rFonts w:ascii="Arial" w:eastAsia="Times New Roman" w:hAnsi="Arial" w:cs="Arial"/>
                <w:color w:val="000000"/>
                <w:kern w:val="0"/>
                <w:sz w:val="14"/>
                <w:szCs w:val="14"/>
                <w14:ligatures w14:val="none"/>
              </w:rPr>
            </w:pPr>
            <w:r w:rsidRPr="00CE1D2F">
              <w:rPr>
                <w:rFonts w:ascii="Arial" w:eastAsia="Times New Roman" w:hAnsi="Arial" w:cs="Arial"/>
                <w:color w:val="000000"/>
                <w:kern w:val="0"/>
                <w:sz w:val="14"/>
                <w:szCs w:val="14"/>
                <w14:ligatures w14:val="none"/>
              </w:rPr>
              <w:t>75</w:t>
            </w:r>
          </w:p>
        </w:tc>
        <w:tc>
          <w:tcPr>
            <w:tcW w:w="860" w:type="dxa"/>
            <w:tcBorders>
              <w:top w:val="nil"/>
              <w:left w:val="nil"/>
              <w:bottom w:val="single" w:sz="4" w:space="0" w:color="auto"/>
              <w:right w:val="single" w:sz="4" w:space="0" w:color="auto"/>
            </w:tcBorders>
            <w:shd w:val="clear" w:color="auto" w:fill="auto"/>
            <w:noWrap/>
            <w:vAlign w:val="bottom"/>
            <w:hideMark/>
          </w:tcPr>
          <w:p w14:paraId="7C27E4E1"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100</w:t>
            </w:r>
          </w:p>
        </w:tc>
        <w:tc>
          <w:tcPr>
            <w:tcW w:w="808" w:type="dxa"/>
            <w:tcBorders>
              <w:top w:val="nil"/>
              <w:left w:val="nil"/>
              <w:bottom w:val="single" w:sz="4" w:space="0" w:color="auto"/>
              <w:right w:val="single" w:sz="4" w:space="0" w:color="auto"/>
            </w:tcBorders>
            <w:shd w:val="clear" w:color="auto" w:fill="auto"/>
            <w:noWrap/>
            <w:vAlign w:val="bottom"/>
            <w:hideMark/>
          </w:tcPr>
          <w:p w14:paraId="21847EAE" w14:textId="77777777" w:rsidR="0062742B" w:rsidRPr="00CE1D2F" w:rsidRDefault="0062742B" w:rsidP="0062742B">
            <w:pPr>
              <w:spacing w:after="0" w:line="240" w:lineRule="auto"/>
              <w:jc w:val="center"/>
              <w:rPr>
                <w:rFonts w:ascii="Arial" w:eastAsia="Times New Roman" w:hAnsi="Arial" w:cs="Arial"/>
                <w:color w:val="000000"/>
                <w:kern w:val="0"/>
                <w:sz w:val="14"/>
                <w:szCs w:val="14"/>
                <w14:ligatures w14:val="none"/>
              </w:rPr>
            </w:pPr>
            <w:r w:rsidRPr="00CE1D2F">
              <w:rPr>
                <w:rFonts w:ascii="Arial" w:eastAsia="Times New Roman" w:hAnsi="Arial" w:cs="Arial"/>
                <w:color w:val="000000"/>
                <w:kern w:val="0"/>
                <w:sz w:val="14"/>
                <w:szCs w:val="14"/>
                <w14:ligatures w14:val="none"/>
              </w:rPr>
              <w:t>12</w:t>
            </w:r>
          </w:p>
        </w:tc>
        <w:tc>
          <w:tcPr>
            <w:tcW w:w="847" w:type="dxa"/>
            <w:tcBorders>
              <w:top w:val="nil"/>
              <w:left w:val="nil"/>
              <w:bottom w:val="single" w:sz="4" w:space="0" w:color="auto"/>
              <w:right w:val="single" w:sz="4" w:space="0" w:color="auto"/>
            </w:tcBorders>
            <w:shd w:val="clear" w:color="auto" w:fill="auto"/>
            <w:noWrap/>
            <w:vAlign w:val="bottom"/>
            <w:hideMark/>
          </w:tcPr>
          <w:p w14:paraId="72FCA543"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77</w:t>
            </w:r>
          </w:p>
        </w:tc>
        <w:tc>
          <w:tcPr>
            <w:tcW w:w="730" w:type="dxa"/>
            <w:tcBorders>
              <w:top w:val="nil"/>
              <w:left w:val="nil"/>
              <w:bottom w:val="single" w:sz="4" w:space="0" w:color="auto"/>
              <w:right w:val="single" w:sz="4" w:space="0" w:color="auto"/>
            </w:tcBorders>
            <w:shd w:val="clear" w:color="auto" w:fill="auto"/>
            <w:noWrap/>
            <w:vAlign w:val="bottom"/>
            <w:hideMark/>
          </w:tcPr>
          <w:p w14:paraId="615CE330"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ng/nf</w:t>
            </w:r>
          </w:p>
        </w:tc>
        <w:tc>
          <w:tcPr>
            <w:tcW w:w="627" w:type="dxa"/>
            <w:tcBorders>
              <w:top w:val="nil"/>
              <w:left w:val="nil"/>
              <w:bottom w:val="single" w:sz="4" w:space="0" w:color="auto"/>
              <w:right w:val="single" w:sz="4" w:space="0" w:color="auto"/>
            </w:tcBorders>
            <w:shd w:val="clear" w:color="auto" w:fill="auto"/>
            <w:noWrap/>
            <w:vAlign w:val="bottom"/>
            <w:hideMark/>
          </w:tcPr>
          <w:p w14:paraId="43849F59"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JD</w:t>
            </w:r>
          </w:p>
        </w:tc>
        <w:tc>
          <w:tcPr>
            <w:tcW w:w="870" w:type="dxa"/>
            <w:tcBorders>
              <w:top w:val="nil"/>
              <w:left w:val="nil"/>
              <w:bottom w:val="single" w:sz="4" w:space="0" w:color="auto"/>
              <w:right w:val="single" w:sz="4" w:space="0" w:color="auto"/>
            </w:tcBorders>
            <w:shd w:val="clear" w:color="auto" w:fill="auto"/>
            <w:noWrap/>
            <w:vAlign w:val="bottom"/>
            <w:hideMark/>
          </w:tcPr>
          <w:p w14:paraId="51E1FD49"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615" w:type="dxa"/>
            <w:tcBorders>
              <w:top w:val="nil"/>
              <w:left w:val="nil"/>
              <w:bottom w:val="single" w:sz="4" w:space="0" w:color="auto"/>
              <w:right w:val="single" w:sz="4" w:space="0" w:color="auto"/>
            </w:tcBorders>
            <w:shd w:val="clear" w:color="auto" w:fill="auto"/>
            <w:noWrap/>
            <w:vAlign w:val="bottom"/>
            <w:hideMark/>
          </w:tcPr>
          <w:p w14:paraId="65BEBF32"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45" w:type="dxa"/>
            <w:tcBorders>
              <w:top w:val="nil"/>
              <w:left w:val="nil"/>
              <w:bottom w:val="single" w:sz="4" w:space="0" w:color="auto"/>
              <w:right w:val="single" w:sz="4" w:space="0" w:color="auto"/>
            </w:tcBorders>
            <w:shd w:val="clear" w:color="auto" w:fill="auto"/>
            <w:noWrap/>
            <w:vAlign w:val="bottom"/>
            <w:hideMark/>
          </w:tcPr>
          <w:p w14:paraId="61B9CDA9"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65" w:type="dxa"/>
            <w:tcBorders>
              <w:top w:val="nil"/>
              <w:left w:val="nil"/>
              <w:bottom w:val="single" w:sz="4" w:space="0" w:color="auto"/>
              <w:right w:val="single" w:sz="8" w:space="0" w:color="auto"/>
            </w:tcBorders>
            <w:shd w:val="clear" w:color="auto" w:fill="auto"/>
            <w:noWrap/>
            <w:vAlign w:val="bottom"/>
            <w:hideMark/>
          </w:tcPr>
          <w:p w14:paraId="3013A6D6"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16</w:t>
            </w:r>
          </w:p>
        </w:tc>
        <w:tc>
          <w:tcPr>
            <w:tcW w:w="270" w:type="dxa"/>
            <w:gridSpan w:val="2"/>
            <w:tcBorders>
              <w:top w:val="nil"/>
              <w:left w:val="nil"/>
              <w:bottom w:val="nil"/>
              <w:right w:val="single" w:sz="8" w:space="0" w:color="auto"/>
            </w:tcBorders>
            <w:shd w:val="clear" w:color="auto" w:fill="auto"/>
            <w:noWrap/>
            <w:vAlign w:val="bottom"/>
            <w:hideMark/>
          </w:tcPr>
          <w:p w14:paraId="7CF41C6E" w14:textId="77777777" w:rsidR="0062742B" w:rsidRPr="00CE1D2F" w:rsidRDefault="0062742B" w:rsidP="0062742B">
            <w:pPr>
              <w:spacing w:after="0" w:line="240" w:lineRule="auto"/>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r>
      <w:tr w:rsidR="00CE1D2F" w:rsidRPr="00CE1D2F" w14:paraId="2B43BC1A" w14:textId="77777777" w:rsidTr="00CE1D2F">
        <w:trPr>
          <w:trHeight w:val="258"/>
        </w:trPr>
        <w:tc>
          <w:tcPr>
            <w:tcW w:w="535" w:type="dxa"/>
            <w:tcBorders>
              <w:top w:val="nil"/>
              <w:left w:val="single" w:sz="8" w:space="0" w:color="auto"/>
              <w:bottom w:val="single" w:sz="4" w:space="0" w:color="auto"/>
              <w:right w:val="single" w:sz="4" w:space="0" w:color="auto"/>
            </w:tcBorders>
            <w:shd w:val="clear" w:color="auto" w:fill="auto"/>
            <w:noWrap/>
            <w:vAlign w:val="bottom"/>
            <w:hideMark/>
          </w:tcPr>
          <w:p w14:paraId="0E44DC79"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Auto</w:t>
            </w:r>
          </w:p>
        </w:tc>
        <w:tc>
          <w:tcPr>
            <w:tcW w:w="917" w:type="dxa"/>
            <w:tcBorders>
              <w:top w:val="nil"/>
              <w:left w:val="nil"/>
              <w:bottom w:val="single" w:sz="4" w:space="0" w:color="auto"/>
              <w:right w:val="single" w:sz="4" w:space="0" w:color="auto"/>
            </w:tcBorders>
            <w:shd w:val="clear" w:color="auto" w:fill="auto"/>
            <w:noWrap/>
            <w:vAlign w:val="bottom"/>
            <w:hideMark/>
          </w:tcPr>
          <w:p w14:paraId="02CAC482"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01.07.2020</w:t>
            </w:r>
          </w:p>
        </w:tc>
        <w:tc>
          <w:tcPr>
            <w:tcW w:w="738" w:type="dxa"/>
            <w:tcBorders>
              <w:top w:val="nil"/>
              <w:left w:val="nil"/>
              <w:bottom w:val="single" w:sz="4" w:space="0" w:color="auto"/>
              <w:right w:val="single" w:sz="4" w:space="0" w:color="auto"/>
            </w:tcBorders>
            <w:shd w:val="clear" w:color="auto" w:fill="auto"/>
            <w:noWrap/>
            <w:vAlign w:val="bottom"/>
            <w:hideMark/>
          </w:tcPr>
          <w:p w14:paraId="37E16BB2"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11</w:t>
            </w:r>
          </w:p>
        </w:tc>
        <w:tc>
          <w:tcPr>
            <w:tcW w:w="753" w:type="dxa"/>
            <w:tcBorders>
              <w:top w:val="nil"/>
              <w:left w:val="nil"/>
              <w:bottom w:val="single" w:sz="4" w:space="0" w:color="auto"/>
              <w:right w:val="single" w:sz="4" w:space="0" w:color="auto"/>
            </w:tcBorders>
            <w:shd w:val="clear" w:color="auto" w:fill="auto"/>
            <w:noWrap/>
            <w:vAlign w:val="bottom"/>
            <w:hideMark/>
          </w:tcPr>
          <w:p w14:paraId="5DED558B" w14:textId="77777777" w:rsidR="0062742B" w:rsidRPr="00CE1D2F" w:rsidRDefault="0062742B" w:rsidP="0062742B">
            <w:pPr>
              <w:spacing w:after="0" w:line="240" w:lineRule="auto"/>
              <w:jc w:val="center"/>
              <w:rPr>
                <w:rFonts w:ascii="Arial" w:eastAsia="Times New Roman" w:hAnsi="Arial" w:cs="Arial"/>
                <w:color w:val="000000"/>
                <w:kern w:val="0"/>
                <w:sz w:val="14"/>
                <w:szCs w:val="14"/>
                <w14:ligatures w14:val="none"/>
              </w:rPr>
            </w:pPr>
            <w:r w:rsidRPr="00CE1D2F">
              <w:rPr>
                <w:rFonts w:ascii="Arial" w:eastAsia="Times New Roman" w:hAnsi="Arial" w:cs="Arial"/>
                <w:color w:val="000000"/>
                <w:kern w:val="0"/>
                <w:sz w:val="14"/>
                <w:szCs w:val="14"/>
                <w14:ligatures w14:val="none"/>
              </w:rPr>
              <w:t>76</w:t>
            </w:r>
          </w:p>
        </w:tc>
        <w:tc>
          <w:tcPr>
            <w:tcW w:w="860" w:type="dxa"/>
            <w:tcBorders>
              <w:top w:val="nil"/>
              <w:left w:val="nil"/>
              <w:bottom w:val="single" w:sz="4" w:space="0" w:color="auto"/>
              <w:right w:val="single" w:sz="4" w:space="0" w:color="auto"/>
            </w:tcBorders>
            <w:shd w:val="clear" w:color="auto" w:fill="auto"/>
            <w:noWrap/>
            <w:vAlign w:val="bottom"/>
            <w:hideMark/>
          </w:tcPr>
          <w:p w14:paraId="74F7AA15"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100</w:t>
            </w:r>
          </w:p>
        </w:tc>
        <w:tc>
          <w:tcPr>
            <w:tcW w:w="808" w:type="dxa"/>
            <w:tcBorders>
              <w:top w:val="nil"/>
              <w:left w:val="nil"/>
              <w:bottom w:val="single" w:sz="4" w:space="0" w:color="auto"/>
              <w:right w:val="single" w:sz="4" w:space="0" w:color="auto"/>
            </w:tcBorders>
            <w:shd w:val="clear" w:color="auto" w:fill="auto"/>
            <w:noWrap/>
            <w:vAlign w:val="bottom"/>
            <w:hideMark/>
          </w:tcPr>
          <w:p w14:paraId="5C44D9BE" w14:textId="77777777" w:rsidR="0062742B" w:rsidRPr="00CE1D2F" w:rsidRDefault="0062742B" w:rsidP="0062742B">
            <w:pPr>
              <w:spacing w:after="0" w:line="240" w:lineRule="auto"/>
              <w:jc w:val="center"/>
              <w:rPr>
                <w:rFonts w:ascii="Arial" w:eastAsia="Times New Roman" w:hAnsi="Arial" w:cs="Arial"/>
                <w:color w:val="000000"/>
                <w:kern w:val="0"/>
                <w:sz w:val="14"/>
                <w:szCs w:val="14"/>
                <w14:ligatures w14:val="none"/>
              </w:rPr>
            </w:pPr>
            <w:r w:rsidRPr="00CE1D2F">
              <w:rPr>
                <w:rFonts w:ascii="Arial" w:eastAsia="Times New Roman" w:hAnsi="Arial" w:cs="Arial"/>
                <w:color w:val="000000"/>
                <w:kern w:val="0"/>
                <w:sz w:val="14"/>
                <w:szCs w:val="14"/>
                <w14:ligatures w14:val="none"/>
              </w:rPr>
              <w:t>107</w:t>
            </w:r>
          </w:p>
        </w:tc>
        <w:tc>
          <w:tcPr>
            <w:tcW w:w="847" w:type="dxa"/>
            <w:tcBorders>
              <w:top w:val="nil"/>
              <w:left w:val="nil"/>
              <w:bottom w:val="single" w:sz="4" w:space="0" w:color="auto"/>
              <w:right w:val="single" w:sz="4" w:space="0" w:color="auto"/>
            </w:tcBorders>
            <w:shd w:val="clear" w:color="auto" w:fill="auto"/>
            <w:noWrap/>
            <w:vAlign w:val="bottom"/>
            <w:hideMark/>
          </w:tcPr>
          <w:p w14:paraId="58624070"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66</w:t>
            </w:r>
          </w:p>
        </w:tc>
        <w:tc>
          <w:tcPr>
            <w:tcW w:w="730" w:type="dxa"/>
            <w:tcBorders>
              <w:top w:val="nil"/>
              <w:left w:val="nil"/>
              <w:bottom w:val="single" w:sz="4" w:space="0" w:color="auto"/>
              <w:right w:val="single" w:sz="4" w:space="0" w:color="auto"/>
            </w:tcBorders>
            <w:shd w:val="clear" w:color="auto" w:fill="auto"/>
            <w:noWrap/>
            <w:vAlign w:val="bottom"/>
            <w:hideMark/>
          </w:tcPr>
          <w:p w14:paraId="4C4EF08A"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ng/nf</w:t>
            </w:r>
          </w:p>
        </w:tc>
        <w:tc>
          <w:tcPr>
            <w:tcW w:w="627" w:type="dxa"/>
            <w:tcBorders>
              <w:top w:val="nil"/>
              <w:left w:val="nil"/>
              <w:bottom w:val="single" w:sz="4" w:space="0" w:color="auto"/>
              <w:right w:val="single" w:sz="4" w:space="0" w:color="auto"/>
            </w:tcBorders>
            <w:shd w:val="clear" w:color="auto" w:fill="auto"/>
            <w:noWrap/>
            <w:vAlign w:val="bottom"/>
            <w:hideMark/>
          </w:tcPr>
          <w:p w14:paraId="0B6EAE89"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JD</w:t>
            </w:r>
          </w:p>
        </w:tc>
        <w:tc>
          <w:tcPr>
            <w:tcW w:w="870" w:type="dxa"/>
            <w:tcBorders>
              <w:top w:val="nil"/>
              <w:left w:val="nil"/>
              <w:bottom w:val="single" w:sz="4" w:space="0" w:color="auto"/>
              <w:right w:val="single" w:sz="4" w:space="0" w:color="auto"/>
            </w:tcBorders>
            <w:shd w:val="clear" w:color="auto" w:fill="auto"/>
            <w:noWrap/>
            <w:vAlign w:val="bottom"/>
            <w:hideMark/>
          </w:tcPr>
          <w:p w14:paraId="302A6D6D"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615" w:type="dxa"/>
            <w:tcBorders>
              <w:top w:val="nil"/>
              <w:left w:val="nil"/>
              <w:bottom w:val="single" w:sz="4" w:space="0" w:color="auto"/>
              <w:right w:val="single" w:sz="4" w:space="0" w:color="auto"/>
            </w:tcBorders>
            <w:shd w:val="clear" w:color="auto" w:fill="auto"/>
            <w:noWrap/>
            <w:vAlign w:val="bottom"/>
            <w:hideMark/>
          </w:tcPr>
          <w:p w14:paraId="66B4B627"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45" w:type="dxa"/>
            <w:tcBorders>
              <w:top w:val="nil"/>
              <w:left w:val="nil"/>
              <w:bottom w:val="single" w:sz="4" w:space="0" w:color="auto"/>
              <w:right w:val="single" w:sz="4" w:space="0" w:color="auto"/>
            </w:tcBorders>
            <w:shd w:val="clear" w:color="auto" w:fill="auto"/>
            <w:noWrap/>
            <w:vAlign w:val="bottom"/>
            <w:hideMark/>
          </w:tcPr>
          <w:p w14:paraId="3DBCE1EA"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65" w:type="dxa"/>
            <w:tcBorders>
              <w:top w:val="nil"/>
              <w:left w:val="nil"/>
              <w:bottom w:val="single" w:sz="4" w:space="0" w:color="auto"/>
              <w:right w:val="single" w:sz="8" w:space="0" w:color="auto"/>
            </w:tcBorders>
            <w:shd w:val="clear" w:color="auto" w:fill="auto"/>
            <w:noWrap/>
            <w:vAlign w:val="bottom"/>
            <w:hideMark/>
          </w:tcPr>
          <w:p w14:paraId="1233AF7E"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14</w:t>
            </w:r>
          </w:p>
        </w:tc>
        <w:tc>
          <w:tcPr>
            <w:tcW w:w="270" w:type="dxa"/>
            <w:gridSpan w:val="2"/>
            <w:tcBorders>
              <w:top w:val="nil"/>
              <w:left w:val="nil"/>
              <w:bottom w:val="nil"/>
              <w:right w:val="single" w:sz="8" w:space="0" w:color="auto"/>
            </w:tcBorders>
            <w:shd w:val="clear" w:color="auto" w:fill="auto"/>
            <w:noWrap/>
            <w:vAlign w:val="bottom"/>
            <w:hideMark/>
          </w:tcPr>
          <w:p w14:paraId="63E03450" w14:textId="77777777" w:rsidR="0062742B" w:rsidRPr="00CE1D2F" w:rsidRDefault="0062742B" w:rsidP="0062742B">
            <w:pPr>
              <w:spacing w:after="0" w:line="240" w:lineRule="auto"/>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r>
      <w:tr w:rsidR="00CE1D2F" w:rsidRPr="00CE1D2F" w14:paraId="07975E9B" w14:textId="77777777" w:rsidTr="00CE1D2F">
        <w:trPr>
          <w:trHeight w:val="258"/>
        </w:trPr>
        <w:tc>
          <w:tcPr>
            <w:tcW w:w="535" w:type="dxa"/>
            <w:tcBorders>
              <w:top w:val="nil"/>
              <w:left w:val="single" w:sz="8" w:space="0" w:color="auto"/>
              <w:bottom w:val="single" w:sz="4" w:space="0" w:color="auto"/>
              <w:right w:val="single" w:sz="4" w:space="0" w:color="auto"/>
            </w:tcBorders>
            <w:shd w:val="clear" w:color="auto" w:fill="auto"/>
            <w:noWrap/>
            <w:vAlign w:val="bottom"/>
            <w:hideMark/>
          </w:tcPr>
          <w:p w14:paraId="6093FF85"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Auto</w:t>
            </w:r>
          </w:p>
        </w:tc>
        <w:tc>
          <w:tcPr>
            <w:tcW w:w="917" w:type="dxa"/>
            <w:tcBorders>
              <w:top w:val="nil"/>
              <w:left w:val="nil"/>
              <w:bottom w:val="single" w:sz="4" w:space="0" w:color="auto"/>
              <w:right w:val="single" w:sz="4" w:space="0" w:color="auto"/>
            </w:tcBorders>
            <w:shd w:val="clear" w:color="auto" w:fill="auto"/>
            <w:noWrap/>
            <w:vAlign w:val="bottom"/>
            <w:hideMark/>
          </w:tcPr>
          <w:p w14:paraId="28BE757F"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01.08.2020</w:t>
            </w:r>
          </w:p>
        </w:tc>
        <w:tc>
          <w:tcPr>
            <w:tcW w:w="738" w:type="dxa"/>
            <w:tcBorders>
              <w:top w:val="nil"/>
              <w:left w:val="nil"/>
              <w:bottom w:val="single" w:sz="4" w:space="0" w:color="auto"/>
              <w:right w:val="single" w:sz="4" w:space="0" w:color="auto"/>
            </w:tcBorders>
            <w:shd w:val="clear" w:color="auto" w:fill="auto"/>
            <w:noWrap/>
            <w:vAlign w:val="bottom"/>
            <w:hideMark/>
          </w:tcPr>
          <w:p w14:paraId="2DAE5D5C"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10</w:t>
            </w:r>
          </w:p>
        </w:tc>
        <w:tc>
          <w:tcPr>
            <w:tcW w:w="753" w:type="dxa"/>
            <w:tcBorders>
              <w:top w:val="nil"/>
              <w:left w:val="nil"/>
              <w:bottom w:val="single" w:sz="4" w:space="0" w:color="auto"/>
              <w:right w:val="single" w:sz="4" w:space="0" w:color="auto"/>
            </w:tcBorders>
            <w:shd w:val="clear" w:color="auto" w:fill="auto"/>
            <w:noWrap/>
            <w:vAlign w:val="bottom"/>
            <w:hideMark/>
          </w:tcPr>
          <w:p w14:paraId="15404C32" w14:textId="77777777" w:rsidR="0062742B" w:rsidRPr="00CE1D2F" w:rsidRDefault="0062742B" w:rsidP="0062742B">
            <w:pPr>
              <w:spacing w:after="0" w:line="240" w:lineRule="auto"/>
              <w:jc w:val="center"/>
              <w:rPr>
                <w:rFonts w:ascii="Arial" w:eastAsia="Times New Roman" w:hAnsi="Arial" w:cs="Arial"/>
                <w:color w:val="000000"/>
                <w:kern w:val="0"/>
                <w:sz w:val="14"/>
                <w:szCs w:val="14"/>
                <w14:ligatures w14:val="none"/>
              </w:rPr>
            </w:pPr>
            <w:r w:rsidRPr="00CE1D2F">
              <w:rPr>
                <w:rFonts w:ascii="Arial" w:eastAsia="Times New Roman" w:hAnsi="Arial" w:cs="Arial"/>
                <w:color w:val="000000"/>
                <w:kern w:val="0"/>
                <w:sz w:val="14"/>
                <w:szCs w:val="14"/>
                <w14:ligatures w14:val="none"/>
              </w:rPr>
              <w:t>64</w:t>
            </w:r>
          </w:p>
        </w:tc>
        <w:tc>
          <w:tcPr>
            <w:tcW w:w="860" w:type="dxa"/>
            <w:tcBorders>
              <w:top w:val="nil"/>
              <w:left w:val="nil"/>
              <w:bottom w:val="single" w:sz="4" w:space="0" w:color="auto"/>
              <w:right w:val="single" w:sz="4" w:space="0" w:color="auto"/>
            </w:tcBorders>
            <w:shd w:val="clear" w:color="auto" w:fill="auto"/>
            <w:noWrap/>
            <w:vAlign w:val="bottom"/>
            <w:hideMark/>
          </w:tcPr>
          <w:p w14:paraId="5EB7CF5D"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100</w:t>
            </w:r>
          </w:p>
        </w:tc>
        <w:tc>
          <w:tcPr>
            <w:tcW w:w="808" w:type="dxa"/>
            <w:tcBorders>
              <w:top w:val="nil"/>
              <w:left w:val="nil"/>
              <w:bottom w:val="single" w:sz="4" w:space="0" w:color="auto"/>
              <w:right w:val="single" w:sz="4" w:space="0" w:color="auto"/>
            </w:tcBorders>
            <w:shd w:val="clear" w:color="auto" w:fill="auto"/>
            <w:noWrap/>
            <w:vAlign w:val="bottom"/>
            <w:hideMark/>
          </w:tcPr>
          <w:p w14:paraId="4C9AFB46" w14:textId="77777777" w:rsidR="0062742B" w:rsidRPr="00CE1D2F" w:rsidRDefault="0062742B" w:rsidP="0062742B">
            <w:pPr>
              <w:spacing w:after="0" w:line="240" w:lineRule="auto"/>
              <w:jc w:val="center"/>
              <w:rPr>
                <w:rFonts w:ascii="Arial" w:eastAsia="Times New Roman" w:hAnsi="Arial" w:cs="Arial"/>
                <w:color w:val="000000"/>
                <w:kern w:val="0"/>
                <w:sz w:val="14"/>
                <w:szCs w:val="14"/>
                <w14:ligatures w14:val="none"/>
              </w:rPr>
            </w:pPr>
            <w:r w:rsidRPr="00CE1D2F">
              <w:rPr>
                <w:rFonts w:ascii="Arial" w:eastAsia="Times New Roman" w:hAnsi="Arial" w:cs="Arial"/>
                <w:color w:val="000000"/>
                <w:kern w:val="0"/>
                <w:sz w:val="14"/>
                <w:szCs w:val="14"/>
                <w14:ligatures w14:val="none"/>
              </w:rPr>
              <w:t>43</w:t>
            </w:r>
          </w:p>
        </w:tc>
        <w:tc>
          <w:tcPr>
            <w:tcW w:w="847" w:type="dxa"/>
            <w:tcBorders>
              <w:top w:val="nil"/>
              <w:left w:val="nil"/>
              <w:bottom w:val="single" w:sz="4" w:space="0" w:color="auto"/>
              <w:right w:val="single" w:sz="4" w:space="0" w:color="auto"/>
            </w:tcBorders>
            <w:shd w:val="clear" w:color="auto" w:fill="auto"/>
            <w:noWrap/>
            <w:vAlign w:val="bottom"/>
            <w:hideMark/>
          </w:tcPr>
          <w:p w14:paraId="70A69A1F"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52</w:t>
            </w:r>
          </w:p>
        </w:tc>
        <w:tc>
          <w:tcPr>
            <w:tcW w:w="730" w:type="dxa"/>
            <w:tcBorders>
              <w:top w:val="nil"/>
              <w:left w:val="nil"/>
              <w:bottom w:val="single" w:sz="4" w:space="0" w:color="auto"/>
              <w:right w:val="single" w:sz="4" w:space="0" w:color="auto"/>
            </w:tcBorders>
            <w:shd w:val="clear" w:color="auto" w:fill="auto"/>
            <w:noWrap/>
            <w:vAlign w:val="bottom"/>
            <w:hideMark/>
          </w:tcPr>
          <w:p w14:paraId="42739478"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ng/nf</w:t>
            </w:r>
          </w:p>
        </w:tc>
        <w:tc>
          <w:tcPr>
            <w:tcW w:w="627" w:type="dxa"/>
            <w:tcBorders>
              <w:top w:val="nil"/>
              <w:left w:val="nil"/>
              <w:bottom w:val="single" w:sz="4" w:space="0" w:color="auto"/>
              <w:right w:val="single" w:sz="4" w:space="0" w:color="auto"/>
            </w:tcBorders>
            <w:shd w:val="clear" w:color="auto" w:fill="auto"/>
            <w:noWrap/>
            <w:vAlign w:val="bottom"/>
            <w:hideMark/>
          </w:tcPr>
          <w:p w14:paraId="67138726"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JD</w:t>
            </w:r>
          </w:p>
        </w:tc>
        <w:tc>
          <w:tcPr>
            <w:tcW w:w="870" w:type="dxa"/>
            <w:tcBorders>
              <w:top w:val="nil"/>
              <w:left w:val="nil"/>
              <w:bottom w:val="single" w:sz="4" w:space="0" w:color="auto"/>
              <w:right w:val="single" w:sz="4" w:space="0" w:color="auto"/>
            </w:tcBorders>
            <w:shd w:val="clear" w:color="auto" w:fill="auto"/>
            <w:noWrap/>
            <w:vAlign w:val="bottom"/>
            <w:hideMark/>
          </w:tcPr>
          <w:p w14:paraId="7334A88C"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615" w:type="dxa"/>
            <w:tcBorders>
              <w:top w:val="nil"/>
              <w:left w:val="nil"/>
              <w:bottom w:val="single" w:sz="4" w:space="0" w:color="auto"/>
              <w:right w:val="single" w:sz="4" w:space="0" w:color="auto"/>
            </w:tcBorders>
            <w:shd w:val="clear" w:color="auto" w:fill="auto"/>
            <w:noWrap/>
            <w:vAlign w:val="bottom"/>
            <w:hideMark/>
          </w:tcPr>
          <w:p w14:paraId="46330AB4"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45" w:type="dxa"/>
            <w:tcBorders>
              <w:top w:val="nil"/>
              <w:left w:val="nil"/>
              <w:bottom w:val="single" w:sz="4" w:space="0" w:color="auto"/>
              <w:right w:val="single" w:sz="4" w:space="0" w:color="auto"/>
            </w:tcBorders>
            <w:shd w:val="clear" w:color="auto" w:fill="auto"/>
            <w:noWrap/>
            <w:vAlign w:val="bottom"/>
            <w:hideMark/>
          </w:tcPr>
          <w:p w14:paraId="2F2E815F"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65" w:type="dxa"/>
            <w:tcBorders>
              <w:top w:val="nil"/>
              <w:left w:val="nil"/>
              <w:bottom w:val="single" w:sz="4" w:space="0" w:color="auto"/>
              <w:right w:val="single" w:sz="8" w:space="0" w:color="auto"/>
            </w:tcBorders>
            <w:shd w:val="clear" w:color="auto" w:fill="auto"/>
            <w:noWrap/>
            <w:vAlign w:val="bottom"/>
            <w:hideMark/>
          </w:tcPr>
          <w:p w14:paraId="2625D528"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14</w:t>
            </w:r>
          </w:p>
        </w:tc>
        <w:tc>
          <w:tcPr>
            <w:tcW w:w="270" w:type="dxa"/>
            <w:gridSpan w:val="2"/>
            <w:tcBorders>
              <w:top w:val="nil"/>
              <w:left w:val="nil"/>
              <w:bottom w:val="nil"/>
              <w:right w:val="single" w:sz="8" w:space="0" w:color="auto"/>
            </w:tcBorders>
            <w:shd w:val="clear" w:color="auto" w:fill="auto"/>
            <w:noWrap/>
            <w:vAlign w:val="bottom"/>
            <w:hideMark/>
          </w:tcPr>
          <w:p w14:paraId="146F297D" w14:textId="77777777" w:rsidR="0062742B" w:rsidRPr="00CE1D2F" w:rsidRDefault="0062742B" w:rsidP="0062742B">
            <w:pPr>
              <w:spacing w:after="0" w:line="240" w:lineRule="auto"/>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r>
      <w:tr w:rsidR="00CE1D2F" w:rsidRPr="00CE1D2F" w14:paraId="689D0EAF" w14:textId="77777777" w:rsidTr="00CE1D2F">
        <w:trPr>
          <w:trHeight w:val="262"/>
        </w:trPr>
        <w:tc>
          <w:tcPr>
            <w:tcW w:w="535" w:type="dxa"/>
            <w:tcBorders>
              <w:top w:val="nil"/>
              <w:left w:val="single" w:sz="8" w:space="0" w:color="auto"/>
              <w:bottom w:val="single" w:sz="4" w:space="0" w:color="auto"/>
              <w:right w:val="single" w:sz="4" w:space="0" w:color="auto"/>
            </w:tcBorders>
            <w:shd w:val="clear" w:color="auto" w:fill="auto"/>
            <w:noWrap/>
            <w:vAlign w:val="bottom"/>
            <w:hideMark/>
          </w:tcPr>
          <w:p w14:paraId="55150AA4"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Auto</w:t>
            </w:r>
          </w:p>
        </w:tc>
        <w:tc>
          <w:tcPr>
            <w:tcW w:w="917" w:type="dxa"/>
            <w:tcBorders>
              <w:top w:val="nil"/>
              <w:left w:val="nil"/>
              <w:bottom w:val="single" w:sz="4" w:space="0" w:color="auto"/>
              <w:right w:val="single" w:sz="4" w:space="0" w:color="auto"/>
            </w:tcBorders>
            <w:shd w:val="clear" w:color="auto" w:fill="auto"/>
            <w:noWrap/>
            <w:vAlign w:val="bottom"/>
            <w:hideMark/>
          </w:tcPr>
          <w:p w14:paraId="23462779"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01.07.2020</w:t>
            </w:r>
          </w:p>
        </w:tc>
        <w:tc>
          <w:tcPr>
            <w:tcW w:w="738" w:type="dxa"/>
            <w:tcBorders>
              <w:top w:val="nil"/>
              <w:left w:val="nil"/>
              <w:bottom w:val="single" w:sz="4" w:space="0" w:color="auto"/>
              <w:right w:val="single" w:sz="4" w:space="0" w:color="auto"/>
            </w:tcBorders>
            <w:shd w:val="clear" w:color="auto" w:fill="auto"/>
            <w:noWrap/>
            <w:vAlign w:val="bottom"/>
            <w:hideMark/>
          </w:tcPr>
          <w:p w14:paraId="55650407"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8</w:t>
            </w:r>
          </w:p>
        </w:tc>
        <w:tc>
          <w:tcPr>
            <w:tcW w:w="753" w:type="dxa"/>
            <w:tcBorders>
              <w:top w:val="nil"/>
              <w:left w:val="nil"/>
              <w:bottom w:val="single" w:sz="4" w:space="0" w:color="auto"/>
              <w:right w:val="single" w:sz="4" w:space="0" w:color="auto"/>
            </w:tcBorders>
            <w:shd w:val="clear" w:color="auto" w:fill="auto"/>
            <w:noWrap/>
            <w:vAlign w:val="bottom"/>
            <w:hideMark/>
          </w:tcPr>
          <w:p w14:paraId="1F586DCA" w14:textId="77777777" w:rsidR="0062742B" w:rsidRPr="00CE1D2F" w:rsidRDefault="0062742B" w:rsidP="0062742B">
            <w:pPr>
              <w:spacing w:after="0" w:line="240" w:lineRule="auto"/>
              <w:jc w:val="center"/>
              <w:rPr>
                <w:rFonts w:ascii="Arial" w:eastAsia="Times New Roman" w:hAnsi="Arial" w:cs="Arial"/>
                <w:color w:val="000000"/>
                <w:kern w:val="0"/>
                <w:sz w:val="14"/>
                <w:szCs w:val="14"/>
                <w14:ligatures w14:val="none"/>
              </w:rPr>
            </w:pPr>
            <w:r w:rsidRPr="00CE1D2F">
              <w:rPr>
                <w:rFonts w:ascii="Arial" w:eastAsia="Times New Roman" w:hAnsi="Arial" w:cs="Arial"/>
                <w:color w:val="000000"/>
                <w:kern w:val="0"/>
                <w:sz w:val="14"/>
                <w:szCs w:val="14"/>
                <w14:ligatures w14:val="none"/>
              </w:rPr>
              <w:t>70</w:t>
            </w:r>
          </w:p>
        </w:tc>
        <w:tc>
          <w:tcPr>
            <w:tcW w:w="860" w:type="dxa"/>
            <w:tcBorders>
              <w:top w:val="nil"/>
              <w:left w:val="nil"/>
              <w:bottom w:val="single" w:sz="4" w:space="0" w:color="auto"/>
              <w:right w:val="single" w:sz="4" w:space="0" w:color="auto"/>
            </w:tcBorders>
            <w:shd w:val="clear" w:color="auto" w:fill="auto"/>
            <w:noWrap/>
            <w:vAlign w:val="bottom"/>
            <w:hideMark/>
          </w:tcPr>
          <w:p w14:paraId="1E78B1C8"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77</w:t>
            </w:r>
          </w:p>
        </w:tc>
        <w:tc>
          <w:tcPr>
            <w:tcW w:w="808" w:type="dxa"/>
            <w:tcBorders>
              <w:top w:val="nil"/>
              <w:left w:val="nil"/>
              <w:bottom w:val="single" w:sz="4" w:space="0" w:color="auto"/>
              <w:right w:val="single" w:sz="4" w:space="0" w:color="auto"/>
            </w:tcBorders>
            <w:shd w:val="clear" w:color="auto" w:fill="auto"/>
            <w:noWrap/>
            <w:vAlign w:val="bottom"/>
            <w:hideMark/>
          </w:tcPr>
          <w:p w14:paraId="1748FF81" w14:textId="77777777" w:rsidR="0062742B" w:rsidRPr="00CE1D2F" w:rsidRDefault="0062742B" w:rsidP="0062742B">
            <w:pPr>
              <w:spacing w:after="0" w:line="240" w:lineRule="auto"/>
              <w:jc w:val="center"/>
              <w:rPr>
                <w:rFonts w:ascii="Arial" w:eastAsia="Times New Roman" w:hAnsi="Arial" w:cs="Arial"/>
                <w:color w:val="000000"/>
                <w:kern w:val="0"/>
                <w:sz w:val="14"/>
                <w:szCs w:val="14"/>
                <w14:ligatures w14:val="none"/>
              </w:rPr>
            </w:pPr>
            <w:r w:rsidRPr="00CE1D2F">
              <w:rPr>
                <w:rFonts w:ascii="Arial" w:eastAsia="Times New Roman" w:hAnsi="Arial" w:cs="Arial"/>
                <w:color w:val="000000"/>
                <w:kern w:val="0"/>
                <w:sz w:val="14"/>
                <w:szCs w:val="14"/>
                <w14:ligatures w14:val="none"/>
              </w:rPr>
              <w:t>14</w:t>
            </w:r>
          </w:p>
        </w:tc>
        <w:tc>
          <w:tcPr>
            <w:tcW w:w="847" w:type="dxa"/>
            <w:tcBorders>
              <w:top w:val="nil"/>
              <w:left w:val="nil"/>
              <w:bottom w:val="single" w:sz="4" w:space="0" w:color="auto"/>
              <w:right w:val="single" w:sz="4" w:space="0" w:color="auto"/>
            </w:tcBorders>
            <w:shd w:val="clear" w:color="auto" w:fill="auto"/>
            <w:noWrap/>
            <w:vAlign w:val="bottom"/>
            <w:hideMark/>
          </w:tcPr>
          <w:p w14:paraId="667EB407"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56</w:t>
            </w:r>
          </w:p>
        </w:tc>
        <w:tc>
          <w:tcPr>
            <w:tcW w:w="730" w:type="dxa"/>
            <w:tcBorders>
              <w:top w:val="nil"/>
              <w:left w:val="nil"/>
              <w:bottom w:val="single" w:sz="4" w:space="0" w:color="auto"/>
              <w:right w:val="single" w:sz="4" w:space="0" w:color="auto"/>
            </w:tcBorders>
            <w:shd w:val="clear" w:color="auto" w:fill="auto"/>
            <w:noWrap/>
            <w:vAlign w:val="bottom"/>
            <w:hideMark/>
          </w:tcPr>
          <w:p w14:paraId="25CD6B47"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ng/nf</w:t>
            </w:r>
          </w:p>
        </w:tc>
        <w:tc>
          <w:tcPr>
            <w:tcW w:w="627" w:type="dxa"/>
            <w:tcBorders>
              <w:top w:val="nil"/>
              <w:left w:val="nil"/>
              <w:bottom w:val="single" w:sz="4" w:space="0" w:color="auto"/>
              <w:right w:val="single" w:sz="4" w:space="0" w:color="auto"/>
            </w:tcBorders>
            <w:shd w:val="clear" w:color="auto" w:fill="auto"/>
            <w:noWrap/>
            <w:vAlign w:val="bottom"/>
            <w:hideMark/>
          </w:tcPr>
          <w:p w14:paraId="54994A80"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JD</w:t>
            </w:r>
          </w:p>
        </w:tc>
        <w:tc>
          <w:tcPr>
            <w:tcW w:w="870" w:type="dxa"/>
            <w:tcBorders>
              <w:top w:val="nil"/>
              <w:left w:val="nil"/>
              <w:bottom w:val="single" w:sz="4" w:space="0" w:color="auto"/>
              <w:right w:val="single" w:sz="4" w:space="0" w:color="auto"/>
            </w:tcBorders>
            <w:shd w:val="clear" w:color="auto" w:fill="auto"/>
            <w:noWrap/>
            <w:vAlign w:val="bottom"/>
            <w:hideMark/>
          </w:tcPr>
          <w:p w14:paraId="17CBE3D3"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615" w:type="dxa"/>
            <w:tcBorders>
              <w:top w:val="nil"/>
              <w:left w:val="nil"/>
              <w:bottom w:val="single" w:sz="4" w:space="0" w:color="auto"/>
              <w:right w:val="single" w:sz="4" w:space="0" w:color="auto"/>
            </w:tcBorders>
            <w:shd w:val="clear" w:color="auto" w:fill="auto"/>
            <w:noWrap/>
            <w:vAlign w:val="bottom"/>
            <w:hideMark/>
          </w:tcPr>
          <w:p w14:paraId="03EFC888"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45" w:type="dxa"/>
            <w:tcBorders>
              <w:top w:val="nil"/>
              <w:left w:val="nil"/>
              <w:bottom w:val="single" w:sz="4" w:space="0" w:color="auto"/>
              <w:right w:val="single" w:sz="4" w:space="0" w:color="auto"/>
            </w:tcBorders>
            <w:shd w:val="clear" w:color="auto" w:fill="auto"/>
            <w:noWrap/>
            <w:vAlign w:val="bottom"/>
            <w:hideMark/>
          </w:tcPr>
          <w:p w14:paraId="20ECC9B2"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65" w:type="dxa"/>
            <w:tcBorders>
              <w:top w:val="nil"/>
              <w:left w:val="nil"/>
              <w:bottom w:val="single" w:sz="4" w:space="0" w:color="auto"/>
              <w:right w:val="single" w:sz="8" w:space="0" w:color="auto"/>
            </w:tcBorders>
            <w:shd w:val="clear" w:color="auto" w:fill="auto"/>
            <w:noWrap/>
            <w:vAlign w:val="bottom"/>
            <w:hideMark/>
          </w:tcPr>
          <w:p w14:paraId="370285A9"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14</w:t>
            </w:r>
          </w:p>
        </w:tc>
        <w:tc>
          <w:tcPr>
            <w:tcW w:w="270" w:type="dxa"/>
            <w:gridSpan w:val="2"/>
            <w:tcBorders>
              <w:top w:val="nil"/>
              <w:left w:val="nil"/>
              <w:bottom w:val="nil"/>
              <w:right w:val="single" w:sz="8" w:space="0" w:color="auto"/>
            </w:tcBorders>
            <w:shd w:val="clear" w:color="auto" w:fill="auto"/>
            <w:noWrap/>
            <w:vAlign w:val="bottom"/>
            <w:hideMark/>
          </w:tcPr>
          <w:p w14:paraId="76CE6F9F" w14:textId="77777777" w:rsidR="0062742B" w:rsidRPr="00CE1D2F" w:rsidRDefault="0062742B" w:rsidP="0062742B">
            <w:pPr>
              <w:spacing w:after="0" w:line="240" w:lineRule="auto"/>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r>
      <w:tr w:rsidR="00CE1D2F" w:rsidRPr="00CE1D2F" w14:paraId="24839624" w14:textId="77777777" w:rsidTr="00CE1D2F">
        <w:trPr>
          <w:trHeight w:val="258"/>
        </w:trPr>
        <w:tc>
          <w:tcPr>
            <w:tcW w:w="535" w:type="dxa"/>
            <w:tcBorders>
              <w:top w:val="nil"/>
              <w:left w:val="single" w:sz="8" w:space="0" w:color="auto"/>
              <w:bottom w:val="single" w:sz="4" w:space="0" w:color="auto"/>
              <w:right w:val="single" w:sz="4" w:space="0" w:color="auto"/>
            </w:tcBorders>
            <w:shd w:val="clear" w:color="auto" w:fill="auto"/>
            <w:noWrap/>
            <w:vAlign w:val="bottom"/>
            <w:hideMark/>
          </w:tcPr>
          <w:p w14:paraId="6C494D60"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c>
          <w:tcPr>
            <w:tcW w:w="917" w:type="dxa"/>
            <w:tcBorders>
              <w:top w:val="nil"/>
              <w:left w:val="nil"/>
              <w:bottom w:val="single" w:sz="4" w:space="0" w:color="auto"/>
              <w:right w:val="single" w:sz="4" w:space="0" w:color="auto"/>
            </w:tcBorders>
            <w:shd w:val="clear" w:color="auto" w:fill="auto"/>
            <w:noWrap/>
            <w:vAlign w:val="bottom"/>
            <w:hideMark/>
          </w:tcPr>
          <w:p w14:paraId="532A5B1A"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c>
          <w:tcPr>
            <w:tcW w:w="738" w:type="dxa"/>
            <w:tcBorders>
              <w:top w:val="nil"/>
              <w:left w:val="nil"/>
              <w:bottom w:val="single" w:sz="4" w:space="0" w:color="auto"/>
              <w:right w:val="single" w:sz="4" w:space="0" w:color="auto"/>
            </w:tcBorders>
            <w:shd w:val="clear" w:color="auto" w:fill="auto"/>
            <w:noWrap/>
            <w:vAlign w:val="bottom"/>
            <w:hideMark/>
          </w:tcPr>
          <w:p w14:paraId="1AF5DEC5"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c>
          <w:tcPr>
            <w:tcW w:w="753" w:type="dxa"/>
            <w:tcBorders>
              <w:top w:val="nil"/>
              <w:left w:val="nil"/>
              <w:bottom w:val="single" w:sz="4" w:space="0" w:color="auto"/>
              <w:right w:val="single" w:sz="4" w:space="0" w:color="auto"/>
            </w:tcBorders>
            <w:shd w:val="clear" w:color="auto" w:fill="auto"/>
            <w:noWrap/>
            <w:vAlign w:val="bottom"/>
            <w:hideMark/>
          </w:tcPr>
          <w:p w14:paraId="656FFBBD"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c>
          <w:tcPr>
            <w:tcW w:w="860" w:type="dxa"/>
            <w:tcBorders>
              <w:top w:val="nil"/>
              <w:left w:val="nil"/>
              <w:bottom w:val="single" w:sz="4" w:space="0" w:color="auto"/>
              <w:right w:val="single" w:sz="4" w:space="0" w:color="auto"/>
            </w:tcBorders>
            <w:shd w:val="clear" w:color="auto" w:fill="auto"/>
            <w:noWrap/>
            <w:vAlign w:val="bottom"/>
            <w:hideMark/>
          </w:tcPr>
          <w:p w14:paraId="14196924"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c>
          <w:tcPr>
            <w:tcW w:w="808" w:type="dxa"/>
            <w:tcBorders>
              <w:top w:val="nil"/>
              <w:left w:val="nil"/>
              <w:bottom w:val="single" w:sz="4" w:space="0" w:color="auto"/>
              <w:right w:val="single" w:sz="4" w:space="0" w:color="auto"/>
            </w:tcBorders>
            <w:shd w:val="clear" w:color="auto" w:fill="auto"/>
            <w:noWrap/>
            <w:vAlign w:val="bottom"/>
            <w:hideMark/>
          </w:tcPr>
          <w:p w14:paraId="2DE337A3"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c>
          <w:tcPr>
            <w:tcW w:w="847" w:type="dxa"/>
            <w:tcBorders>
              <w:top w:val="nil"/>
              <w:left w:val="nil"/>
              <w:bottom w:val="single" w:sz="4" w:space="0" w:color="auto"/>
              <w:right w:val="single" w:sz="4" w:space="0" w:color="auto"/>
            </w:tcBorders>
            <w:shd w:val="clear" w:color="auto" w:fill="auto"/>
            <w:noWrap/>
            <w:vAlign w:val="bottom"/>
            <w:hideMark/>
          </w:tcPr>
          <w:p w14:paraId="00DA2C7B"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c>
          <w:tcPr>
            <w:tcW w:w="730" w:type="dxa"/>
            <w:tcBorders>
              <w:top w:val="nil"/>
              <w:left w:val="nil"/>
              <w:bottom w:val="single" w:sz="4" w:space="0" w:color="auto"/>
              <w:right w:val="single" w:sz="4" w:space="0" w:color="auto"/>
            </w:tcBorders>
            <w:shd w:val="clear" w:color="auto" w:fill="auto"/>
            <w:noWrap/>
            <w:vAlign w:val="bottom"/>
            <w:hideMark/>
          </w:tcPr>
          <w:p w14:paraId="4CE90A01"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c>
          <w:tcPr>
            <w:tcW w:w="627" w:type="dxa"/>
            <w:tcBorders>
              <w:top w:val="nil"/>
              <w:left w:val="nil"/>
              <w:bottom w:val="single" w:sz="4" w:space="0" w:color="auto"/>
              <w:right w:val="single" w:sz="4" w:space="0" w:color="auto"/>
            </w:tcBorders>
            <w:shd w:val="clear" w:color="auto" w:fill="auto"/>
            <w:noWrap/>
            <w:vAlign w:val="bottom"/>
            <w:hideMark/>
          </w:tcPr>
          <w:p w14:paraId="23319F5C"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c>
          <w:tcPr>
            <w:tcW w:w="870" w:type="dxa"/>
            <w:tcBorders>
              <w:top w:val="nil"/>
              <w:left w:val="nil"/>
              <w:bottom w:val="single" w:sz="4" w:space="0" w:color="auto"/>
              <w:right w:val="single" w:sz="4" w:space="0" w:color="auto"/>
            </w:tcBorders>
            <w:shd w:val="clear" w:color="auto" w:fill="auto"/>
            <w:noWrap/>
            <w:vAlign w:val="bottom"/>
            <w:hideMark/>
          </w:tcPr>
          <w:p w14:paraId="41BB46F1"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c>
          <w:tcPr>
            <w:tcW w:w="615" w:type="dxa"/>
            <w:tcBorders>
              <w:top w:val="nil"/>
              <w:left w:val="nil"/>
              <w:bottom w:val="single" w:sz="4" w:space="0" w:color="auto"/>
              <w:right w:val="single" w:sz="4" w:space="0" w:color="auto"/>
            </w:tcBorders>
            <w:shd w:val="clear" w:color="auto" w:fill="auto"/>
            <w:noWrap/>
            <w:vAlign w:val="bottom"/>
            <w:hideMark/>
          </w:tcPr>
          <w:p w14:paraId="489D6012"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c>
          <w:tcPr>
            <w:tcW w:w="745" w:type="dxa"/>
            <w:tcBorders>
              <w:top w:val="nil"/>
              <w:left w:val="nil"/>
              <w:bottom w:val="single" w:sz="4" w:space="0" w:color="auto"/>
              <w:right w:val="single" w:sz="4" w:space="0" w:color="auto"/>
            </w:tcBorders>
            <w:shd w:val="clear" w:color="auto" w:fill="auto"/>
            <w:noWrap/>
            <w:vAlign w:val="bottom"/>
            <w:hideMark/>
          </w:tcPr>
          <w:p w14:paraId="587B682E"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c>
          <w:tcPr>
            <w:tcW w:w="765" w:type="dxa"/>
            <w:tcBorders>
              <w:top w:val="nil"/>
              <w:left w:val="nil"/>
              <w:bottom w:val="single" w:sz="4" w:space="0" w:color="auto"/>
              <w:right w:val="single" w:sz="8" w:space="0" w:color="auto"/>
            </w:tcBorders>
            <w:shd w:val="clear" w:color="auto" w:fill="auto"/>
            <w:noWrap/>
            <w:vAlign w:val="bottom"/>
            <w:hideMark/>
          </w:tcPr>
          <w:p w14:paraId="11589E28"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c>
          <w:tcPr>
            <w:tcW w:w="270" w:type="dxa"/>
            <w:gridSpan w:val="2"/>
            <w:tcBorders>
              <w:top w:val="nil"/>
              <w:left w:val="nil"/>
              <w:bottom w:val="nil"/>
              <w:right w:val="single" w:sz="8" w:space="0" w:color="auto"/>
            </w:tcBorders>
            <w:shd w:val="clear" w:color="auto" w:fill="auto"/>
            <w:noWrap/>
            <w:vAlign w:val="bottom"/>
            <w:hideMark/>
          </w:tcPr>
          <w:p w14:paraId="0FB81829" w14:textId="77777777" w:rsidR="0062742B" w:rsidRPr="00CE1D2F" w:rsidRDefault="0062742B" w:rsidP="0062742B">
            <w:pPr>
              <w:spacing w:after="0" w:line="240" w:lineRule="auto"/>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r>
      <w:tr w:rsidR="00CE1D2F" w:rsidRPr="00CE1D2F" w14:paraId="19B450FE" w14:textId="77777777" w:rsidTr="00CE1D2F">
        <w:trPr>
          <w:trHeight w:val="258"/>
        </w:trPr>
        <w:tc>
          <w:tcPr>
            <w:tcW w:w="535" w:type="dxa"/>
            <w:tcBorders>
              <w:top w:val="nil"/>
              <w:left w:val="single" w:sz="8" w:space="0" w:color="auto"/>
              <w:bottom w:val="single" w:sz="4" w:space="0" w:color="auto"/>
              <w:right w:val="single" w:sz="4" w:space="0" w:color="auto"/>
            </w:tcBorders>
            <w:shd w:val="clear" w:color="auto" w:fill="auto"/>
            <w:noWrap/>
            <w:vAlign w:val="bottom"/>
            <w:hideMark/>
          </w:tcPr>
          <w:p w14:paraId="6723B439"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Allo</w:t>
            </w:r>
          </w:p>
        </w:tc>
        <w:tc>
          <w:tcPr>
            <w:tcW w:w="917" w:type="dxa"/>
            <w:tcBorders>
              <w:top w:val="nil"/>
              <w:left w:val="nil"/>
              <w:bottom w:val="single" w:sz="4" w:space="0" w:color="auto"/>
              <w:right w:val="single" w:sz="4" w:space="0" w:color="auto"/>
            </w:tcBorders>
            <w:shd w:val="clear" w:color="auto" w:fill="auto"/>
            <w:noWrap/>
            <w:vAlign w:val="bottom"/>
            <w:hideMark/>
          </w:tcPr>
          <w:p w14:paraId="5FC5E40B"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4/9/2021</w:t>
            </w:r>
          </w:p>
        </w:tc>
        <w:tc>
          <w:tcPr>
            <w:tcW w:w="738" w:type="dxa"/>
            <w:tcBorders>
              <w:top w:val="nil"/>
              <w:left w:val="nil"/>
              <w:bottom w:val="single" w:sz="4" w:space="0" w:color="auto"/>
              <w:right w:val="single" w:sz="4" w:space="0" w:color="auto"/>
            </w:tcBorders>
            <w:shd w:val="clear" w:color="auto" w:fill="auto"/>
            <w:noWrap/>
            <w:vAlign w:val="bottom"/>
            <w:hideMark/>
          </w:tcPr>
          <w:p w14:paraId="45CA6512"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10</w:t>
            </w:r>
          </w:p>
        </w:tc>
        <w:tc>
          <w:tcPr>
            <w:tcW w:w="753" w:type="dxa"/>
            <w:tcBorders>
              <w:top w:val="nil"/>
              <w:left w:val="nil"/>
              <w:bottom w:val="single" w:sz="4" w:space="0" w:color="auto"/>
              <w:right w:val="single" w:sz="4" w:space="0" w:color="auto"/>
            </w:tcBorders>
            <w:shd w:val="clear" w:color="auto" w:fill="auto"/>
            <w:noWrap/>
            <w:vAlign w:val="bottom"/>
            <w:hideMark/>
          </w:tcPr>
          <w:p w14:paraId="00942CAC"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68</w:t>
            </w:r>
          </w:p>
        </w:tc>
        <w:tc>
          <w:tcPr>
            <w:tcW w:w="860" w:type="dxa"/>
            <w:tcBorders>
              <w:top w:val="nil"/>
              <w:left w:val="nil"/>
              <w:bottom w:val="single" w:sz="4" w:space="0" w:color="auto"/>
              <w:right w:val="single" w:sz="4" w:space="0" w:color="auto"/>
            </w:tcBorders>
            <w:shd w:val="clear" w:color="auto" w:fill="auto"/>
            <w:noWrap/>
            <w:vAlign w:val="bottom"/>
            <w:hideMark/>
          </w:tcPr>
          <w:p w14:paraId="4F8280C0"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100</w:t>
            </w:r>
          </w:p>
        </w:tc>
        <w:tc>
          <w:tcPr>
            <w:tcW w:w="808" w:type="dxa"/>
            <w:tcBorders>
              <w:top w:val="nil"/>
              <w:left w:val="nil"/>
              <w:bottom w:val="single" w:sz="4" w:space="0" w:color="auto"/>
              <w:right w:val="single" w:sz="4" w:space="0" w:color="auto"/>
            </w:tcBorders>
            <w:shd w:val="clear" w:color="auto" w:fill="auto"/>
            <w:noWrap/>
            <w:vAlign w:val="bottom"/>
            <w:hideMark/>
          </w:tcPr>
          <w:p w14:paraId="5C921D6A" w14:textId="77777777" w:rsidR="0062742B" w:rsidRPr="00CE1D2F" w:rsidRDefault="0062742B" w:rsidP="0062742B">
            <w:pPr>
              <w:spacing w:after="0" w:line="240" w:lineRule="auto"/>
              <w:jc w:val="center"/>
              <w:rPr>
                <w:rFonts w:ascii="Arial" w:eastAsia="Times New Roman" w:hAnsi="Arial" w:cs="Arial"/>
                <w:color w:val="000000"/>
                <w:kern w:val="0"/>
                <w:sz w:val="14"/>
                <w:szCs w:val="14"/>
                <w14:ligatures w14:val="none"/>
              </w:rPr>
            </w:pPr>
            <w:r w:rsidRPr="00CE1D2F">
              <w:rPr>
                <w:rFonts w:ascii="Arial" w:eastAsia="Times New Roman" w:hAnsi="Arial" w:cs="Arial"/>
                <w:color w:val="000000"/>
                <w:kern w:val="0"/>
                <w:sz w:val="14"/>
                <w:szCs w:val="14"/>
                <w14:ligatures w14:val="none"/>
              </w:rPr>
              <w:t>8</w:t>
            </w:r>
          </w:p>
        </w:tc>
        <w:tc>
          <w:tcPr>
            <w:tcW w:w="847" w:type="dxa"/>
            <w:tcBorders>
              <w:top w:val="nil"/>
              <w:left w:val="nil"/>
              <w:bottom w:val="single" w:sz="4" w:space="0" w:color="auto"/>
              <w:right w:val="single" w:sz="4" w:space="0" w:color="auto"/>
            </w:tcBorders>
            <w:shd w:val="clear" w:color="auto" w:fill="auto"/>
            <w:noWrap/>
            <w:vAlign w:val="bottom"/>
            <w:hideMark/>
          </w:tcPr>
          <w:p w14:paraId="6C7F64BD"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104</w:t>
            </w:r>
          </w:p>
        </w:tc>
        <w:tc>
          <w:tcPr>
            <w:tcW w:w="730" w:type="dxa"/>
            <w:tcBorders>
              <w:top w:val="nil"/>
              <w:left w:val="nil"/>
              <w:bottom w:val="single" w:sz="4" w:space="0" w:color="auto"/>
              <w:right w:val="single" w:sz="4" w:space="0" w:color="auto"/>
            </w:tcBorders>
            <w:shd w:val="clear" w:color="auto" w:fill="auto"/>
            <w:noWrap/>
            <w:vAlign w:val="bottom"/>
            <w:hideMark/>
          </w:tcPr>
          <w:p w14:paraId="6E48A2D0"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ng/nf</w:t>
            </w:r>
          </w:p>
        </w:tc>
        <w:tc>
          <w:tcPr>
            <w:tcW w:w="627" w:type="dxa"/>
            <w:tcBorders>
              <w:top w:val="nil"/>
              <w:left w:val="nil"/>
              <w:bottom w:val="single" w:sz="4" w:space="0" w:color="auto"/>
              <w:right w:val="single" w:sz="4" w:space="0" w:color="auto"/>
            </w:tcBorders>
            <w:shd w:val="clear" w:color="auto" w:fill="auto"/>
            <w:noWrap/>
            <w:vAlign w:val="bottom"/>
            <w:hideMark/>
          </w:tcPr>
          <w:p w14:paraId="739B0503"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DS</w:t>
            </w:r>
          </w:p>
        </w:tc>
        <w:tc>
          <w:tcPr>
            <w:tcW w:w="870" w:type="dxa"/>
            <w:tcBorders>
              <w:top w:val="nil"/>
              <w:left w:val="nil"/>
              <w:bottom w:val="single" w:sz="4" w:space="0" w:color="auto"/>
              <w:right w:val="single" w:sz="4" w:space="0" w:color="auto"/>
            </w:tcBorders>
            <w:shd w:val="clear" w:color="auto" w:fill="auto"/>
            <w:noWrap/>
            <w:vAlign w:val="bottom"/>
            <w:hideMark/>
          </w:tcPr>
          <w:p w14:paraId="1D1C433F"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615" w:type="dxa"/>
            <w:tcBorders>
              <w:top w:val="nil"/>
              <w:left w:val="nil"/>
              <w:bottom w:val="single" w:sz="4" w:space="0" w:color="auto"/>
              <w:right w:val="single" w:sz="4" w:space="0" w:color="auto"/>
            </w:tcBorders>
            <w:shd w:val="clear" w:color="auto" w:fill="auto"/>
            <w:noWrap/>
            <w:vAlign w:val="bottom"/>
            <w:hideMark/>
          </w:tcPr>
          <w:p w14:paraId="604C84CD"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45" w:type="dxa"/>
            <w:tcBorders>
              <w:top w:val="nil"/>
              <w:left w:val="nil"/>
              <w:bottom w:val="single" w:sz="4" w:space="0" w:color="auto"/>
              <w:right w:val="single" w:sz="4" w:space="0" w:color="auto"/>
            </w:tcBorders>
            <w:shd w:val="clear" w:color="auto" w:fill="auto"/>
            <w:noWrap/>
            <w:vAlign w:val="bottom"/>
            <w:hideMark/>
          </w:tcPr>
          <w:p w14:paraId="728FA029"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65" w:type="dxa"/>
            <w:tcBorders>
              <w:top w:val="nil"/>
              <w:left w:val="nil"/>
              <w:bottom w:val="single" w:sz="4" w:space="0" w:color="auto"/>
              <w:right w:val="single" w:sz="8" w:space="0" w:color="auto"/>
            </w:tcBorders>
            <w:shd w:val="clear" w:color="auto" w:fill="auto"/>
            <w:noWrap/>
            <w:vAlign w:val="bottom"/>
            <w:hideMark/>
          </w:tcPr>
          <w:p w14:paraId="0B00301F"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15</w:t>
            </w:r>
          </w:p>
        </w:tc>
        <w:tc>
          <w:tcPr>
            <w:tcW w:w="270" w:type="dxa"/>
            <w:gridSpan w:val="2"/>
            <w:tcBorders>
              <w:top w:val="nil"/>
              <w:left w:val="nil"/>
              <w:bottom w:val="nil"/>
              <w:right w:val="single" w:sz="8" w:space="0" w:color="auto"/>
            </w:tcBorders>
            <w:shd w:val="clear" w:color="auto" w:fill="auto"/>
            <w:noWrap/>
            <w:vAlign w:val="bottom"/>
            <w:hideMark/>
          </w:tcPr>
          <w:p w14:paraId="2142C60B" w14:textId="77777777" w:rsidR="0062742B" w:rsidRPr="00CE1D2F" w:rsidRDefault="0062742B" w:rsidP="0062742B">
            <w:pPr>
              <w:spacing w:after="0" w:line="240" w:lineRule="auto"/>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r>
      <w:tr w:rsidR="00CE1D2F" w:rsidRPr="00CE1D2F" w14:paraId="30B520F7" w14:textId="77777777" w:rsidTr="00CE1D2F">
        <w:trPr>
          <w:trHeight w:val="258"/>
        </w:trPr>
        <w:tc>
          <w:tcPr>
            <w:tcW w:w="535" w:type="dxa"/>
            <w:tcBorders>
              <w:top w:val="nil"/>
              <w:left w:val="single" w:sz="8" w:space="0" w:color="auto"/>
              <w:bottom w:val="single" w:sz="4" w:space="0" w:color="auto"/>
              <w:right w:val="single" w:sz="4" w:space="0" w:color="auto"/>
            </w:tcBorders>
            <w:shd w:val="clear" w:color="auto" w:fill="auto"/>
            <w:noWrap/>
            <w:vAlign w:val="bottom"/>
            <w:hideMark/>
          </w:tcPr>
          <w:p w14:paraId="3593CE35"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Auto</w:t>
            </w:r>
          </w:p>
        </w:tc>
        <w:tc>
          <w:tcPr>
            <w:tcW w:w="917" w:type="dxa"/>
            <w:tcBorders>
              <w:top w:val="nil"/>
              <w:left w:val="nil"/>
              <w:bottom w:val="single" w:sz="4" w:space="0" w:color="auto"/>
              <w:right w:val="single" w:sz="4" w:space="0" w:color="auto"/>
            </w:tcBorders>
            <w:shd w:val="clear" w:color="auto" w:fill="auto"/>
            <w:noWrap/>
            <w:vAlign w:val="bottom"/>
            <w:hideMark/>
          </w:tcPr>
          <w:p w14:paraId="025A87FF"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4/9/2021</w:t>
            </w:r>
          </w:p>
        </w:tc>
        <w:tc>
          <w:tcPr>
            <w:tcW w:w="738" w:type="dxa"/>
            <w:tcBorders>
              <w:top w:val="nil"/>
              <w:left w:val="nil"/>
              <w:bottom w:val="single" w:sz="4" w:space="0" w:color="auto"/>
              <w:right w:val="single" w:sz="4" w:space="0" w:color="auto"/>
            </w:tcBorders>
            <w:shd w:val="clear" w:color="auto" w:fill="auto"/>
            <w:noWrap/>
            <w:vAlign w:val="bottom"/>
            <w:hideMark/>
          </w:tcPr>
          <w:p w14:paraId="661FF2B6"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15</w:t>
            </w:r>
          </w:p>
        </w:tc>
        <w:tc>
          <w:tcPr>
            <w:tcW w:w="753" w:type="dxa"/>
            <w:tcBorders>
              <w:top w:val="nil"/>
              <w:left w:val="nil"/>
              <w:bottom w:val="single" w:sz="4" w:space="0" w:color="auto"/>
              <w:right w:val="single" w:sz="4" w:space="0" w:color="auto"/>
            </w:tcBorders>
            <w:shd w:val="clear" w:color="auto" w:fill="auto"/>
            <w:noWrap/>
            <w:vAlign w:val="bottom"/>
            <w:hideMark/>
          </w:tcPr>
          <w:p w14:paraId="72AF2F58" w14:textId="77777777" w:rsidR="0062742B" w:rsidRPr="00CE1D2F" w:rsidRDefault="0062742B" w:rsidP="0062742B">
            <w:pPr>
              <w:spacing w:after="0" w:line="240" w:lineRule="auto"/>
              <w:jc w:val="center"/>
              <w:rPr>
                <w:rFonts w:ascii="Arial" w:eastAsia="Times New Roman" w:hAnsi="Arial" w:cs="Arial"/>
                <w:color w:val="000000"/>
                <w:kern w:val="0"/>
                <w:sz w:val="14"/>
                <w:szCs w:val="14"/>
                <w14:ligatures w14:val="none"/>
              </w:rPr>
            </w:pPr>
            <w:r w:rsidRPr="00CE1D2F">
              <w:rPr>
                <w:rFonts w:ascii="Arial" w:eastAsia="Times New Roman" w:hAnsi="Arial" w:cs="Arial"/>
                <w:color w:val="000000"/>
                <w:kern w:val="0"/>
                <w:sz w:val="14"/>
                <w:szCs w:val="14"/>
                <w14:ligatures w14:val="none"/>
              </w:rPr>
              <w:t>86</w:t>
            </w:r>
          </w:p>
        </w:tc>
        <w:tc>
          <w:tcPr>
            <w:tcW w:w="860" w:type="dxa"/>
            <w:tcBorders>
              <w:top w:val="nil"/>
              <w:left w:val="nil"/>
              <w:bottom w:val="single" w:sz="4" w:space="0" w:color="auto"/>
              <w:right w:val="single" w:sz="4" w:space="0" w:color="auto"/>
            </w:tcBorders>
            <w:shd w:val="clear" w:color="auto" w:fill="auto"/>
            <w:noWrap/>
            <w:vAlign w:val="bottom"/>
            <w:hideMark/>
          </w:tcPr>
          <w:p w14:paraId="45B84425"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100</w:t>
            </w:r>
          </w:p>
        </w:tc>
        <w:tc>
          <w:tcPr>
            <w:tcW w:w="808" w:type="dxa"/>
            <w:tcBorders>
              <w:top w:val="nil"/>
              <w:left w:val="nil"/>
              <w:bottom w:val="single" w:sz="4" w:space="0" w:color="auto"/>
              <w:right w:val="single" w:sz="4" w:space="0" w:color="auto"/>
            </w:tcBorders>
            <w:shd w:val="clear" w:color="auto" w:fill="auto"/>
            <w:noWrap/>
            <w:vAlign w:val="bottom"/>
            <w:hideMark/>
          </w:tcPr>
          <w:p w14:paraId="491B1EFA" w14:textId="77777777" w:rsidR="0062742B" w:rsidRPr="00CE1D2F" w:rsidRDefault="0062742B" w:rsidP="0062742B">
            <w:pPr>
              <w:spacing w:after="0" w:line="240" w:lineRule="auto"/>
              <w:jc w:val="center"/>
              <w:rPr>
                <w:rFonts w:ascii="Arial" w:eastAsia="Times New Roman" w:hAnsi="Arial" w:cs="Arial"/>
                <w:color w:val="000000"/>
                <w:kern w:val="0"/>
                <w:sz w:val="14"/>
                <w:szCs w:val="14"/>
                <w14:ligatures w14:val="none"/>
              </w:rPr>
            </w:pPr>
            <w:r w:rsidRPr="00CE1D2F">
              <w:rPr>
                <w:rFonts w:ascii="Arial" w:eastAsia="Times New Roman" w:hAnsi="Arial" w:cs="Arial"/>
                <w:color w:val="000000"/>
                <w:kern w:val="0"/>
                <w:sz w:val="14"/>
                <w:szCs w:val="14"/>
                <w14:ligatures w14:val="none"/>
              </w:rPr>
              <w:t>14</w:t>
            </w:r>
          </w:p>
        </w:tc>
        <w:tc>
          <w:tcPr>
            <w:tcW w:w="847" w:type="dxa"/>
            <w:tcBorders>
              <w:top w:val="nil"/>
              <w:left w:val="nil"/>
              <w:bottom w:val="single" w:sz="4" w:space="0" w:color="auto"/>
              <w:right w:val="single" w:sz="4" w:space="0" w:color="auto"/>
            </w:tcBorders>
            <w:shd w:val="clear" w:color="auto" w:fill="auto"/>
            <w:noWrap/>
            <w:vAlign w:val="bottom"/>
            <w:hideMark/>
          </w:tcPr>
          <w:p w14:paraId="30802700"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98</w:t>
            </w:r>
          </w:p>
        </w:tc>
        <w:tc>
          <w:tcPr>
            <w:tcW w:w="730" w:type="dxa"/>
            <w:tcBorders>
              <w:top w:val="nil"/>
              <w:left w:val="nil"/>
              <w:bottom w:val="single" w:sz="4" w:space="0" w:color="auto"/>
              <w:right w:val="single" w:sz="4" w:space="0" w:color="auto"/>
            </w:tcBorders>
            <w:shd w:val="clear" w:color="auto" w:fill="auto"/>
            <w:noWrap/>
            <w:vAlign w:val="bottom"/>
            <w:hideMark/>
          </w:tcPr>
          <w:p w14:paraId="3F64FE19"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ng/nf</w:t>
            </w:r>
          </w:p>
        </w:tc>
        <w:tc>
          <w:tcPr>
            <w:tcW w:w="627" w:type="dxa"/>
            <w:tcBorders>
              <w:top w:val="nil"/>
              <w:left w:val="nil"/>
              <w:bottom w:val="single" w:sz="4" w:space="0" w:color="auto"/>
              <w:right w:val="single" w:sz="4" w:space="0" w:color="auto"/>
            </w:tcBorders>
            <w:shd w:val="clear" w:color="auto" w:fill="auto"/>
            <w:noWrap/>
            <w:vAlign w:val="bottom"/>
            <w:hideMark/>
          </w:tcPr>
          <w:p w14:paraId="2074C96B"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DS</w:t>
            </w:r>
          </w:p>
        </w:tc>
        <w:tc>
          <w:tcPr>
            <w:tcW w:w="870" w:type="dxa"/>
            <w:tcBorders>
              <w:top w:val="nil"/>
              <w:left w:val="nil"/>
              <w:bottom w:val="single" w:sz="4" w:space="0" w:color="auto"/>
              <w:right w:val="single" w:sz="4" w:space="0" w:color="auto"/>
            </w:tcBorders>
            <w:shd w:val="clear" w:color="auto" w:fill="auto"/>
            <w:noWrap/>
            <w:vAlign w:val="bottom"/>
            <w:hideMark/>
          </w:tcPr>
          <w:p w14:paraId="3B5FDA86"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615" w:type="dxa"/>
            <w:tcBorders>
              <w:top w:val="nil"/>
              <w:left w:val="nil"/>
              <w:bottom w:val="single" w:sz="4" w:space="0" w:color="auto"/>
              <w:right w:val="single" w:sz="4" w:space="0" w:color="auto"/>
            </w:tcBorders>
            <w:shd w:val="clear" w:color="auto" w:fill="auto"/>
            <w:noWrap/>
            <w:vAlign w:val="bottom"/>
            <w:hideMark/>
          </w:tcPr>
          <w:p w14:paraId="674F198C"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45" w:type="dxa"/>
            <w:tcBorders>
              <w:top w:val="nil"/>
              <w:left w:val="nil"/>
              <w:bottom w:val="single" w:sz="4" w:space="0" w:color="auto"/>
              <w:right w:val="single" w:sz="4" w:space="0" w:color="auto"/>
            </w:tcBorders>
            <w:shd w:val="clear" w:color="auto" w:fill="auto"/>
            <w:noWrap/>
            <w:vAlign w:val="bottom"/>
            <w:hideMark/>
          </w:tcPr>
          <w:p w14:paraId="60940C04"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65" w:type="dxa"/>
            <w:tcBorders>
              <w:top w:val="nil"/>
              <w:left w:val="nil"/>
              <w:bottom w:val="single" w:sz="4" w:space="0" w:color="auto"/>
              <w:right w:val="single" w:sz="8" w:space="0" w:color="auto"/>
            </w:tcBorders>
            <w:shd w:val="clear" w:color="auto" w:fill="auto"/>
            <w:noWrap/>
            <w:vAlign w:val="bottom"/>
            <w:hideMark/>
          </w:tcPr>
          <w:p w14:paraId="2A9DCE78"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9</w:t>
            </w:r>
          </w:p>
        </w:tc>
        <w:tc>
          <w:tcPr>
            <w:tcW w:w="270" w:type="dxa"/>
            <w:gridSpan w:val="2"/>
            <w:tcBorders>
              <w:top w:val="nil"/>
              <w:left w:val="nil"/>
              <w:bottom w:val="nil"/>
              <w:right w:val="single" w:sz="8" w:space="0" w:color="auto"/>
            </w:tcBorders>
            <w:shd w:val="clear" w:color="auto" w:fill="auto"/>
            <w:noWrap/>
            <w:vAlign w:val="bottom"/>
            <w:hideMark/>
          </w:tcPr>
          <w:p w14:paraId="0306A358" w14:textId="77777777" w:rsidR="0062742B" w:rsidRPr="00CE1D2F" w:rsidRDefault="0062742B" w:rsidP="0062742B">
            <w:pPr>
              <w:spacing w:after="0" w:line="240" w:lineRule="auto"/>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r>
      <w:tr w:rsidR="00CE1D2F" w:rsidRPr="00CE1D2F" w14:paraId="2CD2E64D" w14:textId="77777777" w:rsidTr="00CE1D2F">
        <w:trPr>
          <w:trHeight w:val="258"/>
        </w:trPr>
        <w:tc>
          <w:tcPr>
            <w:tcW w:w="535" w:type="dxa"/>
            <w:tcBorders>
              <w:top w:val="nil"/>
              <w:left w:val="single" w:sz="8" w:space="0" w:color="auto"/>
              <w:bottom w:val="single" w:sz="4" w:space="0" w:color="auto"/>
              <w:right w:val="single" w:sz="4" w:space="0" w:color="auto"/>
            </w:tcBorders>
            <w:shd w:val="clear" w:color="auto" w:fill="auto"/>
            <w:noWrap/>
            <w:vAlign w:val="bottom"/>
            <w:hideMark/>
          </w:tcPr>
          <w:p w14:paraId="2FBE6DD7"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Auto</w:t>
            </w:r>
          </w:p>
        </w:tc>
        <w:tc>
          <w:tcPr>
            <w:tcW w:w="917" w:type="dxa"/>
            <w:tcBorders>
              <w:top w:val="nil"/>
              <w:left w:val="nil"/>
              <w:bottom w:val="single" w:sz="4" w:space="0" w:color="auto"/>
              <w:right w:val="single" w:sz="4" w:space="0" w:color="auto"/>
            </w:tcBorders>
            <w:shd w:val="clear" w:color="auto" w:fill="auto"/>
            <w:noWrap/>
            <w:vAlign w:val="bottom"/>
            <w:hideMark/>
          </w:tcPr>
          <w:p w14:paraId="37888DE0"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4/9/2021</w:t>
            </w:r>
          </w:p>
        </w:tc>
        <w:tc>
          <w:tcPr>
            <w:tcW w:w="738" w:type="dxa"/>
            <w:tcBorders>
              <w:top w:val="nil"/>
              <w:left w:val="nil"/>
              <w:bottom w:val="single" w:sz="4" w:space="0" w:color="auto"/>
              <w:right w:val="single" w:sz="4" w:space="0" w:color="auto"/>
            </w:tcBorders>
            <w:shd w:val="clear" w:color="auto" w:fill="auto"/>
            <w:noWrap/>
            <w:vAlign w:val="bottom"/>
            <w:hideMark/>
          </w:tcPr>
          <w:p w14:paraId="0CB789C5"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15</w:t>
            </w:r>
          </w:p>
        </w:tc>
        <w:tc>
          <w:tcPr>
            <w:tcW w:w="753" w:type="dxa"/>
            <w:tcBorders>
              <w:top w:val="nil"/>
              <w:left w:val="nil"/>
              <w:bottom w:val="single" w:sz="4" w:space="0" w:color="auto"/>
              <w:right w:val="single" w:sz="4" w:space="0" w:color="auto"/>
            </w:tcBorders>
            <w:shd w:val="clear" w:color="auto" w:fill="auto"/>
            <w:noWrap/>
            <w:vAlign w:val="bottom"/>
            <w:hideMark/>
          </w:tcPr>
          <w:p w14:paraId="782CF14D" w14:textId="77777777" w:rsidR="0062742B" w:rsidRPr="00CE1D2F" w:rsidRDefault="0062742B" w:rsidP="0062742B">
            <w:pPr>
              <w:spacing w:after="0" w:line="240" w:lineRule="auto"/>
              <w:jc w:val="center"/>
              <w:rPr>
                <w:rFonts w:ascii="Arial" w:eastAsia="Times New Roman" w:hAnsi="Arial" w:cs="Arial"/>
                <w:color w:val="000000"/>
                <w:kern w:val="0"/>
                <w:sz w:val="14"/>
                <w:szCs w:val="14"/>
                <w14:ligatures w14:val="none"/>
              </w:rPr>
            </w:pPr>
            <w:r w:rsidRPr="00CE1D2F">
              <w:rPr>
                <w:rFonts w:ascii="Arial" w:eastAsia="Times New Roman" w:hAnsi="Arial" w:cs="Arial"/>
                <w:color w:val="000000"/>
                <w:kern w:val="0"/>
                <w:sz w:val="14"/>
                <w:szCs w:val="14"/>
                <w14:ligatures w14:val="none"/>
              </w:rPr>
              <w:t>83</w:t>
            </w:r>
          </w:p>
        </w:tc>
        <w:tc>
          <w:tcPr>
            <w:tcW w:w="860" w:type="dxa"/>
            <w:tcBorders>
              <w:top w:val="nil"/>
              <w:left w:val="nil"/>
              <w:bottom w:val="single" w:sz="4" w:space="0" w:color="auto"/>
              <w:right w:val="single" w:sz="4" w:space="0" w:color="auto"/>
            </w:tcBorders>
            <w:shd w:val="clear" w:color="auto" w:fill="auto"/>
            <w:noWrap/>
            <w:vAlign w:val="bottom"/>
            <w:hideMark/>
          </w:tcPr>
          <w:p w14:paraId="6F3213A7"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100</w:t>
            </w:r>
          </w:p>
        </w:tc>
        <w:tc>
          <w:tcPr>
            <w:tcW w:w="808" w:type="dxa"/>
            <w:tcBorders>
              <w:top w:val="nil"/>
              <w:left w:val="nil"/>
              <w:bottom w:val="single" w:sz="4" w:space="0" w:color="auto"/>
              <w:right w:val="single" w:sz="4" w:space="0" w:color="auto"/>
            </w:tcBorders>
            <w:shd w:val="clear" w:color="auto" w:fill="auto"/>
            <w:noWrap/>
            <w:vAlign w:val="bottom"/>
            <w:hideMark/>
          </w:tcPr>
          <w:p w14:paraId="6F28D118" w14:textId="77777777" w:rsidR="0062742B" w:rsidRPr="00CE1D2F" w:rsidRDefault="0062742B" w:rsidP="0062742B">
            <w:pPr>
              <w:spacing w:after="0" w:line="240" w:lineRule="auto"/>
              <w:jc w:val="center"/>
              <w:rPr>
                <w:rFonts w:ascii="Arial" w:eastAsia="Times New Roman" w:hAnsi="Arial" w:cs="Arial"/>
                <w:color w:val="000000"/>
                <w:kern w:val="0"/>
                <w:sz w:val="14"/>
                <w:szCs w:val="14"/>
                <w14:ligatures w14:val="none"/>
              </w:rPr>
            </w:pPr>
            <w:r w:rsidRPr="00CE1D2F">
              <w:rPr>
                <w:rFonts w:ascii="Arial" w:eastAsia="Times New Roman" w:hAnsi="Arial" w:cs="Arial"/>
                <w:color w:val="000000"/>
                <w:kern w:val="0"/>
                <w:sz w:val="14"/>
                <w:szCs w:val="14"/>
                <w14:ligatures w14:val="none"/>
              </w:rPr>
              <w:t>306</w:t>
            </w:r>
          </w:p>
        </w:tc>
        <w:tc>
          <w:tcPr>
            <w:tcW w:w="847" w:type="dxa"/>
            <w:tcBorders>
              <w:top w:val="nil"/>
              <w:left w:val="nil"/>
              <w:bottom w:val="single" w:sz="4" w:space="0" w:color="auto"/>
              <w:right w:val="single" w:sz="4" w:space="0" w:color="auto"/>
            </w:tcBorders>
            <w:shd w:val="clear" w:color="auto" w:fill="auto"/>
            <w:noWrap/>
            <w:vAlign w:val="bottom"/>
            <w:hideMark/>
          </w:tcPr>
          <w:p w14:paraId="0BEA876C"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88</w:t>
            </w:r>
          </w:p>
        </w:tc>
        <w:tc>
          <w:tcPr>
            <w:tcW w:w="730" w:type="dxa"/>
            <w:tcBorders>
              <w:top w:val="nil"/>
              <w:left w:val="nil"/>
              <w:bottom w:val="single" w:sz="4" w:space="0" w:color="auto"/>
              <w:right w:val="single" w:sz="4" w:space="0" w:color="auto"/>
            </w:tcBorders>
            <w:shd w:val="clear" w:color="auto" w:fill="auto"/>
            <w:noWrap/>
            <w:vAlign w:val="bottom"/>
            <w:hideMark/>
          </w:tcPr>
          <w:p w14:paraId="3F59FDE5"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ng/nf</w:t>
            </w:r>
          </w:p>
        </w:tc>
        <w:tc>
          <w:tcPr>
            <w:tcW w:w="627" w:type="dxa"/>
            <w:tcBorders>
              <w:top w:val="nil"/>
              <w:left w:val="nil"/>
              <w:bottom w:val="single" w:sz="4" w:space="0" w:color="auto"/>
              <w:right w:val="single" w:sz="4" w:space="0" w:color="auto"/>
            </w:tcBorders>
            <w:shd w:val="clear" w:color="auto" w:fill="auto"/>
            <w:noWrap/>
            <w:vAlign w:val="bottom"/>
            <w:hideMark/>
          </w:tcPr>
          <w:p w14:paraId="7A6E14DA"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DS</w:t>
            </w:r>
          </w:p>
        </w:tc>
        <w:tc>
          <w:tcPr>
            <w:tcW w:w="870" w:type="dxa"/>
            <w:tcBorders>
              <w:top w:val="nil"/>
              <w:left w:val="nil"/>
              <w:bottom w:val="single" w:sz="4" w:space="0" w:color="auto"/>
              <w:right w:val="single" w:sz="4" w:space="0" w:color="auto"/>
            </w:tcBorders>
            <w:shd w:val="clear" w:color="auto" w:fill="auto"/>
            <w:noWrap/>
            <w:vAlign w:val="bottom"/>
            <w:hideMark/>
          </w:tcPr>
          <w:p w14:paraId="6C22E727"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615" w:type="dxa"/>
            <w:tcBorders>
              <w:top w:val="nil"/>
              <w:left w:val="nil"/>
              <w:bottom w:val="single" w:sz="4" w:space="0" w:color="auto"/>
              <w:right w:val="single" w:sz="4" w:space="0" w:color="auto"/>
            </w:tcBorders>
            <w:shd w:val="clear" w:color="auto" w:fill="auto"/>
            <w:noWrap/>
            <w:vAlign w:val="bottom"/>
            <w:hideMark/>
          </w:tcPr>
          <w:p w14:paraId="120ABC08"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45" w:type="dxa"/>
            <w:tcBorders>
              <w:top w:val="nil"/>
              <w:left w:val="nil"/>
              <w:bottom w:val="single" w:sz="4" w:space="0" w:color="auto"/>
              <w:right w:val="single" w:sz="4" w:space="0" w:color="auto"/>
            </w:tcBorders>
            <w:shd w:val="clear" w:color="auto" w:fill="auto"/>
            <w:noWrap/>
            <w:vAlign w:val="bottom"/>
            <w:hideMark/>
          </w:tcPr>
          <w:p w14:paraId="40DC31EF"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65" w:type="dxa"/>
            <w:tcBorders>
              <w:top w:val="nil"/>
              <w:left w:val="nil"/>
              <w:bottom w:val="single" w:sz="4" w:space="0" w:color="auto"/>
              <w:right w:val="single" w:sz="8" w:space="0" w:color="auto"/>
            </w:tcBorders>
            <w:shd w:val="clear" w:color="auto" w:fill="auto"/>
            <w:noWrap/>
            <w:vAlign w:val="bottom"/>
            <w:hideMark/>
          </w:tcPr>
          <w:p w14:paraId="5A746C0C"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4 and 9</w:t>
            </w:r>
          </w:p>
        </w:tc>
        <w:tc>
          <w:tcPr>
            <w:tcW w:w="270" w:type="dxa"/>
            <w:gridSpan w:val="2"/>
            <w:tcBorders>
              <w:top w:val="nil"/>
              <w:left w:val="nil"/>
              <w:bottom w:val="nil"/>
              <w:right w:val="single" w:sz="8" w:space="0" w:color="auto"/>
            </w:tcBorders>
            <w:shd w:val="clear" w:color="auto" w:fill="auto"/>
            <w:noWrap/>
            <w:vAlign w:val="bottom"/>
            <w:hideMark/>
          </w:tcPr>
          <w:p w14:paraId="3F61FA7A" w14:textId="77777777" w:rsidR="0062742B" w:rsidRPr="00CE1D2F" w:rsidRDefault="0062742B" w:rsidP="0062742B">
            <w:pPr>
              <w:spacing w:after="0" w:line="240" w:lineRule="auto"/>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r>
      <w:tr w:rsidR="00CE1D2F" w:rsidRPr="00CE1D2F" w14:paraId="21D959A9" w14:textId="77777777" w:rsidTr="00CE1D2F">
        <w:trPr>
          <w:trHeight w:val="258"/>
        </w:trPr>
        <w:tc>
          <w:tcPr>
            <w:tcW w:w="535" w:type="dxa"/>
            <w:tcBorders>
              <w:top w:val="nil"/>
              <w:left w:val="single" w:sz="8" w:space="0" w:color="auto"/>
              <w:bottom w:val="single" w:sz="4" w:space="0" w:color="auto"/>
              <w:right w:val="single" w:sz="4" w:space="0" w:color="auto"/>
            </w:tcBorders>
            <w:shd w:val="clear" w:color="auto" w:fill="auto"/>
            <w:noWrap/>
            <w:vAlign w:val="bottom"/>
            <w:hideMark/>
          </w:tcPr>
          <w:p w14:paraId="31D9D27E"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Auto</w:t>
            </w:r>
          </w:p>
        </w:tc>
        <w:tc>
          <w:tcPr>
            <w:tcW w:w="917" w:type="dxa"/>
            <w:tcBorders>
              <w:top w:val="nil"/>
              <w:left w:val="nil"/>
              <w:bottom w:val="single" w:sz="4" w:space="0" w:color="auto"/>
              <w:right w:val="single" w:sz="4" w:space="0" w:color="auto"/>
            </w:tcBorders>
            <w:shd w:val="clear" w:color="auto" w:fill="auto"/>
            <w:noWrap/>
            <w:vAlign w:val="bottom"/>
            <w:hideMark/>
          </w:tcPr>
          <w:p w14:paraId="0C6D004C"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10/26/2021</w:t>
            </w:r>
          </w:p>
        </w:tc>
        <w:tc>
          <w:tcPr>
            <w:tcW w:w="738" w:type="dxa"/>
            <w:tcBorders>
              <w:top w:val="nil"/>
              <w:left w:val="nil"/>
              <w:bottom w:val="single" w:sz="4" w:space="0" w:color="auto"/>
              <w:right w:val="single" w:sz="4" w:space="0" w:color="auto"/>
            </w:tcBorders>
            <w:shd w:val="clear" w:color="auto" w:fill="auto"/>
            <w:noWrap/>
            <w:vAlign w:val="bottom"/>
            <w:hideMark/>
          </w:tcPr>
          <w:p w14:paraId="4CB112E4"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15</w:t>
            </w:r>
          </w:p>
        </w:tc>
        <w:tc>
          <w:tcPr>
            <w:tcW w:w="753" w:type="dxa"/>
            <w:tcBorders>
              <w:top w:val="nil"/>
              <w:left w:val="nil"/>
              <w:bottom w:val="single" w:sz="4" w:space="0" w:color="auto"/>
              <w:right w:val="single" w:sz="4" w:space="0" w:color="auto"/>
            </w:tcBorders>
            <w:shd w:val="clear" w:color="auto" w:fill="auto"/>
            <w:noWrap/>
            <w:vAlign w:val="bottom"/>
            <w:hideMark/>
          </w:tcPr>
          <w:p w14:paraId="402E7FE8"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80</w:t>
            </w:r>
          </w:p>
        </w:tc>
        <w:tc>
          <w:tcPr>
            <w:tcW w:w="860" w:type="dxa"/>
            <w:tcBorders>
              <w:top w:val="nil"/>
              <w:left w:val="nil"/>
              <w:bottom w:val="single" w:sz="4" w:space="0" w:color="auto"/>
              <w:right w:val="single" w:sz="4" w:space="0" w:color="auto"/>
            </w:tcBorders>
            <w:shd w:val="clear" w:color="auto" w:fill="auto"/>
            <w:noWrap/>
            <w:vAlign w:val="bottom"/>
            <w:hideMark/>
          </w:tcPr>
          <w:p w14:paraId="52EDC145"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100</w:t>
            </w:r>
          </w:p>
        </w:tc>
        <w:tc>
          <w:tcPr>
            <w:tcW w:w="808" w:type="dxa"/>
            <w:tcBorders>
              <w:top w:val="nil"/>
              <w:left w:val="nil"/>
              <w:bottom w:val="single" w:sz="4" w:space="0" w:color="auto"/>
              <w:right w:val="single" w:sz="4" w:space="0" w:color="auto"/>
            </w:tcBorders>
            <w:shd w:val="clear" w:color="auto" w:fill="auto"/>
            <w:noWrap/>
            <w:vAlign w:val="bottom"/>
            <w:hideMark/>
          </w:tcPr>
          <w:p w14:paraId="061C53AE"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59</w:t>
            </w:r>
          </w:p>
        </w:tc>
        <w:tc>
          <w:tcPr>
            <w:tcW w:w="847" w:type="dxa"/>
            <w:tcBorders>
              <w:top w:val="nil"/>
              <w:left w:val="nil"/>
              <w:bottom w:val="single" w:sz="4" w:space="0" w:color="auto"/>
              <w:right w:val="single" w:sz="4" w:space="0" w:color="auto"/>
            </w:tcBorders>
            <w:shd w:val="clear" w:color="auto" w:fill="auto"/>
            <w:noWrap/>
            <w:vAlign w:val="bottom"/>
            <w:hideMark/>
          </w:tcPr>
          <w:p w14:paraId="07C2E500"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75</w:t>
            </w:r>
          </w:p>
        </w:tc>
        <w:tc>
          <w:tcPr>
            <w:tcW w:w="730" w:type="dxa"/>
            <w:tcBorders>
              <w:top w:val="nil"/>
              <w:left w:val="nil"/>
              <w:bottom w:val="single" w:sz="4" w:space="0" w:color="auto"/>
              <w:right w:val="single" w:sz="4" w:space="0" w:color="auto"/>
            </w:tcBorders>
            <w:shd w:val="clear" w:color="auto" w:fill="auto"/>
            <w:noWrap/>
            <w:vAlign w:val="bottom"/>
            <w:hideMark/>
          </w:tcPr>
          <w:p w14:paraId="5AD7D99C"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ng/nf</w:t>
            </w:r>
          </w:p>
        </w:tc>
        <w:tc>
          <w:tcPr>
            <w:tcW w:w="627" w:type="dxa"/>
            <w:tcBorders>
              <w:top w:val="nil"/>
              <w:left w:val="nil"/>
              <w:bottom w:val="single" w:sz="4" w:space="0" w:color="auto"/>
              <w:right w:val="single" w:sz="4" w:space="0" w:color="auto"/>
            </w:tcBorders>
            <w:shd w:val="clear" w:color="auto" w:fill="auto"/>
            <w:noWrap/>
            <w:vAlign w:val="bottom"/>
            <w:hideMark/>
          </w:tcPr>
          <w:p w14:paraId="25C420BF"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DS</w:t>
            </w:r>
          </w:p>
        </w:tc>
        <w:tc>
          <w:tcPr>
            <w:tcW w:w="870" w:type="dxa"/>
            <w:tcBorders>
              <w:top w:val="nil"/>
              <w:left w:val="nil"/>
              <w:bottom w:val="single" w:sz="4" w:space="0" w:color="auto"/>
              <w:right w:val="single" w:sz="4" w:space="0" w:color="auto"/>
            </w:tcBorders>
            <w:shd w:val="clear" w:color="auto" w:fill="auto"/>
            <w:noWrap/>
            <w:vAlign w:val="bottom"/>
            <w:hideMark/>
          </w:tcPr>
          <w:p w14:paraId="70290884"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615" w:type="dxa"/>
            <w:tcBorders>
              <w:top w:val="nil"/>
              <w:left w:val="nil"/>
              <w:bottom w:val="single" w:sz="4" w:space="0" w:color="auto"/>
              <w:right w:val="single" w:sz="4" w:space="0" w:color="auto"/>
            </w:tcBorders>
            <w:shd w:val="clear" w:color="auto" w:fill="auto"/>
            <w:noWrap/>
            <w:vAlign w:val="bottom"/>
            <w:hideMark/>
          </w:tcPr>
          <w:p w14:paraId="71389494"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45" w:type="dxa"/>
            <w:tcBorders>
              <w:top w:val="nil"/>
              <w:left w:val="nil"/>
              <w:bottom w:val="single" w:sz="4" w:space="0" w:color="auto"/>
              <w:right w:val="single" w:sz="4" w:space="0" w:color="auto"/>
            </w:tcBorders>
            <w:shd w:val="clear" w:color="auto" w:fill="auto"/>
            <w:noWrap/>
            <w:vAlign w:val="bottom"/>
            <w:hideMark/>
          </w:tcPr>
          <w:p w14:paraId="22A8EFDF"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65" w:type="dxa"/>
            <w:tcBorders>
              <w:top w:val="nil"/>
              <w:left w:val="nil"/>
              <w:bottom w:val="single" w:sz="4" w:space="0" w:color="auto"/>
              <w:right w:val="single" w:sz="8" w:space="0" w:color="auto"/>
            </w:tcBorders>
            <w:shd w:val="clear" w:color="auto" w:fill="auto"/>
            <w:noWrap/>
            <w:vAlign w:val="bottom"/>
            <w:hideMark/>
          </w:tcPr>
          <w:p w14:paraId="46070C76"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9</w:t>
            </w:r>
          </w:p>
        </w:tc>
        <w:tc>
          <w:tcPr>
            <w:tcW w:w="270" w:type="dxa"/>
            <w:gridSpan w:val="2"/>
            <w:tcBorders>
              <w:top w:val="nil"/>
              <w:left w:val="nil"/>
              <w:bottom w:val="nil"/>
              <w:right w:val="single" w:sz="8" w:space="0" w:color="auto"/>
            </w:tcBorders>
            <w:shd w:val="clear" w:color="auto" w:fill="auto"/>
            <w:noWrap/>
            <w:vAlign w:val="bottom"/>
            <w:hideMark/>
          </w:tcPr>
          <w:p w14:paraId="1775EB87" w14:textId="77777777" w:rsidR="0062742B" w:rsidRPr="00CE1D2F" w:rsidRDefault="0062742B" w:rsidP="0062742B">
            <w:pPr>
              <w:spacing w:after="0" w:line="240" w:lineRule="auto"/>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r>
      <w:tr w:rsidR="00CE1D2F" w:rsidRPr="00CE1D2F" w14:paraId="16B07206" w14:textId="77777777" w:rsidTr="00CE1D2F">
        <w:trPr>
          <w:trHeight w:val="273"/>
        </w:trPr>
        <w:tc>
          <w:tcPr>
            <w:tcW w:w="535" w:type="dxa"/>
            <w:tcBorders>
              <w:top w:val="nil"/>
              <w:left w:val="single" w:sz="8" w:space="0" w:color="auto"/>
              <w:bottom w:val="single" w:sz="8" w:space="0" w:color="auto"/>
              <w:right w:val="single" w:sz="4" w:space="0" w:color="auto"/>
            </w:tcBorders>
            <w:shd w:val="clear" w:color="auto" w:fill="auto"/>
            <w:noWrap/>
            <w:vAlign w:val="bottom"/>
            <w:hideMark/>
          </w:tcPr>
          <w:p w14:paraId="2A51640A"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Auto</w:t>
            </w:r>
          </w:p>
        </w:tc>
        <w:tc>
          <w:tcPr>
            <w:tcW w:w="917" w:type="dxa"/>
            <w:tcBorders>
              <w:top w:val="nil"/>
              <w:left w:val="nil"/>
              <w:bottom w:val="single" w:sz="8" w:space="0" w:color="auto"/>
              <w:right w:val="single" w:sz="4" w:space="0" w:color="auto"/>
            </w:tcBorders>
            <w:shd w:val="clear" w:color="auto" w:fill="auto"/>
            <w:noWrap/>
            <w:vAlign w:val="bottom"/>
            <w:hideMark/>
          </w:tcPr>
          <w:p w14:paraId="0F779D97"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10/26/2021</w:t>
            </w:r>
          </w:p>
        </w:tc>
        <w:tc>
          <w:tcPr>
            <w:tcW w:w="738" w:type="dxa"/>
            <w:tcBorders>
              <w:top w:val="nil"/>
              <w:left w:val="nil"/>
              <w:bottom w:val="single" w:sz="8" w:space="0" w:color="auto"/>
              <w:right w:val="single" w:sz="4" w:space="0" w:color="auto"/>
            </w:tcBorders>
            <w:shd w:val="clear" w:color="auto" w:fill="auto"/>
            <w:noWrap/>
            <w:vAlign w:val="bottom"/>
            <w:hideMark/>
          </w:tcPr>
          <w:p w14:paraId="7AE5680B"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18</w:t>
            </w:r>
          </w:p>
        </w:tc>
        <w:tc>
          <w:tcPr>
            <w:tcW w:w="753" w:type="dxa"/>
            <w:tcBorders>
              <w:top w:val="nil"/>
              <w:left w:val="nil"/>
              <w:bottom w:val="single" w:sz="8" w:space="0" w:color="auto"/>
              <w:right w:val="single" w:sz="4" w:space="0" w:color="auto"/>
            </w:tcBorders>
            <w:shd w:val="clear" w:color="auto" w:fill="auto"/>
            <w:noWrap/>
            <w:vAlign w:val="bottom"/>
            <w:hideMark/>
          </w:tcPr>
          <w:p w14:paraId="4DD5650E"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84</w:t>
            </w:r>
          </w:p>
        </w:tc>
        <w:tc>
          <w:tcPr>
            <w:tcW w:w="860" w:type="dxa"/>
            <w:tcBorders>
              <w:top w:val="nil"/>
              <w:left w:val="nil"/>
              <w:bottom w:val="single" w:sz="8" w:space="0" w:color="auto"/>
              <w:right w:val="single" w:sz="4" w:space="0" w:color="auto"/>
            </w:tcBorders>
            <w:shd w:val="clear" w:color="auto" w:fill="auto"/>
            <w:noWrap/>
            <w:vAlign w:val="bottom"/>
            <w:hideMark/>
          </w:tcPr>
          <w:p w14:paraId="0E92BC0E"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100</w:t>
            </w:r>
          </w:p>
        </w:tc>
        <w:tc>
          <w:tcPr>
            <w:tcW w:w="808" w:type="dxa"/>
            <w:tcBorders>
              <w:top w:val="nil"/>
              <w:left w:val="nil"/>
              <w:bottom w:val="single" w:sz="8" w:space="0" w:color="auto"/>
              <w:right w:val="single" w:sz="4" w:space="0" w:color="auto"/>
            </w:tcBorders>
            <w:shd w:val="clear" w:color="auto" w:fill="auto"/>
            <w:noWrap/>
            <w:vAlign w:val="bottom"/>
            <w:hideMark/>
          </w:tcPr>
          <w:p w14:paraId="2E452321"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62</w:t>
            </w:r>
          </w:p>
        </w:tc>
        <w:tc>
          <w:tcPr>
            <w:tcW w:w="847" w:type="dxa"/>
            <w:tcBorders>
              <w:top w:val="nil"/>
              <w:left w:val="nil"/>
              <w:bottom w:val="single" w:sz="8" w:space="0" w:color="auto"/>
              <w:right w:val="single" w:sz="4" w:space="0" w:color="auto"/>
            </w:tcBorders>
            <w:shd w:val="clear" w:color="auto" w:fill="auto"/>
            <w:noWrap/>
            <w:vAlign w:val="bottom"/>
            <w:hideMark/>
          </w:tcPr>
          <w:p w14:paraId="2D616BC0"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83</w:t>
            </w:r>
          </w:p>
        </w:tc>
        <w:tc>
          <w:tcPr>
            <w:tcW w:w="730" w:type="dxa"/>
            <w:tcBorders>
              <w:top w:val="nil"/>
              <w:left w:val="nil"/>
              <w:bottom w:val="single" w:sz="8" w:space="0" w:color="auto"/>
              <w:right w:val="single" w:sz="4" w:space="0" w:color="auto"/>
            </w:tcBorders>
            <w:shd w:val="clear" w:color="auto" w:fill="auto"/>
            <w:noWrap/>
            <w:vAlign w:val="bottom"/>
            <w:hideMark/>
          </w:tcPr>
          <w:p w14:paraId="0D6F7886"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ng/nf</w:t>
            </w:r>
          </w:p>
        </w:tc>
        <w:tc>
          <w:tcPr>
            <w:tcW w:w="627" w:type="dxa"/>
            <w:tcBorders>
              <w:top w:val="nil"/>
              <w:left w:val="nil"/>
              <w:bottom w:val="single" w:sz="8" w:space="0" w:color="auto"/>
              <w:right w:val="single" w:sz="4" w:space="0" w:color="auto"/>
            </w:tcBorders>
            <w:shd w:val="clear" w:color="auto" w:fill="auto"/>
            <w:noWrap/>
            <w:vAlign w:val="bottom"/>
            <w:hideMark/>
          </w:tcPr>
          <w:p w14:paraId="086F6302"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DS</w:t>
            </w:r>
          </w:p>
        </w:tc>
        <w:tc>
          <w:tcPr>
            <w:tcW w:w="870" w:type="dxa"/>
            <w:tcBorders>
              <w:top w:val="nil"/>
              <w:left w:val="nil"/>
              <w:bottom w:val="single" w:sz="8" w:space="0" w:color="auto"/>
              <w:right w:val="single" w:sz="4" w:space="0" w:color="auto"/>
            </w:tcBorders>
            <w:shd w:val="clear" w:color="auto" w:fill="auto"/>
            <w:noWrap/>
            <w:vAlign w:val="bottom"/>
            <w:hideMark/>
          </w:tcPr>
          <w:p w14:paraId="3435EB4A"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615" w:type="dxa"/>
            <w:tcBorders>
              <w:top w:val="nil"/>
              <w:left w:val="nil"/>
              <w:bottom w:val="single" w:sz="8" w:space="0" w:color="auto"/>
              <w:right w:val="single" w:sz="4" w:space="0" w:color="auto"/>
            </w:tcBorders>
            <w:shd w:val="clear" w:color="auto" w:fill="auto"/>
            <w:noWrap/>
            <w:vAlign w:val="bottom"/>
            <w:hideMark/>
          </w:tcPr>
          <w:p w14:paraId="13904C21"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45" w:type="dxa"/>
            <w:tcBorders>
              <w:top w:val="nil"/>
              <w:left w:val="nil"/>
              <w:bottom w:val="single" w:sz="8" w:space="0" w:color="auto"/>
              <w:right w:val="single" w:sz="4" w:space="0" w:color="auto"/>
            </w:tcBorders>
            <w:shd w:val="clear" w:color="auto" w:fill="auto"/>
            <w:noWrap/>
            <w:vAlign w:val="bottom"/>
            <w:hideMark/>
          </w:tcPr>
          <w:p w14:paraId="21C54417"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65" w:type="dxa"/>
            <w:tcBorders>
              <w:top w:val="nil"/>
              <w:left w:val="nil"/>
              <w:bottom w:val="single" w:sz="8" w:space="0" w:color="auto"/>
              <w:right w:val="single" w:sz="8" w:space="0" w:color="auto"/>
            </w:tcBorders>
            <w:shd w:val="clear" w:color="auto" w:fill="auto"/>
            <w:noWrap/>
            <w:vAlign w:val="bottom"/>
            <w:hideMark/>
          </w:tcPr>
          <w:p w14:paraId="27D1DF61"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9</w:t>
            </w:r>
          </w:p>
        </w:tc>
        <w:tc>
          <w:tcPr>
            <w:tcW w:w="270" w:type="dxa"/>
            <w:gridSpan w:val="2"/>
            <w:tcBorders>
              <w:top w:val="nil"/>
              <w:left w:val="nil"/>
              <w:bottom w:val="single" w:sz="8" w:space="0" w:color="auto"/>
              <w:right w:val="single" w:sz="8" w:space="0" w:color="auto"/>
            </w:tcBorders>
            <w:shd w:val="clear" w:color="auto" w:fill="auto"/>
            <w:noWrap/>
            <w:vAlign w:val="bottom"/>
            <w:hideMark/>
          </w:tcPr>
          <w:p w14:paraId="3973487B" w14:textId="77777777" w:rsidR="0062742B" w:rsidRPr="00CE1D2F" w:rsidRDefault="0062742B" w:rsidP="0062742B">
            <w:pPr>
              <w:spacing w:after="0" w:line="240" w:lineRule="auto"/>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r>
      <w:tr w:rsidR="00CE1D2F" w:rsidRPr="00CE1D2F" w14:paraId="24F67854" w14:textId="77777777" w:rsidTr="00CE1D2F">
        <w:trPr>
          <w:trHeight w:val="258"/>
        </w:trPr>
        <w:tc>
          <w:tcPr>
            <w:tcW w:w="535" w:type="dxa"/>
            <w:tcBorders>
              <w:top w:val="nil"/>
              <w:left w:val="single" w:sz="8" w:space="0" w:color="auto"/>
              <w:bottom w:val="nil"/>
              <w:right w:val="nil"/>
            </w:tcBorders>
            <w:shd w:val="clear" w:color="auto" w:fill="auto"/>
            <w:noWrap/>
            <w:vAlign w:val="bottom"/>
            <w:hideMark/>
          </w:tcPr>
          <w:p w14:paraId="0A1313C5"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c>
          <w:tcPr>
            <w:tcW w:w="917" w:type="dxa"/>
            <w:tcBorders>
              <w:top w:val="nil"/>
              <w:left w:val="nil"/>
              <w:bottom w:val="nil"/>
              <w:right w:val="nil"/>
            </w:tcBorders>
            <w:shd w:val="clear" w:color="auto" w:fill="auto"/>
            <w:noWrap/>
            <w:vAlign w:val="bottom"/>
            <w:hideMark/>
          </w:tcPr>
          <w:p w14:paraId="18EA19E7"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p>
        </w:tc>
        <w:tc>
          <w:tcPr>
            <w:tcW w:w="738" w:type="dxa"/>
            <w:tcBorders>
              <w:top w:val="nil"/>
              <w:left w:val="nil"/>
              <w:bottom w:val="nil"/>
              <w:right w:val="nil"/>
            </w:tcBorders>
            <w:shd w:val="clear" w:color="auto" w:fill="auto"/>
            <w:noWrap/>
            <w:vAlign w:val="bottom"/>
            <w:hideMark/>
          </w:tcPr>
          <w:p w14:paraId="67F06245" w14:textId="77777777" w:rsidR="0062742B" w:rsidRPr="00CE1D2F" w:rsidRDefault="0062742B" w:rsidP="0062742B">
            <w:pPr>
              <w:spacing w:after="0" w:line="240" w:lineRule="auto"/>
              <w:jc w:val="center"/>
              <w:rPr>
                <w:rFonts w:ascii="Times New Roman" w:eastAsia="Times New Roman" w:hAnsi="Times New Roman" w:cs="Times New Roman"/>
                <w:kern w:val="0"/>
                <w:sz w:val="14"/>
                <w:szCs w:val="14"/>
                <w14:ligatures w14:val="none"/>
              </w:rPr>
            </w:pPr>
          </w:p>
        </w:tc>
        <w:tc>
          <w:tcPr>
            <w:tcW w:w="753" w:type="dxa"/>
            <w:tcBorders>
              <w:top w:val="nil"/>
              <w:left w:val="nil"/>
              <w:bottom w:val="nil"/>
              <w:right w:val="nil"/>
            </w:tcBorders>
            <w:shd w:val="clear" w:color="auto" w:fill="auto"/>
            <w:noWrap/>
            <w:vAlign w:val="bottom"/>
            <w:hideMark/>
          </w:tcPr>
          <w:p w14:paraId="0BF6E97B" w14:textId="77777777" w:rsidR="0062742B" w:rsidRPr="00CE1D2F" w:rsidRDefault="0062742B" w:rsidP="0062742B">
            <w:pPr>
              <w:spacing w:after="0" w:line="240" w:lineRule="auto"/>
              <w:jc w:val="center"/>
              <w:rPr>
                <w:rFonts w:ascii="Times New Roman" w:eastAsia="Times New Roman" w:hAnsi="Times New Roman" w:cs="Times New Roman"/>
                <w:kern w:val="0"/>
                <w:sz w:val="14"/>
                <w:szCs w:val="14"/>
                <w14:ligatures w14:val="none"/>
              </w:rPr>
            </w:pPr>
          </w:p>
        </w:tc>
        <w:tc>
          <w:tcPr>
            <w:tcW w:w="860" w:type="dxa"/>
            <w:tcBorders>
              <w:top w:val="nil"/>
              <w:left w:val="nil"/>
              <w:bottom w:val="nil"/>
              <w:right w:val="nil"/>
            </w:tcBorders>
            <w:shd w:val="clear" w:color="auto" w:fill="auto"/>
            <w:noWrap/>
            <w:vAlign w:val="bottom"/>
            <w:hideMark/>
          </w:tcPr>
          <w:p w14:paraId="1A67C331" w14:textId="77777777" w:rsidR="0062742B" w:rsidRPr="00CE1D2F" w:rsidRDefault="0062742B" w:rsidP="0062742B">
            <w:pPr>
              <w:spacing w:after="0" w:line="240" w:lineRule="auto"/>
              <w:jc w:val="center"/>
              <w:rPr>
                <w:rFonts w:ascii="Times New Roman" w:eastAsia="Times New Roman" w:hAnsi="Times New Roman" w:cs="Times New Roman"/>
                <w:kern w:val="0"/>
                <w:sz w:val="14"/>
                <w:szCs w:val="14"/>
                <w14:ligatures w14:val="none"/>
              </w:rPr>
            </w:pPr>
          </w:p>
        </w:tc>
        <w:tc>
          <w:tcPr>
            <w:tcW w:w="808" w:type="dxa"/>
            <w:tcBorders>
              <w:top w:val="nil"/>
              <w:left w:val="nil"/>
              <w:bottom w:val="nil"/>
              <w:right w:val="nil"/>
            </w:tcBorders>
            <w:shd w:val="clear" w:color="auto" w:fill="auto"/>
            <w:noWrap/>
            <w:vAlign w:val="bottom"/>
            <w:hideMark/>
          </w:tcPr>
          <w:p w14:paraId="19B7E86C" w14:textId="77777777" w:rsidR="0062742B" w:rsidRPr="00CE1D2F" w:rsidRDefault="0062742B" w:rsidP="0062742B">
            <w:pPr>
              <w:spacing w:after="0" w:line="240" w:lineRule="auto"/>
              <w:jc w:val="center"/>
              <w:rPr>
                <w:rFonts w:ascii="Times New Roman" w:eastAsia="Times New Roman" w:hAnsi="Times New Roman" w:cs="Times New Roman"/>
                <w:kern w:val="0"/>
                <w:sz w:val="14"/>
                <w:szCs w:val="14"/>
                <w14:ligatures w14:val="none"/>
              </w:rPr>
            </w:pPr>
          </w:p>
        </w:tc>
        <w:tc>
          <w:tcPr>
            <w:tcW w:w="847" w:type="dxa"/>
            <w:tcBorders>
              <w:top w:val="nil"/>
              <w:left w:val="nil"/>
              <w:bottom w:val="nil"/>
              <w:right w:val="nil"/>
            </w:tcBorders>
            <w:shd w:val="clear" w:color="auto" w:fill="auto"/>
            <w:noWrap/>
            <w:vAlign w:val="bottom"/>
            <w:hideMark/>
          </w:tcPr>
          <w:p w14:paraId="3F5C44DC" w14:textId="77777777" w:rsidR="0062742B" w:rsidRPr="00CE1D2F" w:rsidRDefault="0062742B" w:rsidP="0062742B">
            <w:pPr>
              <w:spacing w:after="0" w:line="240" w:lineRule="auto"/>
              <w:jc w:val="center"/>
              <w:rPr>
                <w:rFonts w:ascii="Times New Roman" w:eastAsia="Times New Roman" w:hAnsi="Times New Roman" w:cs="Times New Roman"/>
                <w:kern w:val="0"/>
                <w:sz w:val="14"/>
                <w:szCs w:val="14"/>
                <w14:ligatures w14:val="none"/>
              </w:rPr>
            </w:pPr>
          </w:p>
        </w:tc>
        <w:tc>
          <w:tcPr>
            <w:tcW w:w="730" w:type="dxa"/>
            <w:tcBorders>
              <w:top w:val="nil"/>
              <w:left w:val="nil"/>
              <w:bottom w:val="nil"/>
              <w:right w:val="nil"/>
            </w:tcBorders>
            <w:shd w:val="clear" w:color="auto" w:fill="auto"/>
            <w:noWrap/>
            <w:vAlign w:val="bottom"/>
            <w:hideMark/>
          </w:tcPr>
          <w:p w14:paraId="51CA8CA7" w14:textId="77777777" w:rsidR="0062742B" w:rsidRPr="00CE1D2F" w:rsidRDefault="0062742B" w:rsidP="0062742B">
            <w:pPr>
              <w:spacing w:after="0" w:line="240" w:lineRule="auto"/>
              <w:jc w:val="center"/>
              <w:rPr>
                <w:rFonts w:ascii="Times New Roman" w:eastAsia="Times New Roman" w:hAnsi="Times New Roman" w:cs="Times New Roman"/>
                <w:kern w:val="0"/>
                <w:sz w:val="14"/>
                <w:szCs w:val="14"/>
                <w14:ligatures w14:val="none"/>
              </w:rPr>
            </w:pPr>
          </w:p>
        </w:tc>
        <w:tc>
          <w:tcPr>
            <w:tcW w:w="627" w:type="dxa"/>
            <w:tcBorders>
              <w:top w:val="nil"/>
              <w:left w:val="nil"/>
              <w:bottom w:val="nil"/>
              <w:right w:val="nil"/>
            </w:tcBorders>
            <w:shd w:val="clear" w:color="auto" w:fill="auto"/>
            <w:noWrap/>
            <w:vAlign w:val="bottom"/>
            <w:hideMark/>
          </w:tcPr>
          <w:p w14:paraId="6282CF9D" w14:textId="77777777" w:rsidR="0062742B" w:rsidRPr="00CE1D2F" w:rsidRDefault="0062742B" w:rsidP="0062742B">
            <w:pPr>
              <w:spacing w:after="0" w:line="240" w:lineRule="auto"/>
              <w:jc w:val="center"/>
              <w:rPr>
                <w:rFonts w:ascii="Times New Roman" w:eastAsia="Times New Roman" w:hAnsi="Times New Roman" w:cs="Times New Roman"/>
                <w:kern w:val="0"/>
                <w:sz w:val="14"/>
                <w:szCs w:val="14"/>
                <w14:ligatures w14:val="none"/>
              </w:rPr>
            </w:pPr>
          </w:p>
        </w:tc>
        <w:tc>
          <w:tcPr>
            <w:tcW w:w="870" w:type="dxa"/>
            <w:tcBorders>
              <w:top w:val="nil"/>
              <w:left w:val="nil"/>
              <w:bottom w:val="nil"/>
              <w:right w:val="nil"/>
            </w:tcBorders>
            <w:shd w:val="clear" w:color="auto" w:fill="auto"/>
            <w:noWrap/>
            <w:vAlign w:val="bottom"/>
            <w:hideMark/>
          </w:tcPr>
          <w:p w14:paraId="4F6397EB" w14:textId="77777777" w:rsidR="0062742B" w:rsidRPr="00CE1D2F" w:rsidRDefault="0062742B" w:rsidP="0062742B">
            <w:pPr>
              <w:spacing w:after="0" w:line="240" w:lineRule="auto"/>
              <w:jc w:val="center"/>
              <w:rPr>
                <w:rFonts w:ascii="Times New Roman" w:eastAsia="Times New Roman" w:hAnsi="Times New Roman" w:cs="Times New Roman"/>
                <w:kern w:val="0"/>
                <w:sz w:val="14"/>
                <w:szCs w:val="14"/>
                <w14:ligatures w14:val="none"/>
              </w:rPr>
            </w:pPr>
          </w:p>
        </w:tc>
        <w:tc>
          <w:tcPr>
            <w:tcW w:w="615" w:type="dxa"/>
            <w:tcBorders>
              <w:top w:val="nil"/>
              <w:left w:val="nil"/>
              <w:bottom w:val="nil"/>
              <w:right w:val="nil"/>
            </w:tcBorders>
            <w:shd w:val="clear" w:color="auto" w:fill="auto"/>
            <w:noWrap/>
            <w:vAlign w:val="bottom"/>
            <w:hideMark/>
          </w:tcPr>
          <w:p w14:paraId="3AC80310" w14:textId="77777777" w:rsidR="0062742B" w:rsidRPr="00CE1D2F" w:rsidRDefault="0062742B" w:rsidP="0062742B">
            <w:pPr>
              <w:spacing w:after="0" w:line="240" w:lineRule="auto"/>
              <w:jc w:val="center"/>
              <w:rPr>
                <w:rFonts w:ascii="Times New Roman" w:eastAsia="Times New Roman" w:hAnsi="Times New Roman" w:cs="Times New Roman"/>
                <w:kern w:val="0"/>
                <w:sz w:val="14"/>
                <w:szCs w:val="14"/>
                <w14:ligatures w14:val="none"/>
              </w:rPr>
            </w:pPr>
          </w:p>
        </w:tc>
        <w:tc>
          <w:tcPr>
            <w:tcW w:w="745" w:type="dxa"/>
            <w:tcBorders>
              <w:top w:val="nil"/>
              <w:left w:val="nil"/>
              <w:bottom w:val="nil"/>
              <w:right w:val="nil"/>
            </w:tcBorders>
            <w:shd w:val="clear" w:color="auto" w:fill="auto"/>
            <w:noWrap/>
            <w:vAlign w:val="bottom"/>
            <w:hideMark/>
          </w:tcPr>
          <w:p w14:paraId="262A5DD9" w14:textId="77777777" w:rsidR="0062742B" w:rsidRPr="00CE1D2F" w:rsidRDefault="0062742B" w:rsidP="0062742B">
            <w:pPr>
              <w:spacing w:after="0" w:line="240" w:lineRule="auto"/>
              <w:jc w:val="center"/>
              <w:rPr>
                <w:rFonts w:ascii="Times New Roman" w:eastAsia="Times New Roman" w:hAnsi="Times New Roman" w:cs="Times New Roman"/>
                <w:kern w:val="0"/>
                <w:sz w:val="14"/>
                <w:szCs w:val="14"/>
                <w14:ligatures w14:val="none"/>
              </w:rPr>
            </w:pPr>
          </w:p>
        </w:tc>
        <w:tc>
          <w:tcPr>
            <w:tcW w:w="765" w:type="dxa"/>
            <w:tcBorders>
              <w:top w:val="nil"/>
              <w:left w:val="nil"/>
              <w:bottom w:val="nil"/>
              <w:right w:val="single" w:sz="8" w:space="0" w:color="auto"/>
            </w:tcBorders>
            <w:shd w:val="clear" w:color="auto" w:fill="auto"/>
            <w:noWrap/>
            <w:vAlign w:val="bottom"/>
            <w:hideMark/>
          </w:tcPr>
          <w:p w14:paraId="425F09ED"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 </w:t>
            </w:r>
          </w:p>
        </w:tc>
        <w:tc>
          <w:tcPr>
            <w:tcW w:w="270" w:type="dxa"/>
            <w:gridSpan w:val="2"/>
            <w:tcBorders>
              <w:top w:val="nil"/>
              <w:left w:val="nil"/>
              <w:bottom w:val="nil"/>
              <w:right w:val="nil"/>
            </w:tcBorders>
            <w:shd w:val="clear" w:color="auto" w:fill="auto"/>
            <w:noWrap/>
            <w:vAlign w:val="bottom"/>
            <w:hideMark/>
          </w:tcPr>
          <w:p w14:paraId="530C967F"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p>
        </w:tc>
      </w:tr>
      <w:tr w:rsidR="00CE1D2F" w:rsidRPr="00CE1D2F" w14:paraId="399E58F3" w14:textId="77777777" w:rsidTr="00CE1D2F">
        <w:trPr>
          <w:trHeight w:val="258"/>
        </w:trPr>
        <w:tc>
          <w:tcPr>
            <w:tcW w:w="535" w:type="dxa"/>
            <w:tcBorders>
              <w:top w:val="nil"/>
              <w:left w:val="single" w:sz="8" w:space="0" w:color="auto"/>
              <w:bottom w:val="nil"/>
              <w:right w:val="nil"/>
            </w:tcBorders>
            <w:shd w:val="clear" w:color="auto" w:fill="auto"/>
            <w:noWrap/>
            <w:vAlign w:val="bottom"/>
            <w:hideMark/>
          </w:tcPr>
          <w:p w14:paraId="1E730177"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Auto</w:t>
            </w:r>
          </w:p>
        </w:tc>
        <w:tc>
          <w:tcPr>
            <w:tcW w:w="917" w:type="dxa"/>
            <w:tcBorders>
              <w:top w:val="nil"/>
              <w:left w:val="nil"/>
              <w:bottom w:val="nil"/>
              <w:right w:val="nil"/>
            </w:tcBorders>
            <w:shd w:val="clear" w:color="auto" w:fill="auto"/>
            <w:noWrap/>
            <w:vAlign w:val="bottom"/>
            <w:hideMark/>
          </w:tcPr>
          <w:p w14:paraId="3D0BE8A1"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3/10/2022</w:t>
            </w:r>
          </w:p>
        </w:tc>
        <w:tc>
          <w:tcPr>
            <w:tcW w:w="738" w:type="dxa"/>
            <w:tcBorders>
              <w:top w:val="nil"/>
              <w:left w:val="nil"/>
              <w:bottom w:val="nil"/>
              <w:right w:val="nil"/>
            </w:tcBorders>
            <w:shd w:val="clear" w:color="auto" w:fill="auto"/>
            <w:noWrap/>
            <w:vAlign w:val="bottom"/>
            <w:hideMark/>
          </w:tcPr>
          <w:p w14:paraId="0CE83D63"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12</w:t>
            </w:r>
          </w:p>
        </w:tc>
        <w:tc>
          <w:tcPr>
            <w:tcW w:w="753" w:type="dxa"/>
            <w:tcBorders>
              <w:top w:val="nil"/>
              <w:left w:val="nil"/>
              <w:bottom w:val="nil"/>
              <w:right w:val="nil"/>
            </w:tcBorders>
            <w:shd w:val="clear" w:color="auto" w:fill="auto"/>
            <w:noWrap/>
            <w:vAlign w:val="bottom"/>
            <w:hideMark/>
          </w:tcPr>
          <w:p w14:paraId="4487AAB9"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92</w:t>
            </w:r>
          </w:p>
        </w:tc>
        <w:tc>
          <w:tcPr>
            <w:tcW w:w="860" w:type="dxa"/>
            <w:tcBorders>
              <w:top w:val="nil"/>
              <w:left w:val="nil"/>
              <w:bottom w:val="nil"/>
              <w:right w:val="nil"/>
            </w:tcBorders>
            <w:shd w:val="clear" w:color="auto" w:fill="auto"/>
            <w:noWrap/>
            <w:vAlign w:val="bottom"/>
            <w:hideMark/>
          </w:tcPr>
          <w:p w14:paraId="23AD580C"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100</w:t>
            </w:r>
          </w:p>
        </w:tc>
        <w:tc>
          <w:tcPr>
            <w:tcW w:w="808" w:type="dxa"/>
            <w:tcBorders>
              <w:top w:val="nil"/>
              <w:left w:val="nil"/>
              <w:bottom w:val="nil"/>
              <w:right w:val="nil"/>
            </w:tcBorders>
            <w:shd w:val="clear" w:color="auto" w:fill="auto"/>
            <w:noWrap/>
            <w:vAlign w:val="bottom"/>
            <w:hideMark/>
          </w:tcPr>
          <w:p w14:paraId="4C1779DC"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152</w:t>
            </w:r>
          </w:p>
        </w:tc>
        <w:tc>
          <w:tcPr>
            <w:tcW w:w="847" w:type="dxa"/>
            <w:tcBorders>
              <w:top w:val="nil"/>
              <w:left w:val="nil"/>
              <w:bottom w:val="nil"/>
              <w:right w:val="nil"/>
            </w:tcBorders>
            <w:shd w:val="clear" w:color="auto" w:fill="auto"/>
            <w:noWrap/>
            <w:vAlign w:val="bottom"/>
            <w:hideMark/>
          </w:tcPr>
          <w:p w14:paraId="3BAABAEC"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81</w:t>
            </w:r>
          </w:p>
        </w:tc>
        <w:tc>
          <w:tcPr>
            <w:tcW w:w="730" w:type="dxa"/>
            <w:tcBorders>
              <w:top w:val="nil"/>
              <w:left w:val="nil"/>
              <w:bottom w:val="nil"/>
              <w:right w:val="nil"/>
            </w:tcBorders>
            <w:shd w:val="clear" w:color="auto" w:fill="auto"/>
            <w:noWrap/>
            <w:vAlign w:val="bottom"/>
            <w:hideMark/>
          </w:tcPr>
          <w:p w14:paraId="1FD1CCF3"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ng/nf</w:t>
            </w:r>
          </w:p>
        </w:tc>
        <w:tc>
          <w:tcPr>
            <w:tcW w:w="627" w:type="dxa"/>
            <w:tcBorders>
              <w:top w:val="nil"/>
              <w:left w:val="nil"/>
              <w:bottom w:val="nil"/>
              <w:right w:val="nil"/>
            </w:tcBorders>
            <w:shd w:val="clear" w:color="auto" w:fill="auto"/>
            <w:noWrap/>
            <w:vAlign w:val="bottom"/>
            <w:hideMark/>
          </w:tcPr>
          <w:p w14:paraId="4EB03841"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DS</w:t>
            </w:r>
          </w:p>
        </w:tc>
        <w:tc>
          <w:tcPr>
            <w:tcW w:w="870" w:type="dxa"/>
            <w:tcBorders>
              <w:top w:val="nil"/>
              <w:left w:val="nil"/>
              <w:bottom w:val="nil"/>
              <w:right w:val="nil"/>
            </w:tcBorders>
            <w:shd w:val="clear" w:color="auto" w:fill="auto"/>
            <w:noWrap/>
            <w:vAlign w:val="bottom"/>
            <w:hideMark/>
          </w:tcPr>
          <w:p w14:paraId="596AF55F"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615" w:type="dxa"/>
            <w:tcBorders>
              <w:top w:val="nil"/>
              <w:left w:val="nil"/>
              <w:bottom w:val="nil"/>
              <w:right w:val="nil"/>
            </w:tcBorders>
            <w:shd w:val="clear" w:color="auto" w:fill="auto"/>
            <w:noWrap/>
            <w:vAlign w:val="bottom"/>
            <w:hideMark/>
          </w:tcPr>
          <w:p w14:paraId="77541C98"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45" w:type="dxa"/>
            <w:tcBorders>
              <w:top w:val="nil"/>
              <w:left w:val="nil"/>
              <w:bottom w:val="nil"/>
              <w:right w:val="nil"/>
            </w:tcBorders>
            <w:shd w:val="clear" w:color="auto" w:fill="auto"/>
            <w:noWrap/>
            <w:vAlign w:val="bottom"/>
            <w:hideMark/>
          </w:tcPr>
          <w:p w14:paraId="70D9E050"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65" w:type="dxa"/>
            <w:tcBorders>
              <w:top w:val="nil"/>
              <w:left w:val="nil"/>
              <w:bottom w:val="nil"/>
              <w:right w:val="single" w:sz="8" w:space="0" w:color="auto"/>
            </w:tcBorders>
            <w:shd w:val="clear" w:color="auto" w:fill="auto"/>
            <w:noWrap/>
            <w:vAlign w:val="bottom"/>
            <w:hideMark/>
          </w:tcPr>
          <w:p w14:paraId="717F48E2"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14</w:t>
            </w:r>
          </w:p>
        </w:tc>
        <w:tc>
          <w:tcPr>
            <w:tcW w:w="270" w:type="dxa"/>
            <w:gridSpan w:val="2"/>
            <w:tcBorders>
              <w:top w:val="nil"/>
              <w:left w:val="nil"/>
              <w:bottom w:val="nil"/>
              <w:right w:val="nil"/>
            </w:tcBorders>
            <w:shd w:val="clear" w:color="auto" w:fill="auto"/>
            <w:noWrap/>
            <w:vAlign w:val="bottom"/>
            <w:hideMark/>
          </w:tcPr>
          <w:p w14:paraId="3B1BEEA1"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p>
        </w:tc>
      </w:tr>
      <w:tr w:rsidR="00CE1D2F" w:rsidRPr="00CE1D2F" w14:paraId="5949D1FE" w14:textId="77777777" w:rsidTr="00CE1D2F">
        <w:trPr>
          <w:trHeight w:val="258"/>
        </w:trPr>
        <w:tc>
          <w:tcPr>
            <w:tcW w:w="535" w:type="dxa"/>
            <w:tcBorders>
              <w:top w:val="nil"/>
              <w:left w:val="single" w:sz="8" w:space="0" w:color="auto"/>
              <w:bottom w:val="nil"/>
              <w:right w:val="nil"/>
            </w:tcBorders>
            <w:shd w:val="clear" w:color="auto" w:fill="auto"/>
            <w:noWrap/>
            <w:vAlign w:val="bottom"/>
            <w:hideMark/>
          </w:tcPr>
          <w:p w14:paraId="0AC7408A"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Auto</w:t>
            </w:r>
          </w:p>
        </w:tc>
        <w:tc>
          <w:tcPr>
            <w:tcW w:w="917" w:type="dxa"/>
            <w:tcBorders>
              <w:top w:val="nil"/>
              <w:left w:val="nil"/>
              <w:bottom w:val="nil"/>
              <w:right w:val="nil"/>
            </w:tcBorders>
            <w:shd w:val="clear" w:color="auto" w:fill="auto"/>
            <w:noWrap/>
            <w:vAlign w:val="bottom"/>
            <w:hideMark/>
          </w:tcPr>
          <w:p w14:paraId="1903B4F1"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3/10/2022</w:t>
            </w:r>
          </w:p>
        </w:tc>
        <w:tc>
          <w:tcPr>
            <w:tcW w:w="738" w:type="dxa"/>
            <w:tcBorders>
              <w:top w:val="nil"/>
              <w:left w:val="nil"/>
              <w:bottom w:val="nil"/>
              <w:right w:val="nil"/>
            </w:tcBorders>
            <w:shd w:val="clear" w:color="auto" w:fill="auto"/>
            <w:noWrap/>
            <w:vAlign w:val="bottom"/>
            <w:hideMark/>
          </w:tcPr>
          <w:p w14:paraId="3E414DFA"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20</w:t>
            </w:r>
          </w:p>
        </w:tc>
        <w:tc>
          <w:tcPr>
            <w:tcW w:w="753" w:type="dxa"/>
            <w:tcBorders>
              <w:top w:val="nil"/>
              <w:left w:val="nil"/>
              <w:bottom w:val="nil"/>
              <w:right w:val="nil"/>
            </w:tcBorders>
            <w:shd w:val="clear" w:color="auto" w:fill="auto"/>
            <w:noWrap/>
            <w:vAlign w:val="bottom"/>
            <w:hideMark/>
          </w:tcPr>
          <w:p w14:paraId="6A595426"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87</w:t>
            </w:r>
          </w:p>
        </w:tc>
        <w:tc>
          <w:tcPr>
            <w:tcW w:w="860" w:type="dxa"/>
            <w:tcBorders>
              <w:top w:val="nil"/>
              <w:left w:val="nil"/>
              <w:bottom w:val="nil"/>
              <w:right w:val="nil"/>
            </w:tcBorders>
            <w:shd w:val="clear" w:color="auto" w:fill="auto"/>
            <w:noWrap/>
            <w:vAlign w:val="bottom"/>
            <w:hideMark/>
          </w:tcPr>
          <w:p w14:paraId="7FFE17F5"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100</w:t>
            </w:r>
          </w:p>
        </w:tc>
        <w:tc>
          <w:tcPr>
            <w:tcW w:w="808" w:type="dxa"/>
            <w:tcBorders>
              <w:top w:val="nil"/>
              <w:left w:val="nil"/>
              <w:bottom w:val="nil"/>
              <w:right w:val="nil"/>
            </w:tcBorders>
            <w:shd w:val="clear" w:color="auto" w:fill="auto"/>
            <w:noWrap/>
            <w:vAlign w:val="bottom"/>
            <w:hideMark/>
          </w:tcPr>
          <w:p w14:paraId="51EA1042"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205</w:t>
            </w:r>
          </w:p>
        </w:tc>
        <w:tc>
          <w:tcPr>
            <w:tcW w:w="847" w:type="dxa"/>
            <w:tcBorders>
              <w:top w:val="nil"/>
              <w:left w:val="nil"/>
              <w:bottom w:val="nil"/>
              <w:right w:val="nil"/>
            </w:tcBorders>
            <w:shd w:val="clear" w:color="auto" w:fill="auto"/>
            <w:noWrap/>
            <w:vAlign w:val="bottom"/>
            <w:hideMark/>
          </w:tcPr>
          <w:p w14:paraId="1B7E905E"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86</w:t>
            </w:r>
          </w:p>
        </w:tc>
        <w:tc>
          <w:tcPr>
            <w:tcW w:w="730" w:type="dxa"/>
            <w:tcBorders>
              <w:top w:val="nil"/>
              <w:left w:val="nil"/>
              <w:bottom w:val="nil"/>
              <w:right w:val="nil"/>
            </w:tcBorders>
            <w:shd w:val="clear" w:color="auto" w:fill="auto"/>
            <w:noWrap/>
            <w:vAlign w:val="bottom"/>
            <w:hideMark/>
          </w:tcPr>
          <w:p w14:paraId="61751833"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ng/nf</w:t>
            </w:r>
          </w:p>
        </w:tc>
        <w:tc>
          <w:tcPr>
            <w:tcW w:w="627" w:type="dxa"/>
            <w:tcBorders>
              <w:top w:val="nil"/>
              <w:left w:val="nil"/>
              <w:bottom w:val="nil"/>
              <w:right w:val="nil"/>
            </w:tcBorders>
            <w:shd w:val="clear" w:color="auto" w:fill="auto"/>
            <w:noWrap/>
            <w:vAlign w:val="bottom"/>
            <w:hideMark/>
          </w:tcPr>
          <w:p w14:paraId="642E4341"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DS</w:t>
            </w:r>
          </w:p>
        </w:tc>
        <w:tc>
          <w:tcPr>
            <w:tcW w:w="870" w:type="dxa"/>
            <w:tcBorders>
              <w:top w:val="nil"/>
              <w:left w:val="nil"/>
              <w:bottom w:val="nil"/>
              <w:right w:val="nil"/>
            </w:tcBorders>
            <w:shd w:val="clear" w:color="auto" w:fill="auto"/>
            <w:noWrap/>
            <w:vAlign w:val="bottom"/>
            <w:hideMark/>
          </w:tcPr>
          <w:p w14:paraId="5DD6EF93"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615" w:type="dxa"/>
            <w:tcBorders>
              <w:top w:val="nil"/>
              <w:left w:val="nil"/>
              <w:bottom w:val="nil"/>
              <w:right w:val="nil"/>
            </w:tcBorders>
            <w:shd w:val="clear" w:color="auto" w:fill="auto"/>
            <w:noWrap/>
            <w:vAlign w:val="bottom"/>
            <w:hideMark/>
          </w:tcPr>
          <w:p w14:paraId="19B1C7E0"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45" w:type="dxa"/>
            <w:tcBorders>
              <w:top w:val="nil"/>
              <w:left w:val="nil"/>
              <w:bottom w:val="nil"/>
              <w:right w:val="nil"/>
            </w:tcBorders>
            <w:shd w:val="clear" w:color="auto" w:fill="auto"/>
            <w:noWrap/>
            <w:vAlign w:val="bottom"/>
            <w:hideMark/>
          </w:tcPr>
          <w:p w14:paraId="544D9E50"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65" w:type="dxa"/>
            <w:tcBorders>
              <w:top w:val="nil"/>
              <w:left w:val="nil"/>
              <w:bottom w:val="nil"/>
              <w:right w:val="single" w:sz="8" w:space="0" w:color="auto"/>
            </w:tcBorders>
            <w:shd w:val="clear" w:color="auto" w:fill="auto"/>
            <w:noWrap/>
            <w:vAlign w:val="bottom"/>
            <w:hideMark/>
          </w:tcPr>
          <w:p w14:paraId="40BF36E8"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17</w:t>
            </w:r>
          </w:p>
        </w:tc>
        <w:tc>
          <w:tcPr>
            <w:tcW w:w="270" w:type="dxa"/>
            <w:gridSpan w:val="2"/>
            <w:tcBorders>
              <w:top w:val="nil"/>
              <w:left w:val="nil"/>
              <w:bottom w:val="nil"/>
              <w:right w:val="nil"/>
            </w:tcBorders>
            <w:shd w:val="clear" w:color="auto" w:fill="auto"/>
            <w:noWrap/>
            <w:vAlign w:val="bottom"/>
            <w:hideMark/>
          </w:tcPr>
          <w:p w14:paraId="02AA45F1"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p>
        </w:tc>
      </w:tr>
      <w:tr w:rsidR="00CE1D2F" w:rsidRPr="00CE1D2F" w14:paraId="24DAE44B" w14:textId="77777777" w:rsidTr="00CE1D2F">
        <w:trPr>
          <w:trHeight w:val="258"/>
        </w:trPr>
        <w:tc>
          <w:tcPr>
            <w:tcW w:w="535" w:type="dxa"/>
            <w:tcBorders>
              <w:top w:val="nil"/>
              <w:left w:val="single" w:sz="8" w:space="0" w:color="auto"/>
              <w:bottom w:val="nil"/>
              <w:right w:val="nil"/>
            </w:tcBorders>
            <w:shd w:val="clear" w:color="auto" w:fill="auto"/>
            <w:noWrap/>
            <w:vAlign w:val="bottom"/>
            <w:hideMark/>
          </w:tcPr>
          <w:p w14:paraId="0009D3E6"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Allo</w:t>
            </w:r>
          </w:p>
        </w:tc>
        <w:tc>
          <w:tcPr>
            <w:tcW w:w="917" w:type="dxa"/>
            <w:tcBorders>
              <w:top w:val="nil"/>
              <w:left w:val="nil"/>
              <w:bottom w:val="nil"/>
              <w:right w:val="nil"/>
            </w:tcBorders>
            <w:shd w:val="clear" w:color="auto" w:fill="auto"/>
            <w:noWrap/>
            <w:vAlign w:val="bottom"/>
            <w:hideMark/>
          </w:tcPr>
          <w:p w14:paraId="1412C1C6"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3/10/2022</w:t>
            </w:r>
          </w:p>
        </w:tc>
        <w:tc>
          <w:tcPr>
            <w:tcW w:w="738" w:type="dxa"/>
            <w:tcBorders>
              <w:top w:val="nil"/>
              <w:left w:val="nil"/>
              <w:bottom w:val="nil"/>
              <w:right w:val="nil"/>
            </w:tcBorders>
            <w:shd w:val="clear" w:color="auto" w:fill="auto"/>
            <w:noWrap/>
            <w:vAlign w:val="bottom"/>
            <w:hideMark/>
          </w:tcPr>
          <w:p w14:paraId="2EA08AA5"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9</w:t>
            </w:r>
          </w:p>
        </w:tc>
        <w:tc>
          <w:tcPr>
            <w:tcW w:w="753" w:type="dxa"/>
            <w:tcBorders>
              <w:top w:val="nil"/>
              <w:left w:val="nil"/>
              <w:bottom w:val="nil"/>
              <w:right w:val="nil"/>
            </w:tcBorders>
            <w:shd w:val="clear" w:color="auto" w:fill="auto"/>
            <w:noWrap/>
            <w:vAlign w:val="bottom"/>
            <w:hideMark/>
          </w:tcPr>
          <w:p w14:paraId="5FF3A889"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88</w:t>
            </w:r>
          </w:p>
        </w:tc>
        <w:tc>
          <w:tcPr>
            <w:tcW w:w="860" w:type="dxa"/>
            <w:tcBorders>
              <w:top w:val="nil"/>
              <w:left w:val="nil"/>
              <w:bottom w:val="nil"/>
              <w:right w:val="nil"/>
            </w:tcBorders>
            <w:shd w:val="clear" w:color="auto" w:fill="auto"/>
            <w:noWrap/>
            <w:vAlign w:val="bottom"/>
            <w:hideMark/>
          </w:tcPr>
          <w:p w14:paraId="21957A2B"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100</w:t>
            </w:r>
          </w:p>
        </w:tc>
        <w:tc>
          <w:tcPr>
            <w:tcW w:w="808" w:type="dxa"/>
            <w:tcBorders>
              <w:top w:val="nil"/>
              <w:left w:val="nil"/>
              <w:bottom w:val="nil"/>
              <w:right w:val="nil"/>
            </w:tcBorders>
            <w:shd w:val="clear" w:color="auto" w:fill="auto"/>
            <w:noWrap/>
            <w:vAlign w:val="bottom"/>
            <w:hideMark/>
          </w:tcPr>
          <w:p w14:paraId="7E7C9AC2"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18</w:t>
            </w:r>
          </w:p>
        </w:tc>
        <w:tc>
          <w:tcPr>
            <w:tcW w:w="847" w:type="dxa"/>
            <w:tcBorders>
              <w:top w:val="nil"/>
              <w:left w:val="nil"/>
              <w:bottom w:val="nil"/>
              <w:right w:val="nil"/>
            </w:tcBorders>
            <w:shd w:val="clear" w:color="auto" w:fill="auto"/>
            <w:noWrap/>
            <w:vAlign w:val="bottom"/>
            <w:hideMark/>
          </w:tcPr>
          <w:p w14:paraId="0D4A0E33"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98</w:t>
            </w:r>
          </w:p>
        </w:tc>
        <w:tc>
          <w:tcPr>
            <w:tcW w:w="730" w:type="dxa"/>
            <w:tcBorders>
              <w:top w:val="nil"/>
              <w:left w:val="nil"/>
              <w:bottom w:val="nil"/>
              <w:right w:val="nil"/>
            </w:tcBorders>
            <w:shd w:val="clear" w:color="auto" w:fill="auto"/>
            <w:noWrap/>
            <w:vAlign w:val="bottom"/>
            <w:hideMark/>
          </w:tcPr>
          <w:p w14:paraId="6D0F689B"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ng/nf</w:t>
            </w:r>
          </w:p>
        </w:tc>
        <w:tc>
          <w:tcPr>
            <w:tcW w:w="627" w:type="dxa"/>
            <w:tcBorders>
              <w:top w:val="nil"/>
              <w:left w:val="nil"/>
              <w:bottom w:val="nil"/>
              <w:right w:val="nil"/>
            </w:tcBorders>
            <w:shd w:val="clear" w:color="auto" w:fill="auto"/>
            <w:noWrap/>
            <w:vAlign w:val="bottom"/>
            <w:hideMark/>
          </w:tcPr>
          <w:p w14:paraId="032CF75A"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DS</w:t>
            </w:r>
          </w:p>
        </w:tc>
        <w:tc>
          <w:tcPr>
            <w:tcW w:w="870" w:type="dxa"/>
            <w:tcBorders>
              <w:top w:val="nil"/>
              <w:left w:val="nil"/>
              <w:bottom w:val="nil"/>
              <w:right w:val="nil"/>
            </w:tcBorders>
            <w:shd w:val="clear" w:color="auto" w:fill="auto"/>
            <w:noWrap/>
            <w:vAlign w:val="bottom"/>
            <w:hideMark/>
          </w:tcPr>
          <w:p w14:paraId="6F19E0AE"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615" w:type="dxa"/>
            <w:tcBorders>
              <w:top w:val="nil"/>
              <w:left w:val="nil"/>
              <w:bottom w:val="nil"/>
              <w:right w:val="nil"/>
            </w:tcBorders>
            <w:shd w:val="clear" w:color="auto" w:fill="auto"/>
            <w:noWrap/>
            <w:vAlign w:val="bottom"/>
            <w:hideMark/>
          </w:tcPr>
          <w:p w14:paraId="4ECD5AC3"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45" w:type="dxa"/>
            <w:tcBorders>
              <w:top w:val="nil"/>
              <w:left w:val="nil"/>
              <w:bottom w:val="nil"/>
              <w:right w:val="nil"/>
            </w:tcBorders>
            <w:shd w:val="clear" w:color="auto" w:fill="auto"/>
            <w:noWrap/>
            <w:vAlign w:val="bottom"/>
            <w:hideMark/>
          </w:tcPr>
          <w:p w14:paraId="371FDCCF"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65" w:type="dxa"/>
            <w:tcBorders>
              <w:top w:val="nil"/>
              <w:left w:val="nil"/>
              <w:bottom w:val="nil"/>
              <w:right w:val="single" w:sz="8" w:space="0" w:color="auto"/>
            </w:tcBorders>
            <w:shd w:val="clear" w:color="auto" w:fill="auto"/>
            <w:noWrap/>
            <w:vAlign w:val="bottom"/>
            <w:hideMark/>
          </w:tcPr>
          <w:p w14:paraId="5C66AF3D"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16</w:t>
            </w:r>
          </w:p>
        </w:tc>
        <w:tc>
          <w:tcPr>
            <w:tcW w:w="270" w:type="dxa"/>
            <w:gridSpan w:val="2"/>
            <w:tcBorders>
              <w:top w:val="nil"/>
              <w:left w:val="nil"/>
              <w:bottom w:val="nil"/>
              <w:right w:val="nil"/>
            </w:tcBorders>
            <w:shd w:val="clear" w:color="auto" w:fill="auto"/>
            <w:noWrap/>
            <w:vAlign w:val="bottom"/>
            <w:hideMark/>
          </w:tcPr>
          <w:p w14:paraId="6A5DA048"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p>
        </w:tc>
      </w:tr>
      <w:tr w:rsidR="00CE1D2F" w:rsidRPr="00CE1D2F" w14:paraId="06752071" w14:textId="77777777" w:rsidTr="00CE1D2F">
        <w:trPr>
          <w:trHeight w:val="258"/>
        </w:trPr>
        <w:tc>
          <w:tcPr>
            <w:tcW w:w="535" w:type="dxa"/>
            <w:tcBorders>
              <w:top w:val="nil"/>
              <w:left w:val="single" w:sz="8" w:space="0" w:color="auto"/>
              <w:bottom w:val="nil"/>
              <w:right w:val="nil"/>
            </w:tcBorders>
            <w:shd w:val="clear" w:color="auto" w:fill="auto"/>
            <w:noWrap/>
            <w:vAlign w:val="bottom"/>
            <w:hideMark/>
          </w:tcPr>
          <w:p w14:paraId="7C74C791"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Auto</w:t>
            </w:r>
          </w:p>
        </w:tc>
        <w:tc>
          <w:tcPr>
            <w:tcW w:w="917" w:type="dxa"/>
            <w:tcBorders>
              <w:top w:val="nil"/>
              <w:left w:val="nil"/>
              <w:bottom w:val="nil"/>
              <w:right w:val="nil"/>
            </w:tcBorders>
            <w:shd w:val="clear" w:color="auto" w:fill="auto"/>
            <w:noWrap/>
            <w:vAlign w:val="bottom"/>
            <w:hideMark/>
          </w:tcPr>
          <w:p w14:paraId="2718F9F7"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9/13/2022</w:t>
            </w:r>
          </w:p>
        </w:tc>
        <w:tc>
          <w:tcPr>
            <w:tcW w:w="738" w:type="dxa"/>
            <w:tcBorders>
              <w:top w:val="nil"/>
              <w:left w:val="nil"/>
              <w:bottom w:val="nil"/>
              <w:right w:val="nil"/>
            </w:tcBorders>
            <w:shd w:val="clear" w:color="auto" w:fill="auto"/>
            <w:noWrap/>
            <w:vAlign w:val="bottom"/>
            <w:hideMark/>
          </w:tcPr>
          <w:p w14:paraId="043A4EFA"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13</w:t>
            </w:r>
          </w:p>
        </w:tc>
        <w:tc>
          <w:tcPr>
            <w:tcW w:w="753" w:type="dxa"/>
            <w:tcBorders>
              <w:top w:val="nil"/>
              <w:left w:val="nil"/>
              <w:bottom w:val="nil"/>
              <w:right w:val="nil"/>
            </w:tcBorders>
            <w:shd w:val="clear" w:color="auto" w:fill="auto"/>
            <w:noWrap/>
            <w:vAlign w:val="bottom"/>
            <w:hideMark/>
          </w:tcPr>
          <w:p w14:paraId="4BF482EB"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71</w:t>
            </w:r>
          </w:p>
        </w:tc>
        <w:tc>
          <w:tcPr>
            <w:tcW w:w="860" w:type="dxa"/>
            <w:tcBorders>
              <w:top w:val="nil"/>
              <w:left w:val="nil"/>
              <w:bottom w:val="nil"/>
              <w:right w:val="nil"/>
            </w:tcBorders>
            <w:shd w:val="clear" w:color="auto" w:fill="auto"/>
            <w:noWrap/>
            <w:vAlign w:val="bottom"/>
            <w:hideMark/>
          </w:tcPr>
          <w:p w14:paraId="7E4F50C0"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100</w:t>
            </w:r>
          </w:p>
        </w:tc>
        <w:tc>
          <w:tcPr>
            <w:tcW w:w="808" w:type="dxa"/>
            <w:tcBorders>
              <w:top w:val="nil"/>
              <w:left w:val="nil"/>
              <w:bottom w:val="nil"/>
              <w:right w:val="nil"/>
            </w:tcBorders>
            <w:shd w:val="clear" w:color="auto" w:fill="auto"/>
            <w:noWrap/>
            <w:vAlign w:val="bottom"/>
            <w:hideMark/>
          </w:tcPr>
          <w:p w14:paraId="43D9DEB8"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2</w:t>
            </w:r>
          </w:p>
        </w:tc>
        <w:tc>
          <w:tcPr>
            <w:tcW w:w="847" w:type="dxa"/>
            <w:tcBorders>
              <w:top w:val="nil"/>
              <w:left w:val="nil"/>
              <w:bottom w:val="nil"/>
              <w:right w:val="nil"/>
            </w:tcBorders>
            <w:shd w:val="clear" w:color="auto" w:fill="auto"/>
            <w:noWrap/>
            <w:vAlign w:val="bottom"/>
            <w:hideMark/>
          </w:tcPr>
          <w:p w14:paraId="1842142F"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101</w:t>
            </w:r>
          </w:p>
        </w:tc>
        <w:tc>
          <w:tcPr>
            <w:tcW w:w="730" w:type="dxa"/>
            <w:tcBorders>
              <w:top w:val="nil"/>
              <w:left w:val="nil"/>
              <w:bottom w:val="nil"/>
              <w:right w:val="nil"/>
            </w:tcBorders>
            <w:shd w:val="clear" w:color="auto" w:fill="auto"/>
            <w:noWrap/>
            <w:vAlign w:val="bottom"/>
            <w:hideMark/>
          </w:tcPr>
          <w:p w14:paraId="3A0D12A9"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ng/nf</w:t>
            </w:r>
          </w:p>
        </w:tc>
        <w:tc>
          <w:tcPr>
            <w:tcW w:w="627" w:type="dxa"/>
            <w:tcBorders>
              <w:top w:val="nil"/>
              <w:left w:val="nil"/>
              <w:bottom w:val="nil"/>
              <w:right w:val="nil"/>
            </w:tcBorders>
            <w:shd w:val="clear" w:color="auto" w:fill="auto"/>
            <w:noWrap/>
            <w:vAlign w:val="bottom"/>
            <w:hideMark/>
          </w:tcPr>
          <w:p w14:paraId="2291B117"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DS</w:t>
            </w:r>
          </w:p>
        </w:tc>
        <w:tc>
          <w:tcPr>
            <w:tcW w:w="870" w:type="dxa"/>
            <w:tcBorders>
              <w:top w:val="nil"/>
              <w:left w:val="nil"/>
              <w:bottom w:val="nil"/>
              <w:right w:val="nil"/>
            </w:tcBorders>
            <w:shd w:val="clear" w:color="auto" w:fill="auto"/>
            <w:noWrap/>
            <w:vAlign w:val="bottom"/>
            <w:hideMark/>
          </w:tcPr>
          <w:p w14:paraId="4A439513"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615" w:type="dxa"/>
            <w:tcBorders>
              <w:top w:val="nil"/>
              <w:left w:val="nil"/>
              <w:bottom w:val="nil"/>
              <w:right w:val="nil"/>
            </w:tcBorders>
            <w:shd w:val="clear" w:color="auto" w:fill="auto"/>
            <w:noWrap/>
            <w:vAlign w:val="bottom"/>
            <w:hideMark/>
          </w:tcPr>
          <w:p w14:paraId="1DBACBF4"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45" w:type="dxa"/>
            <w:tcBorders>
              <w:top w:val="nil"/>
              <w:left w:val="nil"/>
              <w:bottom w:val="nil"/>
              <w:right w:val="nil"/>
            </w:tcBorders>
            <w:shd w:val="clear" w:color="auto" w:fill="auto"/>
            <w:noWrap/>
            <w:vAlign w:val="bottom"/>
            <w:hideMark/>
          </w:tcPr>
          <w:p w14:paraId="222EFF26"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65" w:type="dxa"/>
            <w:tcBorders>
              <w:top w:val="nil"/>
              <w:left w:val="nil"/>
              <w:bottom w:val="nil"/>
              <w:right w:val="single" w:sz="8" w:space="0" w:color="auto"/>
            </w:tcBorders>
            <w:shd w:val="clear" w:color="auto" w:fill="auto"/>
            <w:noWrap/>
            <w:vAlign w:val="bottom"/>
            <w:hideMark/>
          </w:tcPr>
          <w:p w14:paraId="7FFF0E6C"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14</w:t>
            </w:r>
          </w:p>
        </w:tc>
        <w:tc>
          <w:tcPr>
            <w:tcW w:w="270" w:type="dxa"/>
            <w:gridSpan w:val="2"/>
            <w:tcBorders>
              <w:top w:val="nil"/>
              <w:left w:val="nil"/>
              <w:bottom w:val="nil"/>
              <w:right w:val="nil"/>
            </w:tcBorders>
            <w:shd w:val="clear" w:color="auto" w:fill="auto"/>
            <w:noWrap/>
            <w:vAlign w:val="bottom"/>
            <w:hideMark/>
          </w:tcPr>
          <w:p w14:paraId="76D93938"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p>
        </w:tc>
      </w:tr>
      <w:tr w:rsidR="00CE1D2F" w:rsidRPr="00CE1D2F" w14:paraId="24202243" w14:textId="77777777" w:rsidTr="00CE1D2F">
        <w:trPr>
          <w:trHeight w:val="273"/>
        </w:trPr>
        <w:tc>
          <w:tcPr>
            <w:tcW w:w="535" w:type="dxa"/>
            <w:tcBorders>
              <w:top w:val="nil"/>
              <w:left w:val="single" w:sz="8" w:space="0" w:color="auto"/>
              <w:bottom w:val="single" w:sz="8" w:space="0" w:color="auto"/>
              <w:right w:val="nil"/>
            </w:tcBorders>
            <w:shd w:val="clear" w:color="auto" w:fill="auto"/>
            <w:noWrap/>
            <w:vAlign w:val="bottom"/>
            <w:hideMark/>
          </w:tcPr>
          <w:p w14:paraId="566A55B5"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Auto</w:t>
            </w:r>
          </w:p>
        </w:tc>
        <w:tc>
          <w:tcPr>
            <w:tcW w:w="917" w:type="dxa"/>
            <w:tcBorders>
              <w:top w:val="nil"/>
              <w:left w:val="nil"/>
              <w:bottom w:val="single" w:sz="8" w:space="0" w:color="auto"/>
              <w:right w:val="nil"/>
            </w:tcBorders>
            <w:shd w:val="clear" w:color="auto" w:fill="auto"/>
            <w:noWrap/>
            <w:vAlign w:val="bottom"/>
            <w:hideMark/>
          </w:tcPr>
          <w:p w14:paraId="4866E59B" w14:textId="77777777" w:rsidR="0062742B" w:rsidRPr="00CE1D2F" w:rsidRDefault="0062742B" w:rsidP="0062742B">
            <w:pPr>
              <w:spacing w:after="0" w:line="240" w:lineRule="auto"/>
              <w:jc w:val="right"/>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9/13/2022</w:t>
            </w:r>
          </w:p>
        </w:tc>
        <w:tc>
          <w:tcPr>
            <w:tcW w:w="738" w:type="dxa"/>
            <w:tcBorders>
              <w:top w:val="nil"/>
              <w:left w:val="nil"/>
              <w:bottom w:val="single" w:sz="8" w:space="0" w:color="auto"/>
              <w:right w:val="nil"/>
            </w:tcBorders>
            <w:shd w:val="clear" w:color="auto" w:fill="auto"/>
            <w:noWrap/>
            <w:vAlign w:val="bottom"/>
            <w:hideMark/>
          </w:tcPr>
          <w:p w14:paraId="2E8357E2"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7</w:t>
            </w:r>
          </w:p>
        </w:tc>
        <w:tc>
          <w:tcPr>
            <w:tcW w:w="753" w:type="dxa"/>
            <w:tcBorders>
              <w:top w:val="nil"/>
              <w:left w:val="nil"/>
              <w:bottom w:val="single" w:sz="8" w:space="0" w:color="auto"/>
              <w:right w:val="nil"/>
            </w:tcBorders>
            <w:shd w:val="clear" w:color="auto" w:fill="auto"/>
            <w:noWrap/>
            <w:vAlign w:val="bottom"/>
            <w:hideMark/>
          </w:tcPr>
          <w:p w14:paraId="7FCF3424"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88</w:t>
            </w:r>
          </w:p>
        </w:tc>
        <w:tc>
          <w:tcPr>
            <w:tcW w:w="860" w:type="dxa"/>
            <w:tcBorders>
              <w:top w:val="nil"/>
              <w:left w:val="nil"/>
              <w:bottom w:val="single" w:sz="8" w:space="0" w:color="auto"/>
              <w:right w:val="nil"/>
            </w:tcBorders>
            <w:shd w:val="clear" w:color="auto" w:fill="auto"/>
            <w:noWrap/>
            <w:vAlign w:val="bottom"/>
            <w:hideMark/>
          </w:tcPr>
          <w:p w14:paraId="4B104E60"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100</w:t>
            </w:r>
          </w:p>
        </w:tc>
        <w:tc>
          <w:tcPr>
            <w:tcW w:w="808" w:type="dxa"/>
            <w:tcBorders>
              <w:top w:val="nil"/>
              <w:left w:val="nil"/>
              <w:bottom w:val="single" w:sz="8" w:space="0" w:color="auto"/>
              <w:right w:val="nil"/>
            </w:tcBorders>
            <w:shd w:val="clear" w:color="auto" w:fill="auto"/>
            <w:noWrap/>
            <w:vAlign w:val="bottom"/>
            <w:hideMark/>
          </w:tcPr>
          <w:p w14:paraId="4B9B981C"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85</w:t>
            </w:r>
          </w:p>
        </w:tc>
        <w:tc>
          <w:tcPr>
            <w:tcW w:w="847" w:type="dxa"/>
            <w:tcBorders>
              <w:top w:val="nil"/>
              <w:left w:val="nil"/>
              <w:bottom w:val="single" w:sz="8" w:space="0" w:color="auto"/>
              <w:right w:val="nil"/>
            </w:tcBorders>
            <w:shd w:val="clear" w:color="auto" w:fill="auto"/>
            <w:noWrap/>
            <w:vAlign w:val="bottom"/>
            <w:hideMark/>
          </w:tcPr>
          <w:p w14:paraId="2B273ED8"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80</w:t>
            </w:r>
          </w:p>
        </w:tc>
        <w:tc>
          <w:tcPr>
            <w:tcW w:w="730" w:type="dxa"/>
            <w:tcBorders>
              <w:top w:val="nil"/>
              <w:left w:val="nil"/>
              <w:bottom w:val="single" w:sz="8" w:space="0" w:color="auto"/>
              <w:right w:val="nil"/>
            </w:tcBorders>
            <w:shd w:val="clear" w:color="auto" w:fill="auto"/>
            <w:noWrap/>
            <w:vAlign w:val="bottom"/>
            <w:hideMark/>
          </w:tcPr>
          <w:p w14:paraId="1BA2A1B0"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ng/nf</w:t>
            </w:r>
          </w:p>
        </w:tc>
        <w:tc>
          <w:tcPr>
            <w:tcW w:w="627" w:type="dxa"/>
            <w:tcBorders>
              <w:top w:val="nil"/>
              <w:left w:val="nil"/>
              <w:bottom w:val="single" w:sz="8" w:space="0" w:color="auto"/>
              <w:right w:val="nil"/>
            </w:tcBorders>
            <w:shd w:val="clear" w:color="auto" w:fill="auto"/>
            <w:noWrap/>
            <w:vAlign w:val="bottom"/>
            <w:hideMark/>
          </w:tcPr>
          <w:p w14:paraId="49219FC6"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DS</w:t>
            </w:r>
          </w:p>
        </w:tc>
        <w:tc>
          <w:tcPr>
            <w:tcW w:w="870" w:type="dxa"/>
            <w:tcBorders>
              <w:top w:val="nil"/>
              <w:left w:val="nil"/>
              <w:bottom w:val="single" w:sz="8" w:space="0" w:color="auto"/>
              <w:right w:val="nil"/>
            </w:tcBorders>
            <w:shd w:val="clear" w:color="auto" w:fill="auto"/>
            <w:noWrap/>
            <w:vAlign w:val="bottom"/>
            <w:hideMark/>
          </w:tcPr>
          <w:p w14:paraId="29FB49AB"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615" w:type="dxa"/>
            <w:tcBorders>
              <w:top w:val="nil"/>
              <w:left w:val="nil"/>
              <w:bottom w:val="single" w:sz="8" w:space="0" w:color="auto"/>
              <w:right w:val="nil"/>
            </w:tcBorders>
            <w:shd w:val="clear" w:color="auto" w:fill="auto"/>
            <w:noWrap/>
            <w:vAlign w:val="bottom"/>
            <w:hideMark/>
          </w:tcPr>
          <w:p w14:paraId="2845FDB0"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45" w:type="dxa"/>
            <w:tcBorders>
              <w:top w:val="nil"/>
              <w:left w:val="nil"/>
              <w:bottom w:val="single" w:sz="8" w:space="0" w:color="auto"/>
              <w:right w:val="nil"/>
            </w:tcBorders>
            <w:shd w:val="clear" w:color="auto" w:fill="auto"/>
            <w:noWrap/>
            <w:vAlign w:val="bottom"/>
            <w:hideMark/>
          </w:tcPr>
          <w:p w14:paraId="2022173D"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OK</w:t>
            </w:r>
          </w:p>
        </w:tc>
        <w:tc>
          <w:tcPr>
            <w:tcW w:w="765" w:type="dxa"/>
            <w:tcBorders>
              <w:top w:val="nil"/>
              <w:left w:val="nil"/>
              <w:bottom w:val="single" w:sz="8" w:space="0" w:color="auto"/>
              <w:right w:val="single" w:sz="8" w:space="0" w:color="auto"/>
            </w:tcBorders>
            <w:shd w:val="clear" w:color="auto" w:fill="auto"/>
            <w:noWrap/>
            <w:vAlign w:val="bottom"/>
            <w:hideMark/>
          </w:tcPr>
          <w:p w14:paraId="56E251E1"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r w:rsidRPr="00CE1D2F">
              <w:rPr>
                <w:rFonts w:ascii="Arial" w:eastAsia="Times New Roman" w:hAnsi="Arial" w:cs="Arial"/>
                <w:kern w:val="0"/>
                <w:sz w:val="14"/>
                <w:szCs w:val="14"/>
                <w14:ligatures w14:val="none"/>
              </w:rPr>
              <w:t>18</w:t>
            </w:r>
          </w:p>
        </w:tc>
        <w:tc>
          <w:tcPr>
            <w:tcW w:w="270" w:type="dxa"/>
            <w:gridSpan w:val="2"/>
            <w:tcBorders>
              <w:top w:val="nil"/>
              <w:left w:val="nil"/>
              <w:bottom w:val="nil"/>
              <w:right w:val="nil"/>
            </w:tcBorders>
            <w:shd w:val="clear" w:color="auto" w:fill="auto"/>
            <w:noWrap/>
            <w:vAlign w:val="bottom"/>
            <w:hideMark/>
          </w:tcPr>
          <w:p w14:paraId="436C12F5" w14:textId="77777777" w:rsidR="0062742B" w:rsidRPr="00CE1D2F" w:rsidRDefault="0062742B" w:rsidP="0062742B">
            <w:pPr>
              <w:spacing w:after="0" w:line="240" w:lineRule="auto"/>
              <w:jc w:val="center"/>
              <w:rPr>
                <w:rFonts w:ascii="Arial" w:eastAsia="Times New Roman" w:hAnsi="Arial" w:cs="Arial"/>
                <w:kern w:val="0"/>
                <w:sz w:val="14"/>
                <w:szCs w:val="14"/>
                <w14:ligatures w14:val="none"/>
              </w:rPr>
            </w:pPr>
          </w:p>
        </w:tc>
      </w:tr>
    </w:tbl>
    <w:p w14:paraId="29AF6F41" w14:textId="77777777" w:rsidR="0062742B" w:rsidRDefault="0062742B">
      <w:pPr>
        <w:rPr>
          <w:b/>
          <w:bCs/>
        </w:rPr>
      </w:pPr>
    </w:p>
    <w:p w14:paraId="3B0FEF00" w14:textId="77777777" w:rsidR="00A72264" w:rsidRDefault="00A72264">
      <w:pPr>
        <w:rPr>
          <w:b/>
          <w:bCs/>
        </w:rPr>
      </w:pPr>
    </w:p>
    <w:p w14:paraId="319372D4" w14:textId="687313BB" w:rsidR="00A72264" w:rsidRDefault="00A72264">
      <w:pPr>
        <w:rPr>
          <w:b/>
          <w:bCs/>
        </w:rPr>
      </w:pPr>
      <w:r>
        <w:rPr>
          <w:b/>
          <w:bCs/>
        </w:rPr>
        <w:t xml:space="preserve">Appendix C. </w:t>
      </w:r>
    </w:p>
    <w:tbl>
      <w:tblPr>
        <w:tblStyle w:val="TableGrid"/>
        <w:tblW w:w="0" w:type="auto"/>
        <w:tblInd w:w="360" w:type="dxa"/>
        <w:tblLook w:val="04A0" w:firstRow="1" w:lastRow="0" w:firstColumn="1" w:lastColumn="0" w:noHBand="0" w:noVBand="1"/>
      </w:tblPr>
      <w:tblGrid>
        <w:gridCol w:w="2265"/>
        <w:gridCol w:w="2233"/>
        <w:gridCol w:w="2246"/>
        <w:gridCol w:w="2246"/>
      </w:tblGrid>
      <w:tr w:rsidR="002965B1" w14:paraId="022BD769" w14:textId="77777777" w:rsidTr="00EC01E9">
        <w:tc>
          <w:tcPr>
            <w:tcW w:w="2337" w:type="dxa"/>
          </w:tcPr>
          <w:p w14:paraId="057AF199" w14:textId="77777777" w:rsidR="002965B1" w:rsidRDefault="002965B1" w:rsidP="00EC01E9">
            <w:pPr>
              <w:pStyle w:val="ListParagraph"/>
              <w:spacing w:line="252" w:lineRule="auto"/>
              <w:ind w:left="0"/>
              <w:rPr>
                <w:rFonts w:eastAsia="Times New Roman"/>
              </w:rPr>
            </w:pPr>
            <w:r>
              <w:rPr>
                <w:rFonts w:eastAsia="Times New Roman"/>
              </w:rPr>
              <w:t>Date Performed</w:t>
            </w:r>
          </w:p>
        </w:tc>
        <w:tc>
          <w:tcPr>
            <w:tcW w:w="2337" w:type="dxa"/>
          </w:tcPr>
          <w:p w14:paraId="58931B66" w14:textId="77777777" w:rsidR="002965B1" w:rsidRDefault="002965B1" w:rsidP="00EC01E9">
            <w:pPr>
              <w:pStyle w:val="ListParagraph"/>
              <w:spacing w:line="252" w:lineRule="auto"/>
              <w:ind w:left="0"/>
              <w:rPr>
                <w:rFonts w:eastAsia="Times New Roman"/>
              </w:rPr>
            </w:pPr>
            <w:r>
              <w:rPr>
                <w:rFonts w:eastAsia="Times New Roman"/>
              </w:rPr>
              <w:t>CD34 Purity</w:t>
            </w:r>
          </w:p>
        </w:tc>
        <w:tc>
          <w:tcPr>
            <w:tcW w:w="2338" w:type="dxa"/>
          </w:tcPr>
          <w:p w14:paraId="1E8F0753" w14:textId="77777777" w:rsidR="002965B1" w:rsidRDefault="002965B1" w:rsidP="00EC01E9">
            <w:pPr>
              <w:pStyle w:val="ListParagraph"/>
              <w:spacing w:line="252" w:lineRule="auto"/>
              <w:ind w:left="0"/>
              <w:rPr>
                <w:rFonts w:eastAsia="Times New Roman"/>
              </w:rPr>
            </w:pPr>
            <w:r>
              <w:rPr>
                <w:rFonts w:eastAsia="Times New Roman"/>
              </w:rPr>
              <w:t>Cell Viability</w:t>
            </w:r>
          </w:p>
        </w:tc>
        <w:tc>
          <w:tcPr>
            <w:tcW w:w="2338" w:type="dxa"/>
          </w:tcPr>
          <w:p w14:paraId="7018CAE0" w14:textId="77777777" w:rsidR="002965B1" w:rsidRDefault="002965B1" w:rsidP="00EC01E9">
            <w:pPr>
              <w:pStyle w:val="ListParagraph"/>
              <w:spacing w:line="252" w:lineRule="auto"/>
              <w:ind w:left="0"/>
              <w:rPr>
                <w:rFonts w:eastAsia="Times New Roman"/>
              </w:rPr>
            </w:pPr>
            <w:r>
              <w:rPr>
                <w:rFonts w:eastAsia="Times New Roman"/>
              </w:rPr>
              <w:t>Post Thaw Viability</w:t>
            </w:r>
          </w:p>
        </w:tc>
      </w:tr>
      <w:tr w:rsidR="002965B1" w14:paraId="3864B401" w14:textId="77777777" w:rsidTr="00EC01E9">
        <w:tc>
          <w:tcPr>
            <w:tcW w:w="2337" w:type="dxa"/>
          </w:tcPr>
          <w:p w14:paraId="66F37723" w14:textId="77777777" w:rsidR="002965B1" w:rsidRDefault="002965B1" w:rsidP="00EC01E9">
            <w:pPr>
              <w:pStyle w:val="ListParagraph"/>
              <w:spacing w:line="252" w:lineRule="auto"/>
              <w:ind w:left="0"/>
              <w:rPr>
                <w:rFonts w:eastAsia="Times New Roman"/>
              </w:rPr>
            </w:pPr>
            <w:r>
              <w:rPr>
                <w:rFonts w:eastAsia="Times New Roman"/>
              </w:rPr>
              <w:t>2023-SEP-23</w:t>
            </w:r>
          </w:p>
        </w:tc>
        <w:tc>
          <w:tcPr>
            <w:tcW w:w="2337" w:type="dxa"/>
          </w:tcPr>
          <w:p w14:paraId="252E6910" w14:textId="77777777" w:rsidR="002965B1" w:rsidRDefault="002965B1" w:rsidP="00EC01E9">
            <w:pPr>
              <w:pStyle w:val="ListParagraph"/>
              <w:spacing w:line="252" w:lineRule="auto"/>
              <w:ind w:left="0"/>
              <w:rPr>
                <w:rFonts w:eastAsia="Times New Roman"/>
              </w:rPr>
            </w:pPr>
            <w:r>
              <w:rPr>
                <w:rFonts w:eastAsia="Times New Roman"/>
              </w:rPr>
              <w:t>92.1%</w:t>
            </w:r>
          </w:p>
        </w:tc>
        <w:tc>
          <w:tcPr>
            <w:tcW w:w="2338" w:type="dxa"/>
          </w:tcPr>
          <w:p w14:paraId="00815226" w14:textId="77777777" w:rsidR="002965B1" w:rsidRDefault="002965B1" w:rsidP="00EC01E9">
            <w:pPr>
              <w:pStyle w:val="ListParagraph"/>
              <w:spacing w:line="252" w:lineRule="auto"/>
              <w:ind w:left="0"/>
              <w:rPr>
                <w:rFonts w:eastAsia="Times New Roman"/>
              </w:rPr>
            </w:pPr>
            <w:r>
              <w:rPr>
                <w:rFonts w:eastAsia="Times New Roman"/>
              </w:rPr>
              <w:t>99%</w:t>
            </w:r>
          </w:p>
        </w:tc>
        <w:tc>
          <w:tcPr>
            <w:tcW w:w="2338" w:type="dxa"/>
          </w:tcPr>
          <w:p w14:paraId="7C392C48" w14:textId="77777777" w:rsidR="002965B1" w:rsidRDefault="002965B1" w:rsidP="00EC01E9">
            <w:pPr>
              <w:pStyle w:val="ListParagraph"/>
              <w:spacing w:line="252" w:lineRule="auto"/>
              <w:ind w:left="0"/>
              <w:rPr>
                <w:rFonts w:eastAsia="Times New Roman"/>
              </w:rPr>
            </w:pPr>
            <w:r>
              <w:rPr>
                <w:rFonts w:eastAsia="Times New Roman"/>
              </w:rPr>
              <w:t>N/A</w:t>
            </w:r>
          </w:p>
        </w:tc>
      </w:tr>
      <w:tr w:rsidR="002965B1" w14:paraId="75BEAEEC" w14:textId="77777777" w:rsidTr="00EC01E9">
        <w:tc>
          <w:tcPr>
            <w:tcW w:w="2337" w:type="dxa"/>
          </w:tcPr>
          <w:p w14:paraId="0A5A5452" w14:textId="77777777" w:rsidR="002965B1" w:rsidRDefault="002965B1" w:rsidP="00EC01E9">
            <w:pPr>
              <w:pStyle w:val="ListParagraph"/>
              <w:spacing w:line="252" w:lineRule="auto"/>
              <w:ind w:left="0"/>
              <w:rPr>
                <w:rFonts w:eastAsia="Times New Roman"/>
              </w:rPr>
            </w:pPr>
            <w:r>
              <w:rPr>
                <w:rFonts w:eastAsia="Times New Roman"/>
              </w:rPr>
              <w:t>2023-OCT-23</w:t>
            </w:r>
          </w:p>
        </w:tc>
        <w:tc>
          <w:tcPr>
            <w:tcW w:w="2337" w:type="dxa"/>
          </w:tcPr>
          <w:p w14:paraId="46618BFB" w14:textId="77777777" w:rsidR="002965B1" w:rsidRDefault="002965B1" w:rsidP="00EC01E9">
            <w:pPr>
              <w:pStyle w:val="ListParagraph"/>
              <w:spacing w:line="252" w:lineRule="auto"/>
              <w:ind w:left="0"/>
              <w:rPr>
                <w:rFonts w:eastAsia="Times New Roman"/>
              </w:rPr>
            </w:pPr>
            <w:r>
              <w:rPr>
                <w:rFonts w:eastAsia="Times New Roman"/>
              </w:rPr>
              <w:t>93.8%</w:t>
            </w:r>
          </w:p>
        </w:tc>
        <w:tc>
          <w:tcPr>
            <w:tcW w:w="2338" w:type="dxa"/>
          </w:tcPr>
          <w:p w14:paraId="2743ECE2" w14:textId="77777777" w:rsidR="002965B1" w:rsidRDefault="002965B1" w:rsidP="00EC01E9">
            <w:pPr>
              <w:pStyle w:val="ListParagraph"/>
              <w:spacing w:line="252" w:lineRule="auto"/>
              <w:ind w:left="0"/>
              <w:rPr>
                <w:rFonts w:eastAsia="Times New Roman"/>
              </w:rPr>
            </w:pPr>
            <w:r>
              <w:rPr>
                <w:rFonts w:eastAsia="Times New Roman"/>
              </w:rPr>
              <w:t>99%</w:t>
            </w:r>
          </w:p>
        </w:tc>
        <w:tc>
          <w:tcPr>
            <w:tcW w:w="2338" w:type="dxa"/>
          </w:tcPr>
          <w:p w14:paraId="73E365A0" w14:textId="77777777" w:rsidR="002965B1" w:rsidRDefault="002965B1" w:rsidP="00EC01E9">
            <w:pPr>
              <w:pStyle w:val="ListParagraph"/>
              <w:spacing w:line="252" w:lineRule="auto"/>
              <w:ind w:left="0"/>
              <w:rPr>
                <w:rFonts w:eastAsia="Times New Roman"/>
              </w:rPr>
            </w:pPr>
            <w:r>
              <w:rPr>
                <w:rFonts w:eastAsia="Times New Roman"/>
              </w:rPr>
              <w:t>N/A</w:t>
            </w:r>
          </w:p>
        </w:tc>
      </w:tr>
      <w:tr w:rsidR="002965B1" w14:paraId="48E3F4DA" w14:textId="77777777" w:rsidTr="00EC01E9">
        <w:tc>
          <w:tcPr>
            <w:tcW w:w="2337" w:type="dxa"/>
          </w:tcPr>
          <w:p w14:paraId="2F49810E" w14:textId="77777777" w:rsidR="002965B1" w:rsidRDefault="002965B1" w:rsidP="00EC01E9">
            <w:pPr>
              <w:pStyle w:val="ListParagraph"/>
              <w:spacing w:line="252" w:lineRule="auto"/>
              <w:ind w:left="0"/>
              <w:rPr>
                <w:rFonts w:eastAsia="Times New Roman"/>
              </w:rPr>
            </w:pPr>
            <w:r>
              <w:rPr>
                <w:rFonts w:eastAsia="Times New Roman"/>
              </w:rPr>
              <w:t>2023-DEC-07</w:t>
            </w:r>
          </w:p>
        </w:tc>
        <w:tc>
          <w:tcPr>
            <w:tcW w:w="2337" w:type="dxa"/>
          </w:tcPr>
          <w:p w14:paraId="31E8D087" w14:textId="77777777" w:rsidR="002965B1" w:rsidRDefault="002965B1" w:rsidP="00EC01E9">
            <w:pPr>
              <w:pStyle w:val="ListParagraph"/>
              <w:spacing w:line="252" w:lineRule="auto"/>
              <w:ind w:left="0"/>
              <w:rPr>
                <w:rFonts w:eastAsia="Times New Roman"/>
              </w:rPr>
            </w:pPr>
            <w:r>
              <w:rPr>
                <w:rFonts w:eastAsia="Times New Roman"/>
              </w:rPr>
              <w:t>97.4%</w:t>
            </w:r>
          </w:p>
        </w:tc>
        <w:tc>
          <w:tcPr>
            <w:tcW w:w="2338" w:type="dxa"/>
          </w:tcPr>
          <w:p w14:paraId="4B9487BC" w14:textId="77777777" w:rsidR="002965B1" w:rsidRDefault="002965B1" w:rsidP="00EC01E9">
            <w:pPr>
              <w:pStyle w:val="ListParagraph"/>
              <w:spacing w:line="252" w:lineRule="auto"/>
              <w:ind w:left="0"/>
              <w:rPr>
                <w:rFonts w:eastAsia="Times New Roman"/>
              </w:rPr>
            </w:pPr>
            <w:r>
              <w:rPr>
                <w:rFonts w:eastAsia="Times New Roman"/>
              </w:rPr>
              <w:t>99%</w:t>
            </w:r>
          </w:p>
        </w:tc>
        <w:tc>
          <w:tcPr>
            <w:tcW w:w="2338" w:type="dxa"/>
          </w:tcPr>
          <w:p w14:paraId="1C281615" w14:textId="77777777" w:rsidR="002965B1" w:rsidRDefault="002965B1" w:rsidP="00EC01E9">
            <w:pPr>
              <w:pStyle w:val="ListParagraph"/>
              <w:spacing w:line="252" w:lineRule="auto"/>
              <w:ind w:left="0"/>
              <w:rPr>
                <w:rFonts w:eastAsia="Times New Roman"/>
              </w:rPr>
            </w:pPr>
            <w:r>
              <w:rPr>
                <w:rFonts w:eastAsia="Times New Roman"/>
              </w:rPr>
              <w:t>72%</w:t>
            </w:r>
          </w:p>
        </w:tc>
      </w:tr>
      <w:tr w:rsidR="002965B1" w14:paraId="5CBE82CA" w14:textId="77777777" w:rsidTr="00EC01E9">
        <w:tc>
          <w:tcPr>
            <w:tcW w:w="2337" w:type="dxa"/>
          </w:tcPr>
          <w:p w14:paraId="6C352523" w14:textId="77777777" w:rsidR="002965B1" w:rsidRDefault="002965B1" w:rsidP="00EC01E9">
            <w:pPr>
              <w:pStyle w:val="ListParagraph"/>
              <w:spacing w:line="252" w:lineRule="auto"/>
              <w:ind w:left="0"/>
              <w:rPr>
                <w:rFonts w:eastAsia="Times New Roman"/>
              </w:rPr>
            </w:pPr>
            <w:r>
              <w:rPr>
                <w:rFonts w:eastAsia="Times New Roman"/>
              </w:rPr>
              <w:t>2024-JAN-03</w:t>
            </w:r>
          </w:p>
        </w:tc>
        <w:tc>
          <w:tcPr>
            <w:tcW w:w="2337" w:type="dxa"/>
          </w:tcPr>
          <w:p w14:paraId="4DDE96AA" w14:textId="77777777" w:rsidR="002965B1" w:rsidRDefault="002965B1" w:rsidP="00EC01E9">
            <w:pPr>
              <w:pStyle w:val="ListParagraph"/>
              <w:spacing w:line="252" w:lineRule="auto"/>
              <w:ind w:left="0"/>
              <w:rPr>
                <w:rFonts w:eastAsia="Times New Roman"/>
              </w:rPr>
            </w:pPr>
            <w:r>
              <w:rPr>
                <w:rFonts w:eastAsia="Times New Roman"/>
              </w:rPr>
              <w:t>99.2%</w:t>
            </w:r>
          </w:p>
        </w:tc>
        <w:tc>
          <w:tcPr>
            <w:tcW w:w="2338" w:type="dxa"/>
          </w:tcPr>
          <w:p w14:paraId="6F46E7C6" w14:textId="77777777" w:rsidR="002965B1" w:rsidRDefault="002965B1" w:rsidP="00EC01E9">
            <w:pPr>
              <w:pStyle w:val="ListParagraph"/>
              <w:spacing w:line="252" w:lineRule="auto"/>
              <w:ind w:left="0"/>
              <w:rPr>
                <w:rFonts w:eastAsia="Times New Roman"/>
              </w:rPr>
            </w:pPr>
            <w:r>
              <w:rPr>
                <w:rFonts w:eastAsia="Times New Roman"/>
              </w:rPr>
              <w:t>99%</w:t>
            </w:r>
          </w:p>
        </w:tc>
        <w:tc>
          <w:tcPr>
            <w:tcW w:w="2338" w:type="dxa"/>
          </w:tcPr>
          <w:p w14:paraId="0E3685FA" w14:textId="77777777" w:rsidR="002965B1" w:rsidRDefault="002965B1" w:rsidP="00EC01E9">
            <w:pPr>
              <w:pStyle w:val="ListParagraph"/>
              <w:spacing w:line="252" w:lineRule="auto"/>
              <w:ind w:left="0"/>
              <w:rPr>
                <w:rFonts w:eastAsia="Times New Roman"/>
              </w:rPr>
            </w:pPr>
            <w:r>
              <w:rPr>
                <w:rFonts w:eastAsia="Times New Roman"/>
              </w:rPr>
              <w:t>N/A</w:t>
            </w:r>
          </w:p>
        </w:tc>
      </w:tr>
      <w:tr w:rsidR="002965B1" w14:paraId="7DDA0D14" w14:textId="77777777" w:rsidTr="00EC01E9">
        <w:tc>
          <w:tcPr>
            <w:tcW w:w="2337" w:type="dxa"/>
          </w:tcPr>
          <w:p w14:paraId="13AC575A" w14:textId="77777777" w:rsidR="002965B1" w:rsidRDefault="002965B1" w:rsidP="00EC01E9">
            <w:pPr>
              <w:pStyle w:val="ListParagraph"/>
              <w:spacing w:line="252" w:lineRule="auto"/>
              <w:ind w:left="0"/>
              <w:rPr>
                <w:rFonts w:eastAsia="Times New Roman"/>
              </w:rPr>
            </w:pPr>
            <w:r>
              <w:rPr>
                <w:rFonts w:eastAsia="Times New Roman"/>
              </w:rPr>
              <w:t>2024-JUL-25</w:t>
            </w:r>
          </w:p>
        </w:tc>
        <w:tc>
          <w:tcPr>
            <w:tcW w:w="2337" w:type="dxa"/>
          </w:tcPr>
          <w:p w14:paraId="559FD49C" w14:textId="77777777" w:rsidR="002965B1" w:rsidRDefault="002965B1" w:rsidP="00EC01E9">
            <w:pPr>
              <w:pStyle w:val="ListParagraph"/>
              <w:spacing w:line="252" w:lineRule="auto"/>
              <w:ind w:left="0"/>
              <w:rPr>
                <w:rFonts w:eastAsia="Times New Roman"/>
              </w:rPr>
            </w:pPr>
            <w:r>
              <w:rPr>
                <w:rFonts w:eastAsia="Times New Roman"/>
              </w:rPr>
              <w:t>99.5%</w:t>
            </w:r>
          </w:p>
        </w:tc>
        <w:tc>
          <w:tcPr>
            <w:tcW w:w="2338" w:type="dxa"/>
          </w:tcPr>
          <w:p w14:paraId="6FAC585C" w14:textId="77777777" w:rsidR="002965B1" w:rsidRDefault="002965B1" w:rsidP="00EC01E9">
            <w:pPr>
              <w:pStyle w:val="ListParagraph"/>
              <w:spacing w:line="252" w:lineRule="auto"/>
              <w:ind w:left="0"/>
              <w:rPr>
                <w:rFonts w:eastAsia="Times New Roman"/>
              </w:rPr>
            </w:pPr>
            <w:r>
              <w:rPr>
                <w:rFonts w:eastAsia="Times New Roman"/>
              </w:rPr>
              <w:t>99%</w:t>
            </w:r>
          </w:p>
        </w:tc>
        <w:tc>
          <w:tcPr>
            <w:tcW w:w="2338" w:type="dxa"/>
          </w:tcPr>
          <w:p w14:paraId="41C6ACA5" w14:textId="77777777" w:rsidR="002965B1" w:rsidRDefault="002965B1" w:rsidP="00EC01E9">
            <w:pPr>
              <w:pStyle w:val="ListParagraph"/>
              <w:spacing w:line="252" w:lineRule="auto"/>
              <w:ind w:left="0"/>
              <w:rPr>
                <w:rFonts w:eastAsia="Times New Roman"/>
              </w:rPr>
            </w:pPr>
            <w:r>
              <w:rPr>
                <w:rFonts w:eastAsia="Times New Roman"/>
              </w:rPr>
              <w:t>N/A</w:t>
            </w:r>
          </w:p>
        </w:tc>
      </w:tr>
    </w:tbl>
    <w:p w14:paraId="43F1ED7D" w14:textId="77777777" w:rsidR="00A72264" w:rsidRPr="00CE1D2F" w:rsidRDefault="00A72264" w:rsidP="00CE1D2F">
      <w:pPr>
        <w:rPr>
          <w:b/>
          <w:bCs/>
        </w:rPr>
      </w:pPr>
    </w:p>
    <w:sectPr w:rsidR="00A72264" w:rsidRPr="00CE1D2F">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5BB8B" w14:textId="77777777" w:rsidR="00702488" w:rsidRDefault="00702488" w:rsidP="007D0D56">
      <w:pPr>
        <w:spacing w:after="0" w:line="240" w:lineRule="auto"/>
      </w:pPr>
      <w:r>
        <w:separator/>
      </w:r>
    </w:p>
  </w:endnote>
  <w:endnote w:type="continuationSeparator" w:id="0">
    <w:p w14:paraId="25C1DE29" w14:textId="77777777" w:rsidR="00702488" w:rsidRDefault="00702488" w:rsidP="007D0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95477153"/>
      <w:docPartObj>
        <w:docPartGallery w:val="Page Numbers (Bottom of Page)"/>
        <w:docPartUnique/>
      </w:docPartObj>
    </w:sdtPr>
    <w:sdtEndPr>
      <w:rPr>
        <w:rStyle w:val="PageNumber"/>
      </w:rPr>
    </w:sdtEndPr>
    <w:sdtContent>
      <w:p w14:paraId="382C4412" w14:textId="44D1CBA6" w:rsidR="00D6112B" w:rsidRDefault="00D6112B" w:rsidP="00A616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308DD8" w14:textId="77777777" w:rsidR="00D6112B" w:rsidRDefault="00D6112B" w:rsidP="00D611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5853584"/>
      <w:docPartObj>
        <w:docPartGallery w:val="Page Numbers (Bottom of Page)"/>
        <w:docPartUnique/>
      </w:docPartObj>
    </w:sdtPr>
    <w:sdtEndPr>
      <w:rPr>
        <w:rStyle w:val="PageNumber"/>
      </w:rPr>
    </w:sdtEndPr>
    <w:sdtContent>
      <w:p w14:paraId="7BACAA2C" w14:textId="619C617E" w:rsidR="00D6112B" w:rsidRDefault="00D6112B" w:rsidP="00A616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EF1926" w14:textId="4969A476" w:rsidR="007D0D56" w:rsidRDefault="007D0D56" w:rsidP="00D6112B">
    <w:pPr>
      <w:pStyle w:val="Footer"/>
      <w:ind w:right="360"/>
    </w:pPr>
    <w:r>
      <w:t xml:space="preserve">Version </w:t>
    </w:r>
    <w:r w:rsidR="00D6112B">
      <w:t>3</w:t>
    </w:r>
    <w:r>
      <w:t>/1</w:t>
    </w:r>
    <w:r w:rsidR="00D6112B">
      <w:t>8</w:t>
    </w:r>
    <w:r>
      <w:t>/2</w:t>
    </w:r>
    <w:r w:rsidR="00D6112B">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591DC" w14:textId="77777777" w:rsidR="00702488" w:rsidRDefault="00702488" w:rsidP="007D0D56">
      <w:pPr>
        <w:spacing w:after="0" w:line="240" w:lineRule="auto"/>
      </w:pPr>
      <w:r>
        <w:separator/>
      </w:r>
    </w:p>
  </w:footnote>
  <w:footnote w:type="continuationSeparator" w:id="0">
    <w:p w14:paraId="1C20C61D" w14:textId="77777777" w:rsidR="00702488" w:rsidRDefault="00702488" w:rsidP="007D0D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46683"/>
    <w:multiLevelType w:val="hybridMultilevel"/>
    <w:tmpl w:val="FB1AC2D4"/>
    <w:lvl w:ilvl="0" w:tplc="5E2ACD56">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 w15:restartNumberingAfterBreak="0">
    <w:nsid w:val="21AB5ADE"/>
    <w:multiLevelType w:val="hybridMultilevel"/>
    <w:tmpl w:val="F2762CFC"/>
    <w:lvl w:ilvl="0" w:tplc="FE64E13A">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 w15:restartNumberingAfterBreak="0">
    <w:nsid w:val="2CDE69B0"/>
    <w:multiLevelType w:val="multilevel"/>
    <w:tmpl w:val="81AC373C"/>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38069FE"/>
    <w:multiLevelType w:val="multilevel"/>
    <w:tmpl w:val="EF8088A6"/>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4361BBF"/>
    <w:multiLevelType w:val="multilevel"/>
    <w:tmpl w:val="481E1D80"/>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C687AA8"/>
    <w:multiLevelType w:val="hybridMultilevel"/>
    <w:tmpl w:val="94CCCCF2"/>
    <w:lvl w:ilvl="0" w:tplc="F870A508">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6" w15:restartNumberingAfterBreak="0">
    <w:nsid w:val="516A1F9A"/>
    <w:multiLevelType w:val="hybridMultilevel"/>
    <w:tmpl w:val="FCB2E3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B2F7A0D"/>
    <w:multiLevelType w:val="hybridMultilevel"/>
    <w:tmpl w:val="35C647E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33736778">
    <w:abstractNumId w:val="2"/>
  </w:num>
  <w:num w:numId="2" w16cid:durableId="866872162">
    <w:abstractNumId w:val="3"/>
  </w:num>
  <w:num w:numId="3" w16cid:durableId="1363820420">
    <w:abstractNumId w:val="4"/>
  </w:num>
  <w:num w:numId="4" w16cid:durableId="1274829030">
    <w:abstractNumId w:val="5"/>
  </w:num>
  <w:num w:numId="5" w16cid:durableId="16634605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9982378">
    <w:abstractNumId w:val="1"/>
  </w:num>
  <w:num w:numId="7" w16cid:durableId="1758746563">
    <w:abstractNumId w:val="7"/>
  </w:num>
  <w:num w:numId="8" w16cid:durableId="1377199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425"/>
    <w:rsid w:val="000200AE"/>
    <w:rsid w:val="000A6322"/>
    <w:rsid w:val="00170946"/>
    <w:rsid w:val="00181871"/>
    <w:rsid w:val="001D64F6"/>
    <w:rsid w:val="001F6DBD"/>
    <w:rsid w:val="0026633E"/>
    <w:rsid w:val="00267BC7"/>
    <w:rsid w:val="00275188"/>
    <w:rsid w:val="00286085"/>
    <w:rsid w:val="002965B1"/>
    <w:rsid w:val="00297D8E"/>
    <w:rsid w:val="002F19C3"/>
    <w:rsid w:val="0030102E"/>
    <w:rsid w:val="00330F52"/>
    <w:rsid w:val="00377B04"/>
    <w:rsid w:val="003A3FE7"/>
    <w:rsid w:val="003B12F0"/>
    <w:rsid w:val="003C6B41"/>
    <w:rsid w:val="003E6446"/>
    <w:rsid w:val="0041799F"/>
    <w:rsid w:val="004253DA"/>
    <w:rsid w:val="004A36AF"/>
    <w:rsid w:val="004B40A3"/>
    <w:rsid w:val="004C4D8E"/>
    <w:rsid w:val="005027B6"/>
    <w:rsid w:val="00513660"/>
    <w:rsid w:val="00517CA0"/>
    <w:rsid w:val="00526FB6"/>
    <w:rsid w:val="00582A96"/>
    <w:rsid w:val="005A5CBC"/>
    <w:rsid w:val="005A75A7"/>
    <w:rsid w:val="005B5ABB"/>
    <w:rsid w:val="005E7418"/>
    <w:rsid w:val="005E790D"/>
    <w:rsid w:val="005F144B"/>
    <w:rsid w:val="00603154"/>
    <w:rsid w:val="00613FE0"/>
    <w:rsid w:val="00617425"/>
    <w:rsid w:val="0062742B"/>
    <w:rsid w:val="006357CA"/>
    <w:rsid w:val="00662C69"/>
    <w:rsid w:val="0066539E"/>
    <w:rsid w:val="00690B76"/>
    <w:rsid w:val="006B6589"/>
    <w:rsid w:val="006C6592"/>
    <w:rsid w:val="00702488"/>
    <w:rsid w:val="00750DB5"/>
    <w:rsid w:val="00767271"/>
    <w:rsid w:val="007C1521"/>
    <w:rsid w:val="007D0D56"/>
    <w:rsid w:val="0081459C"/>
    <w:rsid w:val="00836012"/>
    <w:rsid w:val="00845935"/>
    <w:rsid w:val="00846798"/>
    <w:rsid w:val="00863414"/>
    <w:rsid w:val="0087427B"/>
    <w:rsid w:val="008C1E39"/>
    <w:rsid w:val="008C4DED"/>
    <w:rsid w:val="00913A2D"/>
    <w:rsid w:val="00997321"/>
    <w:rsid w:val="009A019D"/>
    <w:rsid w:val="009D6BE1"/>
    <w:rsid w:val="00A72264"/>
    <w:rsid w:val="00A760AD"/>
    <w:rsid w:val="00AF5ED5"/>
    <w:rsid w:val="00B069BB"/>
    <w:rsid w:val="00B55E0F"/>
    <w:rsid w:val="00B65D5B"/>
    <w:rsid w:val="00B75809"/>
    <w:rsid w:val="00B82723"/>
    <w:rsid w:val="00B95467"/>
    <w:rsid w:val="00BA55D0"/>
    <w:rsid w:val="00C06338"/>
    <w:rsid w:val="00C51FC9"/>
    <w:rsid w:val="00C53E30"/>
    <w:rsid w:val="00CB5EA7"/>
    <w:rsid w:val="00CD5E77"/>
    <w:rsid w:val="00CE1D2F"/>
    <w:rsid w:val="00D44EFE"/>
    <w:rsid w:val="00D6112B"/>
    <w:rsid w:val="00D631F3"/>
    <w:rsid w:val="00DD0725"/>
    <w:rsid w:val="00DD13C6"/>
    <w:rsid w:val="00DF4018"/>
    <w:rsid w:val="00E019D6"/>
    <w:rsid w:val="00E408A0"/>
    <w:rsid w:val="00E50E2D"/>
    <w:rsid w:val="00E55928"/>
    <w:rsid w:val="00E874C8"/>
    <w:rsid w:val="00E91000"/>
    <w:rsid w:val="00ED5068"/>
    <w:rsid w:val="00EE1905"/>
    <w:rsid w:val="00F03BA6"/>
    <w:rsid w:val="00F27BF6"/>
    <w:rsid w:val="00F3142A"/>
    <w:rsid w:val="00F5758D"/>
    <w:rsid w:val="00F867CE"/>
    <w:rsid w:val="00F97BB7"/>
    <w:rsid w:val="00FD2831"/>
    <w:rsid w:val="00FD2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2379B"/>
  <w15:chartTrackingRefBased/>
  <w15:docId w15:val="{BCB3FD25-DF5A-4D59-8E8D-E6B5EDCD1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74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74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74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74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74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74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74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74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74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4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74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74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74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74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74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74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74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7425"/>
    <w:rPr>
      <w:rFonts w:eastAsiaTheme="majorEastAsia" w:cstheme="majorBidi"/>
      <w:color w:val="272727" w:themeColor="text1" w:themeTint="D8"/>
    </w:rPr>
  </w:style>
  <w:style w:type="paragraph" w:styleId="Title">
    <w:name w:val="Title"/>
    <w:basedOn w:val="Normal"/>
    <w:next w:val="Normal"/>
    <w:link w:val="TitleChar"/>
    <w:uiPriority w:val="10"/>
    <w:qFormat/>
    <w:rsid w:val="006174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4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74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74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7425"/>
    <w:pPr>
      <w:spacing w:before="160"/>
      <w:jc w:val="center"/>
    </w:pPr>
    <w:rPr>
      <w:i/>
      <w:iCs/>
      <w:color w:val="404040" w:themeColor="text1" w:themeTint="BF"/>
    </w:rPr>
  </w:style>
  <w:style w:type="character" w:customStyle="1" w:styleId="QuoteChar">
    <w:name w:val="Quote Char"/>
    <w:basedOn w:val="DefaultParagraphFont"/>
    <w:link w:val="Quote"/>
    <w:uiPriority w:val="29"/>
    <w:rsid w:val="00617425"/>
    <w:rPr>
      <w:i/>
      <w:iCs/>
      <w:color w:val="404040" w:themeColor="text1" w:themeTint="BF"/>
    </w:rPr>
  </w:style>
  <w:style w:type="paragraph" w:styleId="ListParagraph">
    <w:name w:val="List Paragraph"/>
    <w:basedOn w:val="Normal"/>
    <w:uiPriority w:val="34"/>
    <w:qFormat/>
    <w:rsid w:val="00617425"/>
    <w:pPr>
      <w:ind w:left="720"/>
      <w:contextualSpacing/>
    </w:pPr>
  </w:style>
  <w:style w:type="character" w:styleId="IntenseEmphasis">
    <w:name w:val="Intense Emphasis"/>
    <w:basedOn w:val="DefaultParagraphFont"/>
    <w:uiPriority w:val="21"/>
    <w:qFormat/>
    <w:rsid w:val="00617425"/>
    <w:rPr>
      <w:i/>
      <w:iCs/>
      <w:color w:val="0F4761" w:themeColor="accent1" w:themeShade="BF"/>
    </w:rPr>
  </w:style>
  <w:style w:type="paragraph" w:styleId="IntenseQuote">
    <w:name w:val="Intense Quote"/>
    <w:basedOn w:val="Normal"/>
    <w:next w:val="Normal"/>
    <w:link w:val="IntenseQuoteChar"/>
    <w:uiPriority w:val="30"/>
    <w:qFormat/>
    <w:rsid w:val="006174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7425"/>
    <w:rPr>
      <w:i/>
      <w:iCs/>
      <w:color w:val="0F4761" w:themeColor="accent1" w:themeShade="BF"/>
    </w:rPr>
  </w:style>
  <w:style w:type="character" w:styleId="IntenseReference">
    <w:name w:val="Intense Reference"/>
    <w:basedOn w:val="DefaultParagraphFont"/>
    <w:uiPriority w:val="32"/>
    <w:qFormat/>
    <w:rsid w:val="00617425"/>
    <w:rPr>
      <w:b/>
      <w:bCs/>
      <w:smallCaps/>
      <w:color w:val="0F4761" w:themeColor="accent1" w:themeShade="BF"/>
      <w:spacing w:val="5"/>
    </w:rPr>
  </w:style>
  <w:style w:type="character" w:styleId="Hyperlink">
    <w:name w:val="Hyperlink"/>
    <w:basedOn w:val="DefaultParagraphFont"/>
    <w:uiPriority w:val="99"/>
    <w:unhideWhenUsed/>
    <w:rsid w:val="00617425"/>
    <w:rPr>
      <w:color w:val="0563C1"/>
      <w:u w:val="single"/>
    </w:rPr>
  </w:style>
  <w:style w:type="character" w:styleId="UnresolvedMention">
    <w:name w:val="Unresolved Mention"/>
    <w:basedOn w:val="DefaultParagraphFont"/>
    <w:uiPriority w:val="99"/>
    <w:semiHidden/>
    <w:unhideWhenUsed/>
    <w:rsid w:val="00863414"/>
    <w:rPr>
      <w:color w:val="605E5C"/>
      <w:shd w:val="clear" w:color="auto" w:fill="E1DFDD"/>
    </w:rPr>
  </w:style>
  <w:style w:type="paragraph" w:styleId="Revision">
    <w:name w:val="Revision"/>
    <w:hidden/>
    <w:uiPriority w:val="99"/>
    <w:semiHidden/>
    <w:rsid w:val="00E874C8"/>
    <w:pPr>
      <w:spacing w:after="0" w:line="240" w:lineRule="auto"/>
    </w:pPr>
  </w:style>
  <w:style w:type="character" w:styleId="CommentReference">
    <w:name w:val="annotation reference"/>
    <w:basedOn w:val="DefaultParagraphFont"/>
    <w:uiPriority w:val="99"/>
    <w:semiHidden/>
    <w:unhideWhenUsed/>
    <w:rsid w:val="00E874C8"/>
    <w:rPr>
      <w:sz w:val="16"/>
      <w:szCs w:val="16"/>
    </w:rPr>
  </w:style>
  <w:style w:type="paragraph" w:styleId="CommentText">
    <w:name w:val="annotation text"/>
    <w:basedOn w:val="Normal"/>
    <w:link w:val="CommentTextChar"/>
    <w:uiPriority w:val="99"/>
    <w:unhideWhenUsed/>
    <w:rsid w:val="00E874C8"/>
    <w:pPr>
      <w:spacing w:line="240" w:lineRule="auto"/>
    </w:pPr>
    <w:rPr>
      <w:sz w:val="20"/>
      <w:szCs w:val="20"/>
    </w:rPr>
  </w:style>
  <w:style w:type="character" w:customStyle="1" w:styleId="CommentTextChar">
    <w:name w:val="Comment Text Char"/>
    <w:basedOn w:val="DefaultParagraphFont"/>
    <w:link w:val="CommentText"/>
    <w:uiPriority w:val="99"/>
    <w:rsid w:val="00E874C8"/>
    <w:rPr>
      <w:sz w:val="20"/>
      <w:szCs w:val="20"/>
    </w:rPr>
  </w:style>
  <w:style w:type="paragraph" w:styleId="CommentSubject">
    <w:name w:val="annotation subject"/>
    <w:basedOn w:val="CommentText"/>
    <w:next w:val="CommentText"/>
    <w:link w:val="CommentSubjectChar"/>
    <w:uiPriority w:val="99"/>
    <w:semiHidden/>
    <w:unhideWhenUsed/>
    <w:rsid w:val="00E874C8"/>
    <w:rPr>
      <w:b/>
      <w:bCs/>
    </w:rPr>
  </w:style>
  <w:style w:type="character" w:customStyle="1" w:styleId="CommentSubjectChar">
    <w:name w:val="Comment Subject Char"/>
    <w:basedOn w:val="CommentTextChar"/>
    <w:link w:val="CommentSubject"/>
    <w:uiPriority w:val="99"/>
    <w:semiHidden/>
    <w:rsid w:val="00E874C8"/>
    <w:rPr>
      <w:b/>
      <w:bCs/>
      <w:sz w:val="20"/>
      <w:szCs w:val="20"/>
    </w:rPr>
  </w:style>
  <w:style w:type="table" w:styleId="TableGrid">
    <w:name w:val="Table Grid"/>
    <w:basedOn w:val="TableNormal"/>
    <w:uiPriority w:val="39"/>
    <w:rsid w:val="005A7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0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D56"/>
  </w:style>
  <w:style w:type="paragraph" w:styleId="Footer">
    <w:name w:val="footer"/>
    <w:basedOn w:val="Normal"/>
    <w:link w:val="FooterChar"/>
    <w:uiPriority w:val="99"/>
    <w:unhideWhenUsed/>
    <w:rsid w:val="007D0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D56"/>
  </w:style>
  <w:style w:type="character" w:customStyle="1" w:styleId="apple-converted-space">
    <w:name w:val="apple-converted-space"/>
    <w:basedOn w:val="DefaultParagraphFont"/>
    <w:rsid w:val="007C1521"/>
  </w:style>
  <w:style w:type="character" w:styleId="FollowedHyperlink">
    <w:name w:val="FollowedHyperlink"/>
    <w:basedOn w:val="DefaultParagraphFont"/>
    <w:uiPriority w:val="99"/>
    <w:semiHidden/>
    <w:unhideWhenUsed/>
    <w:rsid w:val="0026633E"/>
    <w:rPr>
      <w:color w:val="96607D" w:themeColor="followedHyperlink"/>
      <w:u w:val="single"/>
    </w:rPr>
  </w:style>
  <w:style w:type="character" w:styleId="PageNumber">
    <w:name w:val="page number"/>
    <w:basedOn w:val="DefaultParagraphFont"/>
    <w:uiPriority w:val="99"/>
    <w:semiHidden/>
    <w:unhideWhenUsed/>
    <w:rsid w:val="00D61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14388">
      <w:bodyDiv w:val="1"/>
      <w:marLeft w:val="0"/>
      <w:marRight w:val="0"/>
      <w:marTop w:val="0"/>
      <w:marBottom w:val="0"/>
      <w:divBdr>
        <w:top w:val="none" w:sz="0" w:space="0" w:color="auto"/>
        <w:left w:val="none" w:sz="0" w:space="0" w:color="auto"/>
        <w:bottom w:val="none" w:sz="0" w:space="0" w:color="auto"/>
        <w:right w:val="none" w:sz="0" w:space="0" w:color="auto"/>
      </w:divBdr>
    </w:div>
    <w:div w:id="171997502">
      <w:bodyDiv w:val="1"/>
      <w:marLeft w:val="0"/>
      <w:marRight w:val="0"/>
      <w:marTop w:val="0"/>
      <w:marBottom w:val="0"/>
      <w:divBdr>
        <w:top w:val="none" w:sz="0" w:space="0" w:color="auto"/>
        <w:left w:val="none" w:sz="0" w:space="0" w:color="auto"/>
        <w:bottom w:val="none" w:sz="0" w:space="0" w:color="auto"/>
        <w:right w:val="none" w:sz="0" w:space="0" w:color="auto"/>
      </w:divBdr>
    </w:div>
    <w:div w:id="441849859">
      <w:bodyDiv w:val="1"/>
      <w:marLeft w:val="0"/>
      <w:marRight w:val="0"/>
      <w:marTop w:val="0"/>
      <w:marBottom w:val="0"/>
      <w:divBdr>
        <w:top w:val="none" w:sz="0" w:space="0" w:color="auto"/>
        <w:left w:val="none" w:sz="0" w:space="0" w:color="auto"/>
        <w:bottom w:val="none" w:sz="0" w:space="0" w:color="auto"/>
        <w:right w:val="none" w:sz="0" w:space="0" w:color="auto"/>
      </w:divBdr>
    </w:div>
    <w:div w:id="588201948">
      <w:bodyDiv w:val="1"/>
      <w:marLeft w:val="0"/>
      <w:marRight w:val="0"/>
      <w:marTop w:val="0"/>
      <w:marBottom w:val="0"/>
      <w:divBdr>
        <w:top w:val="none" w:sz="0" w:space="0" w:color="auto"/>
        <w:left w:val="none" w:sz="0" w:space="0" w:color="auto"/>
        <w:bottom w:val="none" w:sz="0" w:space="0" w:color="auto"/>
        <w:right w:val="none" w:sz="0" w:space="0" w:color="auto"/>
      </w:divBdr>
    </w:div>
    <w:div w:id="653724504">
      <w:bodyDiv w:val="1"/>
      <w:marLeft w:val="0"/>
      <w:marRight w:val="0"/>
      <w:marTop w:val="0"/>
      <w:marBottom w:val="0"/>
      <w:divBdr>
        <w:top w:val="none" w:sz="0" w:space="0" w:color="auto"/>
        <w:left w:val="none" w:sz="0" w:space="0" w:color="auto"/>
        <w:bottom w:val="none" w:sz="0" w:space="0" w:color="auto"/>
        <w:right w:val="none" w:sz="0" w:space="0" w:color="auto"/>
      </w:divBdr>
    </w:div>
    <w:div w:id="769008742">
      <w:bodyDiv w:val="1"/>
      <w:marLeft w:val="0"/>
      <w:marRight w:val="0"/>
      <w:marTop w:val="0"/>
      <w:marBottom w:val="0"/>
      <w:divBdr>
        <w:top w:val="none" w:sz="0" w:space="0" w:color="auto"/>
        <w:left w:val="none" w:sz="0" w:space="0" w:color="auto"/>
        <w:bottom w:val="none" w:sz="0" w:space="0" w:color="auto"/>
        <w:right w:val="none" w:sz="0" w:space="0" w:color="auto"/>
      </w:divBdr>
    </w:div>
    <w:div w:id="1059787937">
      <w:bodyDiv w:val="1"/>
      <w:marLeft w:val="0"/>
      <w:marRight w:val="0"/>
      <w:marTop w:val="0"/>
      <w:marBottom w:val="0"/>
      <w:divBdr>
        <w:top w:val="none" w:sz="0" w:space="0" w:color="auto"/>
        <w:left w:val="none" w:sz="0" w:space="0" w:color="auto"/>
        <w:bottom w:val="none" w:sz="0" w:space="0" w:color="auto"/>
        <w:right w:val="none" w:sz="0" w:space="0" w:color="auto"/>
      </w:divBdr>
    </w:div>
    <w:div w:id="1114254625">
      <w:bodyDiv w:val="1"/>
      <w:marLeft w:val="0"/>
      <w:marRight w:val="0"/>
      <w:marTop w:val="0"/>
      <w:marBottom w:val="0"/>
      <w:divBdr>
        <w:top w:val="none" w:sz="0" w:space="0" w:color="auto"/>
        <w:left w:val="none" w:sz="0" w:space="0" w:color="auto"/>
        <w:bottom w:val="none" w:sz="0" w:space="0" w:color="auto"/>
        <w:right w:val="none" w:sz="0" w:space="0" w:color="auto"/>
      </w:divBdr>
    </w:div>
    <w:div w:id="1121652755">
      <w:bodyDiv w:val="1"/>
      <w:marLeft w:val="0"/>
      <w:marRight w:val="0"/>
      <w:marTop w:val="0"/>
      <w:marBottom w:val="0"/>
      <w:divBdr>
        <w:top w:val="none" w:sz="0" w:space="0" w:color="auto"/>
        <w:left w:val="none" w:sz="0" w:space="0" w:color="auto"/>
        <w:bottom w:val="none" w:sz="0" w:space="0" w:color="auto"/>
        <w:right w:val="none" w:sz="0" w:space="0" w:color="auto"/>
      </w:divBdr>
    </w:div>
    <w:div w:id="1380132799">
      <w:bodyDiv w:val="1"/>
      <w:marLeft w:val="0"/>
      <w:marRight w:val="0"/>
      <w:marTop w:val="0"/>
      <w:marBottom w:val="0"/>
      <w:divBdr>
        <w:top w:val="none" w:sz="0" w:space="0" w:color="auto"/>
        <w:left w:val="none" w:sz="0" w:space="0" w:color="auto"/>
        <w:bottom w:val="none" w:sz="0" w:space="0" w:color="auto"/>
        <w:right w:val="none" w:sz="0" w:space="0" w:color="auto"/>
      </w:divBdr>
    </w:div>
    <w:div w:id="1695575031">
      <w:bodyDiv w:val="1"/>
      <w:marLeft w:val="0"/>
      <w:marRight w:val="0"/>
      <w:marTop w:val="0"/>
      <w:marBottom w:val="0"/>
      <w:divBdr>
        <w:top w:val="none" w:sz="0" w:space="0" w:color="auto"/>
        <w:left w:val="none" w:sz="0" w:space="0" w:color="auto"/>
        <w:bottom w:val="none" w:sz="0" w:space="0" w:color="auto"/>
        <w:right w:val="none" w:sz="0" w:space="0" w:color="auto"/>
      </w:divBdr>
    </w:div>
    <w:div w:id="1763524643">
      <w:bodyDiv w:val="1"/>
      <w:marLeft w:val="0"/>
      <w:marRight w:val="0"/>
      <w:marTop w:val="0"/>
      <w:marBottom w:val="0"/>
      <w:divBdr>
        <w:top w:val="none" w:sz="0" w:space="0" w:color="auto"/>
        <w:left w:val="none" w:sz="0" w:space="0" w:color="auto"/>
        <w:bottom w:val="none" w:sz="0" w:space="0" w:color="auto"/>
        <w:right w:val="none" w:sz="0" w:space="0" w:color="auto"/>
      </w:divBdr>
    </w:div>
    <w:div w:id="1790540228">
      <w:bodyDiv w:val="1"/>
      <w:marLeft w:val="0"/>
      <w:marRight w:val="0"/>
      <w:marTop w:val="0"/>
      <w:marBottom w:val="0"/>
      <w:divBdr>
        <w:top w:val="none" w:sz="0" w:space="0" w:color="auto"/>
        <w:left w:val="none" w:sz="0" w:space="0" w:color="auto"/>
        <w:bottom w:val="none" w:sz="0" w:space="0" w:color="auto"/>
        <w:right w:val="none" w:sz="0" w:space="0" w:color="auto"/>
      </w:divBdr>
    </w:div>
    <w:div w:id="1922832055">
      <w:bodyDiv w:val="1"/>
      <w:marLeft w:val="0"/>
      <w:marRight w:val="0"/>
      <w:marTop w:val="0"/>
      <w:marBottom w:val="0"/>
      <w:divBdr>
        <w:top w:val="none" w:sz="0" w:space="0" w:color="auto"/>
        <w:left w:val="none" w:sz="0" w:space="0" w:color="auto"/>
        <w:bottom w:val="none" w:sz="0" w:space="0" w:color="auto"/>
        <w:right w:val="none" w:sz="0" w:space="0" w:color="auto"/>
      </w:divBdr>
    </w:div>
    <w:div w:id="199008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ardahl@i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cfr.gov/current/title-21/chapter-I/subchapter-L/part-1271/subpart-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8C41D-7ACD-4C48-B4BC-2C56010F3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3940</Words>
  <Characters>22462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IU Health</Company>
  <LinksUpToDate>false</LinksUpToDate>
  <CharactersWithSpaces>26350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Rahrig, April</dc:creator>
  <cp:keywords/>
  <dc:description/>
  <cp:lastModifiedBy>Harris, Hillary G</cp:lastModifiedBy>
  <cp:revision>2</cp:revision>
  <dcterms:created xsi:type="dcterms:W3CDTF">2025-04-15T20:26:00Z</dcterms:created>
  <dcterms:modified xsi:type="dcterms:W3CDTF">2025-04-15T20:26:00Z</dcterms:modified>
</cp:coreProperties>
</file>