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A0" w:rsidRDefault="002218A0" w:rsidP="0007786D">
      <w:pPr>
        <w:ind w:left="720" w:hanging="720"/>
        <w:rPr>
          <w:rFonts w:ascii="Arial" w:hAnsi="Arial" w:cs="Arial"/>
          <w:b/>
          <w:sz w:val="22"/>
          <w:szCs w:val="22"/>
        </w:rPr>
      </w:pPr>
      <w:r>
        <w:rPr>
          <w:rFonts w:ascii="Arial" w:hAnsi="Arial" w:cs="Arial"/>
          <w:b/>
          <w:sz w:val="22"/>
          <w:szCs w:val="22"/>
        </w:rPr>
        <w:t xml:space="preserve">Purpose:  </w:t>
      </w:r>
    </w:p>
    <w:p w:rsidR="002218A0" w:rsidRDefault="002218A0" w:rsidP="0007786D">
      <w:pPr>
        <w:rPr>
          <w:rFonts w:ascii="Arial" w:hAnsi="Arial" w:cs="Arial"/>
          <w:sz w:val="22"/>
          <w:szCs w:val="22"/>
        </w:rPr>
      </w:pPr>
      <w:r>
        <w:rPr>
          <w:rFonts w:ascii="Arial" w:hAnsi="Arial" w:cs="Arial"/>
          <w:sz w:val="22"/>
          <w:szCs w:val="22"/>
        </w:rPr>
        <w:t>This procedure outlines the steps for quality control and the schedule for preventive maintenance for the Helmer Quickthaw System.</w:t>
      </w:r>
    </w:p>
    <w:p w:rsidR="002218A0" w:rsidRDefault="002218A0" w:rsidP="0007786D">
      <w:pPr>
        <w:rPr>
          <w:rFonts w:ascii="Arial" w:hAnsi="Arial" w:cs="Arial"/>
          <w:sz w:val="22"/>
          <w:szCs w:val="22"/>
        </w:rPr>
      </w:pPr>
    </w:p>
    <w:p w:rsidR="002218A0" w:rsidRDefault="002218A0" w:rsidP="0007786D">
      <w:pPr>
        <w:rPr>
          <w:rFonts w:ascii="Arial" w:hAnsi="Arial" w:cs="Arial"/>
          <w:b/>
          <w:sz w:val="22"/>
          <w:szCs w:val="22"/>
        </w:rPr>
      </w:pPr>
      <w:r>
        <w:rPr>
          <w:rFonts w:ascii="Arial" w:hAnsi="Arial" w:cs="Arial"/>
          <w:b/>
          <w:sz w:val="22"/>
          <w:szCs w:val="22"/>
        </w:rPr>
        <w:t>Procedure:</w:t>
      </w:r>
    </w:p>
    <w:tbl>
      <w:tblPr>
        <w:tblW w:w="10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16"/>
        <w:gridCol w:w="3781"/>
        <w:gridCol w:w="989"/>
        <w:gridCol w:w="1017"/>
        <w:gridCol w:w="1225"/>
        <w:gridCol w:w="1440"/>
        <w:gridCol w:w="37"/>
      </w:tblGrid>
      <w:tr w:rsidR="002218A0" w:rsidTr="000A63E0">
        <w:trPr>
          <w:trHeight w:val="503"/>
        </w:trPr>
        <w:tc>
          <w:tcPr>
            <w:tcW w:w="10105" w:type="dxa"/>
            <w:gridSpan w:val="7"/>
            <w:vAlign w:val="center"/>
          </w:tcPr>
          <w:p w:rsidR="002218A0" w:rsidRPr="000A63E0" w:rsidRDefault="002218A0" w:rsidP="0007786D">
            <w:pPr>
              <w:rPr>
                <w:rFonts w:ascii="Arial" w:hAnsi="Arial" w:cs="Arial"/>
                <w:b/>
              </w:rPr>
            </w:pPr>
            <w:r w:rsidRPr="000A63E0">
              <w:rPr>
                <w:rFonts w:ascii="Arial" w:hAnsi="Arial" w:cs="Arial"/>
                <w:b/>
                <w:sz w:val="22"/>
                <w:szCs w:val="22"/>
              </w:rPr>
              <w:t xml:space="preserve">Quality Control </w:t>
            </w:r>
          </w:p>
        </w:tc>
      </w:tr>
      <w:tr w:rsidR="002218A0" w:rsidTr="000A63E0">
        <w:trPr>
          <w:trHeight w:val="716"/>
        </w:trPr>
        <w:tc>
          <w:tcPr>
            <w:tcW w:w="1616" w:type="dxa"/>
            <w:vAlign w:val="center"/>
          </w:tcPr>
          <w:p w:rsidR="002218A0" w:rsidRPr="000A63E0" w:rsidRDefault="002218A0" w:rsidP="0007786D">
            <w:pPr>
              <w:rPr>
                <w:rFonts w:ascii="Arial" w:hAnsi="Arial" w:cs="Arial"/>
                <w:b/>
              </w:rPr>
            </w:pPr>
            <w:r w:rsidRPr="000A63E0">
              <w:rPr>
                <w:rFonts w:ascii="Arial" w:hAnsi="Arial" w:cs="Arial"/>
                <w:b/>
                <w:sz w:val="22"/>
                <w:szCs w:val="22"/>
              </w:rPr>
              <w:t>Daily:</w:t>
            </w:r>
          </w:p>
        </w:tc>
        <w:tc>
          <w:tcPr>
            <w:tcW w:w="8489" w:type="dxa"/>
            <w:gridSpan w:val="6"/>
            <w:vAlign w:val="center"/>
          </w:tcPr>
          <w:p w:rsidR="002218A0" w:rsidRPr="000A63E0" w:rsidRDefault="002218A0" w:rsidP="000A63E0">
            <w:pPr>
              <w:pStyle w:val="ListParagraph"/>
              <w:numPr>
                <w:ilvl w:val="0"/>
                <w:numId w:val="7"/>
              </w:numPr>
              <w:rPr>
                <w:rFonts w:ascii="Arial" w:hAnsi="Arial" w:cs="Arial"/>
              </w:rPr>
            </w:pPr>
            <w:r w:rsidRPr="000A63E0">
              <w:rPr>
                <w:rFonts w:ascii="Arial" w:hAnsi="Arial" w:cs="Arial"/>
                <w:sz w:val="22"/>
                <w:szCs w:val="22"/>
              </w:rPr>
              <w:t xml:space="preserve">Record both the LED temperature and the external thermometer temperature of the water bath on the </w:t>
            </w:r>
            <w:r w:rsidR="009B47A1">
              <w:rPr>
                <w:rFonts w:ascii="Arial" w:hAnsi="Arial" w:cs="Arial"/>
                <w:sz w:val="22"/>
                <w:szCs w:val="22"/>
              </w:rPr>
              <w:t>Helmer Quickthaw Daily QC</w:t>
            </w:r>
            <w:r w:rsidRPr="000A63E0">
              <w:rPr>
                <w:rFonts w:ascii="Arial" w:hAnsi="Arial" w:cs="Arial"/>
                <w:sz w:val="22"/>
                <w:szCs w:val="22"/>
              </w:rPr>
              <w:t xml:space="preserve"> Form.</w:t>
            </w:r>
          </w:p>
        </w:tc>
      </w:tr>
      <w:tr w:rsidR="002218A0" w:rsidTr="000A63E0">
        <w:trPr>
          <w:trHeight w:val="760"/>
        </w:trPr>
        <w:tc>
          <w:tcPr>
            <w:tcW w:w="1616" w:type="dxa"/>
            <w:vAlign w:val="center"/>
          </w:tcPr>
          <w:p w:rsidR="002218A0" w:rsidRPr="000A63E0" w:rsidRDefault="002218A0" w:rsidP="0007786D">
            <w:pPr>
              <w:rPr>
                <w:rFonts w:ascii="Arial" w:hAnsi="Arial" w:cs="Arial"/>
              </w:rPr>
            </w:pPr>
            <w:r w:rsidRPr="000A63E0">
              <w:rPr>
                <w:rFonts w:ascii="Arial" w:hAnsi="Arial" w:cs="Arial"/>
                <w:b/>
                <w:sz w:val="22"/>
                <w:szCs w:val="22"/>
              </w:rPr>
              <w:t xml:space="preserve">Monthly:  </w:t>
            </w:r>
          </w:p>
        </w:tc>
        <w:tc>
          <w:tcPr>
            <w:tcW w:w="8489" w:type="dxa"/>
            <w:gridSpan w:val="6"/>
            <w:vAlign w:val="center"/>
          </w:tcPr>
          <w:p w:rsidR="002218A0" w:rsidRPr="000A63E0" w:rsidRDefault="002218A0" w:rsidP="009B47A1">
            <w:pPr>
              <w:numPr>
                <w:ilvl w:val="0"/>
                <w:numId w:val="7"/>
              </w:numPr>
              <w:rPr>
                <w:rFonts w:ascii="Arial" w:hAnsi="Arial" w:cs="Arial"/>
                <w:b/>
              </w:rPr>
            </w:pPr>
            <w:r w:rsidRPr="000A63E0">
              <w:rPr>
                <w:rFonts w:ascii="Arial" w:hAnsi="Arial" w:cs="Arial"/>
                <w:sz w:val="22"/>
                <w:szCs w:val="22"/>
              </w:rPr>
              <w:t xml:space="preserve">Verify the LED temperature and external thermometer with the Fluke thermometer, and record on the </w:t>
            </w:r>
            <w:r w:rsidR="009B47A1">
              <w:rPr>
                <w:rFonts w:ascii="Arial" w:hAnsi="Arial" w:cs="Arial"/>
                <w:sz w:val="22"/>
                <w:szCs w:val="22"/>
              </w:rPr>
              <w:t>Helmer Quickthaw Daily QC Form</w:t>
            </w:r>
            <w:r w:rsidRPr="000A63E0">
              <w:rPr>
                <w:rFonts w:ascii="Arial" w:hAnsi="Arial" w:cs="Arial"/>
                <w:sz w:val="22"/>
                <w:szCs w:val="22"/>
              </w:rPr>
              <w:t>.</w:t>
            </w:r>
          </w:p>
        </w:tc>
      </w:tr>
      <w:tr w:rsidR="002218A0" w:rsidTr="000A63E0">
        <w:trPr>
          <w:trHeight w:val="716"/>
        </w:trPr>
        <w:tc>
          <w:tcPr>
            <w:tcW w:w="1616" w:type="dxa"/>
            <w:vAlign w:val="center"/>
          </w:tcPr>
          <w:p w:rsidR="002218A0" w:rsidRPr="000A63E0" w:rsidRDefault="002218A0" w:rsidP="0007786D">
            <w:pPr>
              <w:rPr>
                <w:rFonts w:ascii="Arial" w:hAnsi="Arial" w:cs="Arial"/>
              </w:rPr>
            </w:pPr>
            <w:r w:rsidRPr="000A63E0">
              <w:rPr>
                <w:rFonts w:ascii="Arial" w:hAnsi="Arial" w:cs="Arial"/>
                <w:b/>
                <w:sz w:val="22"/>
                <w:szCs w:val="22"/>
              </w:rPr>
              <w:t xml:space="preserve">Quarterly:  </w:t>
            </w:r>
          </w:p>
        </w:tc>
        <w:tc>
          <w:tcPr>
            <w:tcW w:w="8489" w:type="dxa"/>
            <w:gridSpan w:val="6"/>
            <w:vAlign w:val="center"/>
          </w:tcPr>
          <w:p w:rsidR="002218A0" w:rsidRPr="000A63E0" w:rsidRDefault="002218A0" w:rsidP="000A63E0">
            <w:pPr>
              <w:pStyle w:val="ListParagraph"/>
              <w:numPr>
                <w:ilvl w:val="0"/>
                <w:numId w:val="7"/>
              </w:numPr>
              <w:rPr>
                <w:rFonts w:ascii="Arial" w:hAnsi="Arial" w:cs="Arial"/>
              </w:rPr>
            </w:pPr>
            <w:r w:rsidRPr="000A63E0">
              <w:rPr>
                <w:rFonts w:ascii="Arial" w:hAnsi="Arial" w:cs="Arial"/>
                <w:sz w:val="22"/>
                <w:szCs w:val="22"/>
              </w:rPr>
              <w:t>Test the high temperature alarm by changing the set point of the thawer to 38.2 and allowing the chamber to heat to the new set point, which will activate the alarm.  Documen</w:t>
            </w:r>
            <w:r w:rsidR="009B47A1">
              <w:rPr>
                <w:rFonts w:ascii="Arial" w:hAnsi="Arial" w:cs="Arial"/>
                <w:sz w:val="22"/>
                <w:szCs w:val="22"/>
              </w:rPr>
              <w:t>t on the Helmer Quickthaw Daily QC Form</w:t>
            </w:r>
            <w:r w:rsidRPr="000A63E0">
              <w:rPr>
                <w:rFonts w:ascii="Arial" w:hAnsi="Arial" w:cs="Arial"/>
                <w:sz w:val="22"/>
                <w:szCs w:val="22"/>
              </w:rPr>
              <w:t>.  (See Helmer Quickthaw Operations Manual, section 5.5)</w:t>
            </w:r>
          </w:p>
        </w:tc>
      </w:tr>
      <w:tr w:rsidR="002218A0" w:rsidTr="000A63E0">
        <w:trPr>
          <w:trHeight w:val="512"/>
        </w:trPr>
        <w:tc>
          <w:tcPr>
            <w:tcW w:w="10105" w:type="dxa"/>
            <w:gridSpan w:val="7"/>
            <w:vAlign w:val="center"/>
          </w:tcPr>
          <w:p w:rsidR="002218A0" w:rsidRPr="000A63E0" w:rsidRDefault="002218A0" w:rsidP="0007786D">
            <w:pPr>
              <w:rPr>
                <w:rFonts w:ascii="Arial" w:hAnsi="Arial" w:cs="Arial"/>
                <w:b/>
              </w:rPr>
            </w:pPr>
            <w:r w:rsidRPr="000A63E0">
              <w:rPr>
                <w:rFonts w:ascii="Arial" w:hAnsi="Arial" w:cs="Arial"/>
                <w:b/>
                <w:sz w:val="22"/>
                <w:szCs w:val="22"/>
              </w:rPr>
              <w:t>Preventive Maintenance Schedule</w:t>
            </w:r>
          </w:p>
          <w:p w:rsidR="002218A0" w:rsidRPr="000A63E0" w:rsidRDefault="002218A0" w:rsidP="0007786D">
            <w:pPr>
              <w:rPr>
                <w:rFonts w:ascii="Arial" w:hAnsi="Arial" w:cs="Arial"/>
                <w:b/>
              </w:rPr>
            </w:pPr>
          </w:p>
        </w:tc>
      </w:tr>
      <w:tr w:rsidR="002218A0" w:rsidRPr="00BD7224" w:rsidTr="0007786D">
        <w:tblPrEx>
          <w:tblLook w:val="00A0"/>
        </w:tblPrEx>
        <w:trPr>
          <w:gridAfter w:val="1"/>
          <w:wAfter w:w="37" w:type="dxa"/>
        </w:trPr>
        <w:tc>
          <w:tcPr>
            <w:tcW w:w="5397" w:type="dxa"/>
            <w:gridSpan w:val="2"/>
            <w:vMerge w:val="restart"/>
            <w:vAlign w:val="center"/>
          </w:tcPr>
          <w:p w:rsidR="002218A0" w:rsidRPr="0007786D" w:rsidRDefault="002218A0" w:rsidP="0007786D">
            <w:pPr>
              <w:rPr>
                <w:rFonts w:ascii="Arial" w:hAnsi="Arial" w:cs="Arial"/>
              </w:rPr>
            </w:pPr>
            <w:r w:rsidRPr="00BD7224">
              <w:rPr>
                <w:rFonts w:ascii="Arial" w:hAnsi="Arial" w:cs="Arial"/>
                <w:b/>
                <w:sz w:val="22"/>
                <w:szCs w:val="22"/>
              </w:rPr>
              <w:t>TASKS</w:t>
            </w:r>
            <w:r>
              <w:rPr>
                <w:rFonts w:ascii="Arial" w:hAnsi="Arial" w:cs="Arial"/>
                <w:b/>
                <w:sz w:val="22"/>
                <w:szCs w:val="22"/>
              </w:rPr>
              <w:t xml:space="preserve">: </w:t>
            </w:r>
            <w:r w:rsidRPr="0007786D">
              <w:rPr>
                <w:rFonts w:ascii="Arial" w:hAnsi="Arial" w:cs="Arial"/>
                <w:sz w:val="22"/>
                <w:szCs w:val="22"/>
              </w:rPr>
              <w:t>Document on Th</w:t>
            </w:r>
            <w:r w:rsidR="009B47A1">
              <w:rPr>
                <w:rFonts w:ascii="Arial" w:hAnsi="Arial" w:cs="Arial"/>
                <w:sz w:val="22"/>
                <w:szCs w:val="22"/>
              </w:rPr>
              <w:t>awer Daily QC Form</w:t>
            </w:r>
          </w:p>
        </w:tc>
        <w:tc>
          <w:tcPr>
            <w:tcW w:w="4671" w:type="dxa"/>
            <w:gridSpan w:val="4"/>
            <w:vAlign w:val="center"/>
          </w:tcPr>
          <w:p w:rsidR="002218A0" w:rsidRPr="00BD7224" w:rsidRDefault="002218A0" w:rsidP="0007786D">
            <w:pPr>
              <w:jc w:val="center"/>
              <w:rPr>
                <w:rFonts w:ascii="Arial" w:hAnsi="Arial" w:cs="Arial"/>
                <w:b/>
              </w:rPr>
            </w:pPr>
            <w:r w:rsidRPr="00BD7224">
              <w:rPr>
                <w:rFonts w:ascii="Arial" w:hAnsi="Arial" w:cs="Arial"/>
                <w:b/>
                <w:sz w:val="22"/>
                <w:szCs w:val="22"/>
              </w:rPr>
              <w:t>Frequency</w:t>
            </w:r>
          </w:p>
        </w:tc>
      </w:tr>
      <w:tr w:rsidR="002218A0" w:rsidRPr="00BD7224" w:rsidTr="003443F8">
        <w:tblPrEx>
          <w:tblLook w:val="00A0"/>
        </w:tblPrEx>
        <w:trPr>
          <w:gridAfter w:val="1"/>
          <w:wAfter w:w="37" w:type="dxa"/>
          <w:trHeight w:val="260"/>
        </w:trPr>
        <w:tc>
          <w:tcPr>
            <w:tcW w:w="5397" w:type="dxa"/>
            <w:gridSpan w:val="2"/>
            <w:vMerge/>
            <w:vAlign w:val="center"/>
          </w:tcPr>
          <w:p w:rsidR="002218A0" w:rsidRPr="00BD7224" w:rsidRDefault="002218A0" w:rsidP="0007786D">
            <w:pPr>
              <w:rPr>
                <w:rFonts w:ascii="Arial" w:hAnsi="Arial" w:cs="Arial"/>
                <w:b/>
              </w:rPr>
            </w:pPr>
          </w:p>
        </w:tc>
        <w:tc>
          <w:tcPr>
            <w:tcW w:w="989" w:type="dxa"/>
            <w:vAlign w:val="center"/>
          </w:tcPr>
          <w:p w:rsidR="002218A0" w:rsidRPr="00BD7224" w:rsidRDefault="002218A0" w:rsidP="0007786D">
            <w:pPr>
              <w:rPr>
                <w:rFonts w:ascii="Arial" w:hAnsi="Arial" w:cs="Arial"/>
                <w:b/>
                <w:sz w:val="18"/>
                <w:szCs w:val="18"/>
              </w:rPr>
            </w:pPr>
            <w:r w:rsidRPr="00BD7224">
              <w:rPr>
                <w:rFonts w:ascii="Arial" w:hAnsi="Arial" w:cs="Arial"/>
                <w:b/>
                <w:sz w:val="18"/>
                <w:szCs w:val="18"/>
              </w:rPr>
              <w:t>Weekly</w:t>
            </w:r>
          </w:p>
        </w:tc>
        <w:tc>
          <w:tcPr>
            <w:tcW w:w="1017" w:type="dxa"/>
            <w:vAlign w:val="center"/>
          </w:tcPr>
          <w:p w:rsidR="002218A0" w:rsidRPr="00BD7224" w:rsidRDefault="002218A0" w:rsidP="0007786D">
            <w:pPr>
              <w:rPr>
                <w:rFonts w:ascii="Arial" w:hAnsi="Arial" w:cs="Arial"/>
                <w:b/>
                <w:sz w:val="18"/>
                <w:szCs w:val="18"/>
              </w:rPr>
            </w:pPr>
            <w:r w:rsidRPr="00BD7224">
              <w:rPr>
                <w:rFonts w:ascii="Arial" w:hAnsi="Arial" w:cs="Arial"/>
                <w:b/>
                <w:sz w:val="18"/>
                <w:szCs w:val="18"/>
              </w:rPr>
              <w:t>Q</w:t>
            </w:r>
            <w:r>
              <w:rPr>
                <w:rFonts w:ascii="Arial" w:hAnsi="Arial" w:cs="Arial"/>
                <w:b/>
                <w:sz w:val="18"/>
                <w:szCs w:val="18"/>
              </w:rPr>
              <w:t>uar</w:t>
            </w:r>
            <w:r w:rsidRPr="00BD7224">
              <w:rPr>
                <w:rFonts w:ascii="Arial" w:hAnsi="Arial" w:cs="Arial"/>
                <w:b/>
                <w:sz w:val="18"/>
                <w:szCs w:val="18"/>
              </w:rPr>
              <w:t>t</w:t>
            </w:r>
            <w:r>
              <w:rPr>
                <w:rFonts w:ascii="Arial" w:hAnsi="Arial" w:cs="Arial"/>
                <w:b/>
                <w:sz w:val="18"/>
                <w:szCs w:val="18"/>
              </w:rPr>
              <w:t>e</w:t>
            </w:r>
            <w:r w:rsidRPr="00BD7224">
              <w:rPr>
                <w:rFonts w:ascii="Arial" w:hAnsi="Arial" w:cs="Arial"/>
                <w:b/>
                <w:sz w:val="18"/>
                <w:szCs w:val="18"/>
              </w:rPr>
              <w:t>rly</w:t>
            </w:r>
          </w:p>
        </w:tc>
        <w:tc>
          <w:tcPr>
            <w:tcW w:w="1225" w:type="dxa"/>
            <w:vAlign w:val="center"/>
          </w:tcPr>
          <w:p w:rsidR="002218A0" w:rsidRPr="00BD7224" w:rsidRDefault="002218A0" w:rsidP="0007786D">
            <w:pPr>
              <w:rPr>
                <w:rFonts w:ascii="Arial" w:hAnsi="Arial" w:cs="Arial"/>
                <w:b/>
                <w:sz w:val="18"/>
                <w:szCs w:val="18"/>
              </w:rPr>
            </w:pPr>
            <w:r w:rsidRPr="00BD7224">
              <w:rPr>
                <w:rFonts w:ascii="Arial" w:hAnsi="Arial" w:cs="Arial"/>
                <w:b/>
                <w:sz w:val="18"/>
                <w:szCs w:val="18"/>
              </w:rPr>
              <w:t>Annually</w:t>
            </w:r>
          </w:p>
        </w:tc>
        <w:tc>
          <w:tcPr>
            <w:tcW w:w="1440" w:type="dxa"/>
            <w:vAlign w:val="center"/>
          </w:tcPr>
          <w:p w:rsidR="002218A0" w:rsidRPr="00BD7224" w:rsidRDefault="002218A0" w:rsidP="0007786D">
            <w:pPr>
              <w:rPr>
                <w:rFonts w:ascii="Arial" w:hAnsi="Arial" w:cs="Arial"/>
                <w:b/>
                <w:sz w:val="18"/>
                <w:szCs w:val="18"/>
              </w:rPr>
            </w:pPr>
            <w:r>
              <w:rPr>
                <w:rFonts w:ascii="Arial" w:hAnsi="Arial" w:cs="Arial"/>
                <w:b/>
                <w:sz w:val="18"/>
                <w:szCs w:val="18"/>
              </w:rPr>
              <w:t>A</w:t>
            </w:r>
            <w:r w:rsidRPr="00BD7224">
              <w:rPr>
                <w:rFonts w:ascii="Arial" w:hAnsi="Arial" w:cs="Arial"/>
                <w:b/>
                <w:sz w:val="18"/>
                <w:szCs w:val="18"/>
              </w:rPr>
              <w:t>s needed</w:t>
            </w:r>
          </w:p>
        </w:tc>
      </w:tr>
      <w:tr w:rsidR="002218A0" w:rsidRPr="00BD7224" w:rsidTr="0007786D">
        <w:tblPrEx>
          <w:tblLook w:val="00A0"/>
        </w:tblPrEx>
        <w:trPr>
          <w:gridAfter w:val="1"/>
          <w:wAfter w:w="37" w:type="dxa"/>
        </w:trPr>
        <w:tc>
          <w:tcPr>
            <w:tcW w:w="5397" w:type="dxa"/>
            <w:gridSpan w:val="2"/>
            <w:vAlign w:val="center"/>
          </w:tcPr>
          <w:p w:rsidR="002218A0" w:rsidRPr="00BD7224" w:rsidRDefault="002218A0" w:rsidP="0007786D">
            <w:pPr>
              <w:pStyle w:val="ListParagraph"/>
              <w:numPr>
                <w:ilvl w:val="0"/>
                <w:numId w:val="9"/>
              </w:numPr>
              <w:rPr>
                <w:rFonts w:ascii="Arial" w:hAnsi="Arial" w:cs="Arial"/>
              </w:rPr>
            </w:pPr>
            <w:r w:rsidRPr="00BD7224">
              <w:rPr>
                <w:rFonts w:ascii="Arial" w:hAnsi="Arial" w:cs="Arial"/>
                <w:sz w:val="22"/>
                <w:szCs w:val="22"/>
              </w:rPr>
              <w:t>Clean the chamber and baskets.</w:t>
            </w:r>
          </w:p>
        </w:tc>
        <w:tc>
          <w:tcPr>
            <w:tcW w:w="989" w:type="dxa"/>
            <w:vAlign w:val="center"/>
          </w:tcPr>
          <w:p w:rsidR="002218A0" w:rsidRPr="0007786D" w:rsidRDefault="002218A0" w:rsidP="0007786D">
            <w:pPr>
              <w:jc w:val="center"/>
              <w:rPr>
                <w:rFonts w:ascii="Arial" w:hAnsi="Arial" w:cs="Arial"/>
                <w:b/>
              </w:rPr>
            </w:pPr>
            <w:r w:rsidRPr="0007786D">
              <w:rPr>
                <w:rFonts w:ascii="Arial" w:hAnsi="Arial" w:cs="Arial"/>
                <w:b/>
                <w:sz w:val="22"/>
                <w:szCs w:val="22"/>
              </w:rPr>
              <w:t>X</w:t>
            </w:r>
          </w:p>
        </w:tc>
        <w:tc>
          <w:tcPr>
            <w:tcW w:w="1017" w:type="dxa"/>
            <w:vAlign w:val="center"/>
          </w:tcPr>
          <w:p w:rsidR="002218A0" w:rsidRPr="00BD7224" w:rsidRDefault="002218A0" w:rsidP="0007786D">
            <w:pPr>
              <w:rPr>
                <w:rFonts w:ascii="Arial" w:hAnsi="Arial" w:cs="Arial"/>
              </w:rPr>
            </w:pPr>
          </w:p>
        </w:tc>
        <w:tc>
          <w:tcPr>
            <w:tcW w:w="1225" w:type="dxa"/>
            <w:vAlign w:val="center"/>
          </w:tcPr>
          <w:p w:rsidR="002218A0" w:rsidRPr="00BD7224" w:rsidRDefault="002218A0" w:rsidP="0007786D">
            <w:pPr>
              <w:rPr>
                <w:rFonts w:ascii="Arial" w:hAnsi="Arial" w:cs="Arial"/>
              </w:rPr>
            </w:pPr>
          </w:p>
        </w:tc>
        <w:tc>
          <w:tcPr>
            <w:tcW w:w="1440" w:type="dxa"/>
          </w:tcPr>
          <w:p w:rsidR="002218A0" w:rsidRPr="00BD7224" w:rsidRDefault="002218A0" w:rsidP="0007786D">
            <w:pPr>
              <w:rPr>
                <w:rFonts w:ascii="Arial" w:hAnsi="Arial" w:cs="Arial"/>
              </w:rPr>
            </w:pPr>
          </w:p>
        </w:tc>
      </w:tr>
      <w:tr w:rsidR="002218A0" w:rsidRPr="00BD7224" w:rsidTr="0007786D">
        <w:tblPrEx>
          <w:tblLook w:val="00A0"/>
        </w:tblPrEx>
        <w:trPr>
          <w:gridAfter w:val="1"/>
          <w:wAfter w:w="37" w:type="dxa"/>
        </w:trPr>
        <w:tc>
          <w:tcPr>
            <w:tcW w:w="5397" w:type="dxa"/>
            <w:gridSpan w:val="2"/>
            <w:vAlign w:val="center"/>
          </w:tcPr>
          <w:p w:rsidR="002218A0" w:rsidRPr="00BD7224" w:rsidRDefault="002218A0" w:rsidP="0007786D">
            <w:pPr>
              <w:pStyle w:val="ListParagraph"/>
              <w:numPr>
                <w:ilvl w:val="0"/>
                <w:numId w:val="9"/>
              </w:numPr>
              <w:rPr>
                <w:rFonts w:ascii="Arial" w:hAnsi="Arial" w:cs="Arial"/>
              </w:rPr>
            </w:pPr>
            <w:r w:rsidRPr="00BD7224">
              <w:rPr>
                <w:rFonts w:ascii="Arial" w:hAnsi="Arial" w:cs="Arial"/>
                <w:sz w:val="22"/>
                <w:szCs w:val="22"/>
              </w:rPr>
              <w:t>Clean the exterior.</w:t>
            </w:r>
          </w:p>
        </w:tc>
        <w:tc>
          <w:tcPr>
            <w:tcW w:w="989" w:type="dxa"/>
            <w:vAlign w:val="center"/>
          </w:tcPr>
          <w:p w:rsidR="002218A0" w:rsidRPr="00BD7224" w:rsidRDefault="002218A0" w:rsidP="0007786D">
            <w:pPr>
              <w:rPr>
                <w:rFonts w:ascii="Arial" w:hAnsi="Arial" w:cs="Arial"/>
              </w:rPr>
            </w:pPr>
          </w:p>
        </w:tc>
        <w:tc>
          <w:tcPr>
            <w:tcW w:w="1017" w:type="dxa"/>
            <w:vAlign w:val="center"/>
          </w:tcPr>
          <w:p w:rsidR="002218A0" w:rsidRPr="00BD7224" w:rsidRDefault="002218A0" w:rsidP="0007786D">
            <w:pPr>
              <w:rPr>
                <w:rFonts w:ascii="Arial" w:hAnsi="Arial" w:cs="Arial"/>
              </w:rPr>
            </w:pPr>
          </w:p>
        </w:tc>
        <w:tc>
          <w:tcPr>
            <w:tcW w:w="1225" w:type="dxa"/>
            <w:vAlign w:val="center"/>
          </w:tcPr>
          <w:p w:rsidR="002218A0" w:rsidRPr="00BD7224" w:rsidRDefault="002218A0" w:rsidP="0007786D">
            <w:pPr>
              <w:rPr>
                <w:rFonts w:ascii="Arial" w:hAnsi="Arial" w:cs="Arial"/>
              </w:rPr>
            </w:pPr>
          </w:p>
        </w:tc>
        <w:tc>
          <w:tcPr>
            <w:tcW w:w="1440" w:type="dxa"/>
          </w:tcPr>
          <w:p w:rsidR="002218A0" w:rsidRPr="0007786D" w:rsidRDefault="002218A0" w:rsidP="0007786D">
            <w:pPr>
              <w:jc w:val="center"/>
              <w:rPr>
                <w:rFonts w:ascii="Arial" w:hAnsi="Arial" w:cs="Arial"/>
                <w:b/>
              </w:rPr>
            </w:pPr>
            <w:r w:rsidRPr="0007786D">
              <w:rPr>
                <w:rFonts w:ascii="Arial" w:hAnsi="Arial" w:cs="Arial"/>
                <w:b/>
                <w:sz w:val="22"/>
                <w:szCs w:val="22"/>
              </w:rPr>
              <w:t>X</w:t>
            </w:r>
          </w:p>
        </w:tc>
      </w:tr>
      <w:tr w:rsidR="002218A0" w:rsidRPr="00BD7224" w:rsidTr="00DB256C">
        <w:tblPrEx>
          <w:tblLook w:val="00A0"/>
        </w:tblPrEx>
        <w:trPr>
          <w:gridAfter w:val="1"/>
          <w:wAfter w:w="37" w:type="dxa"/>
        </w:trPr>
        <w:tc>
          <w:tcPr>
            <w:tcW w:w="5397" w:type="dxa"/>
            <w:gridSpan w:val="2"/>
            <w:vAlign w:val="center"/>
          </w:tcPr>
          <w:p w:rsidR="002218A0" w:rsidRPr="0007786D" w:rsidRDefault="002218A0" w:rsidP="0007786D">
            <w:pPr>
              <w:pStyle w:val="ListParagraph"/>
              <w:numPr>
                <w:ilvl w:val="0"/>
                <w:numId w:val="9"/>
              </w:numPr>
              <w:rPr>
                <w:rFonts w:ascii="Arial" w:hAnsi="Arial" w:cs="Arial"/>
              </w:rPr>
            </w:pPr>
            <w:r w:rsidRPr="0007786D">
              <w:rPr>
                <w:rFonts w:ascii="Arial" w:hAnsi="Arial" w:cs="Arial"/>
                <w:sz w:val="22"/>
                <w:szCs w:val="22"/>
              </w:rPr>
              <w:t>Lubricate the moving parts and check the basket bearings for wear.</w:t>
            </w:r>
          </w:p>
        </w:tc>
        <w:tc>
          <w:tcPr>
            <w:tcW w:w="989" w:type="dxa"/>
            <w:vAlign w:val="center"/>
          </w:tcPr>
          <w:p w:rsidR="002218A0" w:rsidRPr="00BD7224" w:rsidRDefault="002218A0" w:rsidP="0007786D">
            <w:pPr>
              <w:rPr>
                <w:rFonts w:ascii="Arial" w:hAnsi="Arial" w:cs="Arial"/>
              </w:rPr>
            </w:pPr>
          </w:p>
        </w:tc>
        <w:tc>
          <w:tcPr>
            <w:tcW w:w="1017" w:type="dxa"/>
            <w:vAlign w:val="center"/>
          </w:tcPr>
          <w:p w:rsidR="002218A0" w:rsidRPr="0007786D" w:rsidRDefault="002218A0" w:rsidP="0007786D">
            <w:pPr>
              <w:jc w:val="center"/>
              <w:rPr>
                <w:rFonts w:ascii="Arial" w:hAnsi="Arial" w:cs="Arial"/>
                <w:b/>
              </w:rPr>
            </w:pPr>
          </w:p>
        </w:tc>
        <w:tc>
          <w:tcPr>
            <w:tcW w:w="1225" w:type="dxa"/>
            <w:vAlign w:val="center"/>
          </w:tcPr>
          <w:p w:rsidR="002218A0" w:rsidRPr="00DB256C" w:rsidRDefault="002218A0" w:rsidP="0007786D">
            <w:pPr>
              <w:rPr>
                <w:rFonts w:ascii="Arial" w:hAnsi="Arial" w:cs="Arial"/>
                <w:highlight w:val="yellow"/>
              </w:rPr>
            </w:pPr>
          </w:p>
        </w:tc>
        <w:tc>
          <w:tcPr>
            <w:tcW w:w="1440" w:type="dxa"/>
            <w:vAlign w:val="center"/>
          </w:tcPr>
          <w:p w:rsidR="002218A0" w:rsidRPr="00DB256C" w:rsidRDefault="00DB256C" w:rsidP="00DB256C">
            <w:pPr>
              <w:jc w:val="center"/>
              <w:rPr>
                <w:rFonts w:ascii="Arial" w:hAnsi="Arial" w:cs="Arial"/>
                <w:highlight w:val="yellow"/>
              </w:rPr>
            </w:pPr>
            <w:r w:rsidRPr="00DB256C">
              <w:rPr>
                <w:rFonts w:ascii="Arial" w:hAnsi="Arial" w:cs="Arial"/>
                <w:b/>
                <w:sz w:val="22"/>
                <w:szCs w:val="22"/>
              </w:rPr>
              <w:t>X</w:t>
            </w:r>
          </w:p>
        </w:tc>
      </w:tr>
    </w:tbl>
    <w:p w:rsidR="002218A0" w:rsidRDefault="002218A0" w:rsidP="0007786D">
      <w:pPr>
        <w:rPr>
          <w:rFonts w:ascii="Arial" w:hAnsi="Arial" w:cs="Arial"/>
          <w:b/>
          <w:sz w:val="22"/>
          <w:szCs w:val="22"/>
        </w:rPr>
      </w:pPr>
    </w:p>
    <w:p w:rsidR="002218A0" w:rsidRDefault="002218A0" w:rsidP="002136C5">
      <w:pPr>
        <w:ind w:left="-120"/>
        <w:rPr>
          <w:rFonts w:ascii="Arial" w:hAnsi="Arial" w:cs="Arial"/>
          <w:b/>
          <w:sz w:val="22"/>
          <w:szCs w:val="22"/>
        </w:rPr>
      </w:pPr>
      <w:r>
        <w:rPr>
          <w:rFonts w:ascii="Arial" w:hAnsi="Arial" w:cs="Arial"/>
          <w:b/>
          <w:sz w:val="22"/>
          <w:szCs w:val="22"/>
        </w:rPr>
        <w:t>References:</w:t>
      </w:r>
    </w:p>
    <w:p w:rsidR="002218A0" w:rsidRDefault="002218A0" w:rsidP="002136C5">
      <w:pPr>
        <w:ind w:left="-120"/>
        <w:rPr>
          <w:rFonts w:ascii="Arial" w:hAnsi="Arial" w:cs="Arial"/>
          <w:sz w:val="22"/>
          <w:szCs w:val="22"/>
        </w:rPr>
      </w:pPr>
      <w:r>
        <w:rPr>
          <w:rFonts w:ascii="Arial" w:hAnsi="Arial" w:cs="Arial"/>
          <w:sz w:val="22"/>
          <w:szCs w:val="22"/>
        </w:rPr>
        <w:t>Helmer Quick Thaw Plasma Thawing System Operation Manual</w:t>
      </w:r>
    </w:p>
    <w:p w:rsidR="002218A0" w:rsidRDefault="002218A0" w:rsidP="002136C5">
      <w:pPr>
        <w:ind w:left="-120"/>
        <w:rPr>
          <w:rFonts w:ascii="Arial" w:hAnsi="Arial" w:cs="Arial"/>
          <w:sz w:val="22"/>
          <w:szCs w:val="22"/>
        </w:rPr>
      </w:pPr>
    </w:p>
    <w:p w:rsidR="002218A0" w:rsidRPr="005C0795" w:rsidRDefault="002218A0" w:rsidP="002136C5">
      <w:pPr>
        <w:ind w:left="-120"/>
      </w:pPr>
      <w:r w:rsidRPr="00CC4814">
        <w:rPr>
          <w:rFonts w:ascii="Arial" w:hAnsi="Arial" w:cs="Arial"/>
          <w:sz w:val="22"/>
          <w:szCs w:val="22"/>
        </w:rPr>
        <w:t>Standards for Blood Banks and Transfusion Services, Current Edition: American Association of Blood Banks.</w:t>
      </w:r>
      <w:r>
        <w:rPr>
          <w:rFonts w:ascii="Arial" w:hAnsi="Arial" w:cs="Arial"/>
          <w:sz w:val="22"/>
          <w:szCs w:val="22"/>
        </w:rPr>
        <w:t xml:space="preserve"> AABB Press, </w:t>
      </w:r>
      <w:r w:rsidRPr="00CC4814">
        <w:rPr>
          <w:rFonts w:ascii="Arial" w:hAnsi="Arial" w:cs="Arial"/>
          <w:sz w:val="22"/>
          <w:szCs w:val="22"/>
        </w:rPr>
        <w:t>Bethesda, MD</w:t>
      </w:r>
      <w:r>
        <w:rPr>
          <w:rFonts w:ascii="Arial" w:hAnsi="Arial" w:cs="Arial"/>
          <w:sz w:val="22"/>
          <w:szCs w:val="22"/>
        </w:rPr>
        <w:t>.</w:t>
      </w:r>
    </w:p>
    <w:sectPr w:rsidR="002218A0" w:rsidRPr="005C0795" w:rsidSect="0007786D">
      <w:headerReference w:type="default" r:id="rId7"/>
      <w:headerReference w:type="first" r:id="rId8"/>
      <w:pgSz w:w="12240" w:h="15840"/>
      <w:pgMar w:top="1440" w:right="1440" w:bottom="117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7A1" w:rsidRDefault="009B47A1" w:rsidP="005F64ED">
      <w:r>
        <w:separator/>
      </w:r>
    </w:p>
  </w:endnote>
  <w:endnote w:type="continuationSeparator" w:id="0">
    <w:p w:rsidR="009B47A1" w:rsidRDefault="009B47A1" w:rsidP="005F6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7A1" w:rsidRDefault="009B47A1" w:rsidP="005F64ED">
      <w:r>
        <w:separator/>
      </w:r>
    </w:p>
  </w:footnote>
  <w:footnote w:type="continuationSeparator" w:id="0">
    <w:p w:rsidR="009B47A1" w:rsidRDefault="009B47A1" w:rsidP="005F6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7"/>
      <w:gridCol w:w="3106"/>
    </w:tblGrid>
    <w:tr w:rsidR="009B47A1" w:rsidRPr="00BD7224" w:rsidTr="00040C5E">
      <w:trPr>
        <w:cantSplit/>
        <w:trHeight w:val="590"/>
        <w:jc w:val="center"/>
      </w:trPr>
      <w:tc>
        <w:tcPr>
          <w:tcW w:w="7067" w:type="dxa"/>
          <w:vAlign w:val="center"/>
        </w:tcPr>
        <w:p w:rsidR="009B47A1" w:rsidRPr="00BD7224" w:rsidRDefault="009B47A1" w:rsidP="00040C5E">
          <w:pPr>
            <w:rPr>
              <w:rFonts w:ascii="Arial" w:hAnsi="Arial" w:cs="Arial"/>
              <w:b/>
              <w:sz w:val="28"/>
            </w:rPr>
          </w:pPr>
          <w:r w:rsidRPr="00BD7224">
            <w:rPr>
              <w:rFonts w:ascii="Arial" w:hAnsi="Arial" w:cs="Arial"/>
              <w:b/>
              <w:sz w:val="28"/>
            </w:rPr>
            <w:t xml:space="preserve">TITLE:  </w:t>
          </w:r>
          <w:smartTag w:uri="urn:schemas-microsoft-com:office:smarttags" w:element="City">
            <w:smartTag w:uri="urn:schemas-microsoft-com:office:smarttags" w:element="place">
              <w:smartTag w:uri="urn:schemas-microsoft-com:office:smarttags" w:element="City">
                <w:r w:rsidRPr="00BD7224">
                  <w:rPr>
                    <w:rFonts w:ascii="Arial" w:hAnsi="Arial" w:cs="Arial"/>
                    <w:b/>
                    <w:sz w:val="28"/>
                  </w:rPr>
                  <w:t>Quickthaw</w:t>
                </w:r>
              </w:smartTag>
              <w:r w:rsidRPr="00BD7224">
                <w:rPr>
                  <w:rFonts w:ascii="Arial" w:hAnsi="Arial" w:cs="Arial"/>
                  <w:b/>
                  <w:sz w:val="28"/>
                </w:rPr>
                <w:t xml:space="preserve"> </w:t>
              </w:r>
              <w:smartTag w:uri="urn:schemas-microsoft-com:office:smarttags" w:element="State">
                <w:r w:rsidRPr="00BD7224">
                  <w:rPr>
                    <w:rFonts w:ascii="Arial" w:hAnsi="Arial" w:cs="Arial"/>
                    <w:b/>
                    <w:sz w:val="28"/>
                  </w:rPr>
                  <w:t>QC</w:t>
                </w:r>
              </w:smartTag>
            </w:smartTag>
          </w:smartTag>
          <w:r w:rsidRPr="00BD7224">
            <w:rPr>
              <w:rFonts w:ascii="Arial" w:hAnsi="Arial" w:cs="Arial"/>
              <w:b/>
              <w:sz w:val="28"/>
            </w:rPr>
            <w:t xml:space="preserve"> and Maintenance</w:t>
          </w:r>
        </w:p>
      </w:tc>
      <w:tc>
        <w:tcPr>
          <w:tcW w:w="3106" w:type="dxa"/>
          <w:vAlign w:val="center"/>
        </w:tcPr>
        <w:p w:rsidR="009B47A1" w:rsidRPr="00BD7224" w:rsidRDefault="009B47A1" w:rsidP="00040C5E">
          <w:pPr>
            <w:rPr>
              <w:rFonts w:ascii="Arial" w:hAnsi="Arial" w:cs="Arial"/>
              <w:b/>
            </w:rPr>
          </w:pPr>
          <w:r w:rsidRPr="00BD7224">
            <w:rPr>
              <w:rFonts w:ascii="Arial" w:hAnsi="Arial" w:cs="Arial"/>
              <w:b/>
            </w:rPr>
            <w:t>Number:</w:t>
          </w:r>
        </w:p>
      </w:tc>
    </w:tr>
  </w:tbl>
  <w:p w:rsidR="009B47A1" w:rsidRDefault="009B47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7A1" w:rsidRPr="0007786D" w:rsidRDefault="00CB42B4" w:rsidP="005F64ED">
    <w:pPr>
      <w:jc w:val="both"/>
      <w:rPr>
        <w:rFonts w:ascii="Times New Roman" w:hAnsi="Times New Roman"/>
        <w:sz w:val="16"/>
        <w:szCs w:val="16"/>
      </w:rPr>
    </w:pPr>
    <w:hyperlink r:id="rId1" w:history="1">
      <w:r w:rsidRPr="00CB42B4">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Laboratory Medicine banner" href="http://depts.washington.edu/labweb/index" style="width:501pt;height:52.5pt;visibility:visible" o:button="t">
            <v:fill o:detectmouseclick="t"/>
            <v:imagedata r:id="rId2" o:title=""/>
          </v:shape>
        </w:pict>
      </w:r>
    </w:hyperlink>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tblPr>
    <w:tblGrid>
      <w:gridCol w:w="5067"/>
      <w:gridCol w:w="2747"/>
      <w:gridCol w:w="2251"/>
    </w:tblGrid>
    <w:tr w:rsidR="009B47A1" w:rsidRPr="00BD7224" w:rsidTr="0007786D">
      <w:trPr>
        <w:cantSplit/>
        <w:trHeight w:val="480"/>
      </w:trPr>
      <w:tc>
        <w:tcPr>
          <w:tcW w:w="5067" w:type="dxa"/>
          <w:vMerge w:val="restart"/>
          <w:tcBorders>
            <w:top w:val="double" w:sz="4" w:space="0" w:color="auto"/>
            <w:bottom w:val="single" w:sz="4" w:space="0" w:color="auto"/>
            <w:right w:val="single" w:sz="4" w:space="0" w:color="auto"/>
          </w:tcBorders>
          <w:vAlign w:val="center"/>
        </w:tcPr>
        <w:p w:rsidR="009B47A1" w:rsidRPr="005C0795" w:rsidRDefault="009B47A1" w:rsidP="005F64ED">
          <w:pPr>
            <w:rPr>
              <w:rFonts w:ascii="Arial" w:hAnsi="Arial" w:cs="Arial"/>
              <w:b/>
            </w:rPr>
          </w:pPr>
          <w:smartTag w:uri="urn:schemas-microsoft-com:office:smarttags" w:element="PlaceType">
            <w:smartTag w:uri="urn:schemas-microsoft-com:office:smarttags" w:element="place">
              <w:r w:rsidRPr="005C0795">
                <w:rPr>
                  <w:rFonts w:ascii="Arial" w:hAnsi="Arial" w:cs="Arial"/>
                  <w:b/>
                  <w:sz w:val="22"/>
                  <w:szCs w:val="22"/>
                </w:rPr>
                <w:t>University</w:t>
              </w:r>
            </w:smartTag>
            <w:r w:rsidRPr="005C0795">
              <w:rPr>
                <w:rFonts w:ascii="Arial" w:hAnsi="Arial" w:cs="Arial"/>
                <w:b/>
                <w:sz w:val="22"/>
                <w:szCs w:val="22"/>
              </w:rPr>
              <w:t xml:space="preserve"> of </w:t>
            </w:r>
            <w:smartTag w:uri="urn:schemas-microsoft-com:office:smarttags" w:element="PlaceName">
              <w:r w:rsidRPr="005C0795">
                <w:rPr>
                  <w:rFonts w:ascii="Arial" w:hAnsi="Arial" w:cs="Arial"/>
                  <w:b/>
                  <w:sz w:val="22"/>
                  <w:szCs w:val="22"/>
                </w:rPr>
                <w:t>Washington</w:t>
              </w:r>
            </w:smartTag>
          </w:smartTag>
          <w:r w:rsidRPr="005C0795">
            <w:rPr>
              <w:rFonts w:ascii="Arial" w:hAnsi="Arial" w:cs="Arial"/>
              <w:b/>
              <w:sz w:val="22"/>
              <w:szCs w:val="22"/>
            </w:rPr>
            <w:t xml:space="preserve">, </w:t>
          </w:r>
        </w:p>
        <w:p w:rsidR="009B47A1" w:rsidRPr="005C0795" w:rsidRDefault="009B47A1" w:rsidP="005F64ED">
          <w:pPr>
            <w:rPr>
              <w:rFonts w:ascii="Arial" w:hAnsi="Arial" w:cs="Arial"/>
              <w:b/>
            </w:rPr>
          </w:pPr>
          <w:smartTag w:uri="urn:schemas-microsoft-com:office:smarttags" w:element="PostalCode">
            <w:smartTag w:uri="urn:schemas-microsoft-com:office:smarttags" w:element="PlaceName">
              <w:r w:rsidRPr="005C0795">
                <w:rPr>
                  <w:rFonts w:ascii="Arial" w:hAnsi="Arial" w:cs="Arial"/>
                  <w:b/>
                  <w:sz w:val="22"/>
                  <w:szCs w:val="22"/>
                </w:rPr>
                <w:t>Harborview</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Medical</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Center</w:t>
              </w:r>
            </w:smartTag>
          </w:smartTag>
        </w:p>
        <w:p w:rsidR="009B47A1" w:rsidRPr="005C0795" w:rsidRDefault="009B47A1" w:rsidP="005F64ED">
          <w:pPr>
            <w:rPr>
              <w:rFonts w:ascii="Arial" w:hAnsi="Arial" w:cs="Arial"/>
              <w:b/>
            </w:rPr>
          </w:pPr>
          <w:smartTag w:uri="urn:schemas-microsoft-com:office:smarttags" w:element="PostalCode">
            <w:r w:rsidRPr="005C0795">
              <w:rPr>
                <w:rFonts w:ascii="Arial" w:hAnsi="Arial" w:cs="Arial"/>
                <w:b/>
                <w:sz w:val="22"/>
                <w:szCs w:val="22"/>
              </w:rPr>
              <w:t>325 9</w:t>
            </w:r>
            <w:r w:rsidRPr="005C0795">
              <w:rPr>
                <w:rFonts w:ascii="Arial" w:hAnsi="Arial" w:cs="Arial"/>
                <w:b/>
                <w:sz w:val="22"/>
                <w:szCs w:val="22"/>
                <w:vertAlign w:val="superscript"/>
              </w:rPr>
              <w:t>th</w:t>
            </w:r>
            <w:r w:rsidRPr="005C0795">
              <w:rPr>
                <w:rFonts w:ascii="Arial" w:hAnsi="Arial" w:cs="Arial"/>
                <w:b/>
                <w:sz w:val="22"/>
                <w:szCs w:val="22"/>
              </w:rPr>
              <w:t xml:space="preserve"> Ave.</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Seattle</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WA</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98104</w:t>
            </w:r>
          </w:smartTag>
        </w:p>
        <w:p w:rsidR="009B47A1" w:rsidRPr="005C0795" w:rsidRDefault="009B47A1" w:rsidP="005F64ED">
          <w:pPr>
            <w:rPr>
              <w:rFonts w:ascii="Arial" w:hAnsi="Arial" w:cs="Arial"/>
              <w:b/>
            </w:rPr>
          </w:pPr>
          <w:r w:rsidRPr="005C0795">
            <w:rPr>
              <w:rFonts w:ascii="Arial" w:hAnsi="Arial" w:cs="Arial"/>
              <w:b/>
              <w:sz w:val="22"/>
              <w:szCs w:val="22"/>
            </w:rPr>
            <w:t>Transfusion Services Laboratory</w:t>
          </w:r>
        </w:p>
        <w:p w:rsidR="009B47A1" w:rsidRPr="005C0795" w:rsidRDefault="009B47A1" w:rsidP="005F64ED">
          <w:pPr>
            <w:rPr>
              <w:rFonts w:ascii="Arial" w:hAnsi="Arial" w:cs="Arial"/>
              <w:b/>
            </w:rPr>
          </w:pPr>
          <w:r w:rsidRPr="005C0795">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9B47A1" w:rsidRPr="005C0795" w:rsidRDefault="009B47A1" w:rsidP="005F64ED">
          <w:pPr>
            <w:rPr>
              <w:rFonts w:ascii="Arial" w:hAnsi="Arial" w:cs="Arial"/>
              <w:b/>
            </w:rPr>
          </w:pPr>
          <w:r w:rsidRPr="005C0795">
            <w:rPr>
              <w:rFonts w:ascii="Arial" w:hAnsi="Arial" w:cs="Arial"/>
              <w:b/>
              <w:sz w:val="22"/>
              <w:szCs w:val="22"/>
            </w:rPr>
            <w:t>Original Effective Date:</w:t>
          </w:r>
        </w:p>
        <w:p w:rsidR="009B47A1" w:rsidRPr="005C0795" w:rsidRDefault="009B47A1" w:rsidP="005F64ED">
          <w:pPr>
            <w:jc w:val="both"/>
            <w:rPr>
              <w:rFonts w:ascii="Arial" w:hAnsi="Arial" w:cs="Arial"/>
              <w:b/>
            </w:rPr>
          </w:pPr>
          <w:r w:rsidRPr="005C0795">
            <w:rPr>
              <w:rFonts w:ascii="Arial" w:hAnsi="Arial" w:cs="Arial"/>
              <w:b/>
              <w:sz w:val="22"/>
              <w:szCs w:val="22"/>
            </w:rPr>
            <w:t xml:space="preserve"> </w:t>
          </w:r>
          <w:r>
            <w:rPr>
              <w:rFonts w:ascii="Arial" w:hAnsi="Arial" w:cs="Arial"/>
              <w:sz w:val="22"/>
              <w:szCs w:val="22"/>
            </w:rPr>
            <w:t>April</w:t>
          </w:r>
          <w:r w:rsidRPr="005C0795">
            <w:rPr>
              <w:rFonts w:ascii="Arial" w:hAnsi="Arial" w:cs="Arial"/>
              <w:sz w:val="22"/>
              <w:szCs w:val="22"/>
            </w:rPr>
            <w:t xml:space="preserve"> 1</w:t>
          </w:r>
          <w:r w:rsidRPr="005C0795">
            <w:rPr>
              <w:rFonts w:ascii="Arial" w:hAnsi="Arial" w:cs="Arial"/>
              <w:sz w:val="22"/>
              <w:szCs w:val="22"/>
              <w:vertAlign w:val="superscript"/>
            </w:rPr>
            <w:t>s</w:t>
          </w:r>
          <w:r w:rsidRPr="002136C5">
            <w:rPr>
              <w:rFonts w:ascii="Arial" w:hAnsi="Arial" w:cs="Arial"/>
              <w:sz w:val="22"/>
              <w:szCs w:val="22"/>
              <w:vertAlign w:val="superscript"/>
            </w:rPr>
            <w:t>t</w:t>
          </w:r>
          <w:r w:rsidRPr="002136C5">
            <w:rPr>
              <w:rFonts w:ascii="Arial" w:hAnsi="Arial" w:cs="Arial"/>
              <w:sz w:val="22"/>
              <w:szCs w:val="22"/>
            </w:rPr>
            <w:t xml:space="preserve"> 2011</w:t>
          </w:r>
        </w:p>
      </w:tc>
      <w:tc>
        <w:tcPr>
          <w:tcW w:w="2251" w:type="dxa"/>
          <w:tcBorders>
            <w:top w:val="double" w:sz="4" w:space="0" w:color="auto"/>
            <w:left w:val="nil"/>
            <w:bottom w:val="nil"/>
          </w:tcBorders>
        </w:tcPr>
        <w:p w:rsidR="009B47A1" w:rsidRPr="005C0795" w:rsidRDefault="009B47A1" w:rsidP="005F64ED">
          <w:pPr>
            <w:jc w:val="both"/>
            <w:rPr>
              <w:rFonts w:ascii="Arial" w:hAnsi="Arial" w:cs="Arial"/>
              <w:b/>
            </w:rPr>
          </w:pPr>
          <w:r w:rsidRPr="005C0795">
            <w:rPr>
              <w:rFonts w:ascii="Arial" w:hAnsi="Arial" w:cs="Arial"/>
              <w:b/>
              <w:sz w:val="22"/>
              <w:szCs w:val="22"/>
            </w:rPr>
            <w:t xml:space="preserve">Number: </w:t>
          </w:r>
        </w:p>
        <w:p w:rsidR="009B47A1" w:rsidRPr="005C0795" w:rsidRDefault="00DB256C" w:rsidP="005F64ED">
          <w:pPr>
            <w:jc w:val="both"/>
            <w:rPr>
              <w:rFonts w:ascii="Arial" w:hAnsi="Arial" w:cs="Arial"/>
              <w:b/>
            </w:rPr>
          </w:pPr>
          <w:r>
            <w:rPr>
              <w:rFonts w:ascii="Arial" w:hAnsi="Arial" w:cs="Arial"/>
              <w:b/>
            </w:rPr>
            <w:t>3007-2</w:t>
          </w:r>
        </w:p>
      </w:tc>
    </w:tr>
    <w:tr w:rsidR="009B47A1" w:rsidRPr="00BD7224" w:rsidTr="0007786D">
      <w:trPr>
        <w:cantSplit/>
        <w:trHeight w:val="132"/>
      </w:trPr>
      <w:tc>
        <w:tcPr>
          <w:tcW w:w="5067" w:type="dxa"/>
          <w:vMerge/>
          <w:tcBorders>
            <w:top w:val="nil"/>
            <w:bottom w:val="single" w:sz="4" w:space="0" w:color="auto"/>
            <w:right w:val="single" w:sz="4" w:space="0" w:color="auto"/>
          </w:tcBorders>
        </w:tcPr>
        <w:p w:rsidR="009B47A1" w:rsidRPr="005C0795" w:rsidRDefault="009B47A1" w:rsidP="005F64ED">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9B47A1" w:rsidRPr="005C0795" w:rsidRDefault="009B47A1" w:rsidP="005F64ED">
          <w:pPr>
            <w:jc w:val="both"/>
            <w:rPr>
              <w:rFonts w:ascii="Arial" w:hAnsi="Arial" w:cs="Arial"/>
              <w:b/>
            </w:rPr>
          </w:pPr>
          <w:r w:rsidRPr="005C0795">
            <w:rPr>
              <w:rFonts w:ascii="Arial" w:hAnsi="Arial" w:cs="Arial"/>
              <w:b/>
              <w:sz w:val="22"/>
              <w:szCs w:val="22"/>
            </w:rPr>
            <w:t>Revision Effective Date:</w:t>
          </w:r>
        </w:p>
        <w:p w:rsidR="009B47A1" w:rsidRPr="00DB256C" w:rsidRDefault="00DB256C" w:rsidP="005F64ED">
          <w:pPr>
            <w:jc w:val="both"/>
            <w:rPr>
              <w:rFonts w:ascii="Arial" w:hAnsi="Arial" w:cs="Arial"/>
            </w:rPr>
          </w:pPr>
          <w:r>
            <w:rPr>
              <w:rFonts w:ascii="Arial" w:hAnsi="Arial" w:cs="Arial"/>
            </w:rPr>
            <w:t>October 19, 2011</w:t>
          </w:r>
        </w:p>
      </w:tc>
      <w:tc>
        <w:tcPr>
          <w:tcW w:w="2251" w:type="dxa"/>
          <w:tcBorders>
            <w:top w:val="single" w:sz="4" w:space="0" w:color="auto"/>
            <w:left w:val="nil"/>
            <w:bottom w:val="single" w:sz="4" w:space="0" w:color="auto"/>
          </w:tcBorders>
        </w:tcPr>
        <w:p w:rsidR="009B47A1" w:rsidRPr="002136C5" w:rsidRDefault="009B47A1" w:rsidP="005F64ED">
          <w:pPr>
            <w:jc w:val="both"/>
            <w:rPr>
              <w:rFonts w:ascii="Arial" w:hAnsi="Arial" w:cs="Arial"/>
            </w:rPr>
          </w:pPr>
          <w:r w:rsidRPr="005C0795">
            <w:rPr>
              <w:rFonts w:ascii="Arial" w:hAnsi="Arial" w:cs="Arial"/>
              <w:b/>
              <w:sz w:val="22"/>
              <w:szCs w:val="22"/>
            </w:rPr>
            <w:t xml:space="preserve">Pages: </w:t>
          </w:r>
          <w:r>
            <w:rPr>
              <w:rFonts w:ascii="Arial" w:hAnsi="Arial" w:cs="Arial"/>
              <w:sz w:val="22"/>
              <w:szCs w:val="22"/>
            </w:rPr>
            <w:t>1</w:t>
          </w:r>
        </w:p>
      </w:tc>
    </w:tr>
    <w:tr w:rsidR="009B47A1" w:rsidRPr="00BD7224" w:rsidTr="0007786D">
      <w:trPr>
        <w:cantSplit/>
        <w:trHeight w:val="590"/>
      </w:trPr>
      <w:tc>
        <w:tcPr>
          <w:tcW w:w="10065" w:type="dxa"/>
          <w:gridSpan w:val="3"/>
          <w:tcBorders>
            <w:top w:val="nil"/>
            <w:bottom w:val="double" w:sz="4" w:space="0" w:color="auto"/>
          </w:tcBorders>
          <w:vAlign w:val="center"/>
        </w:tcPr>
        <w:p w:rsidR="009B47A1" w:rsidRPr="0007786D" w:rsidRDefault="009B47A1" w:rsidP="005F64ED">
          <w:pPr>
            <w:rPr>
              <w:rFonts w:ascii="Arial" w:hAnsi="Arial" w:cs="Arial"/>
              <w:sz w:val="28"/>
              <w:szCs w:val="28"/>
            </w:rPr>
          </w:pPr>
          <w:r>
            <w:rPr>
              <w:rFonts w:ascii="Arial" w:hAnsi="Arial" w:cs="Arial"/>
              <w:sz w:val="28"/>
              <w:szCs w:val="28"/>
            </w:rPr>
            <w:t>TITLE:  Plasma Thawer</w:t>
          </w:r>
          <w:r w:rsidRPr="0007786D">
            <w:rPr>
              <w:rFonts w:ascii="Arial" w:hAnsi="Arial" w:cs="Arial"/>
              <w:sz w:val="28"/>
              <w:szCs w:val="28"/>
            </w:rPr>
            <w:t xml:space="preserve"> QC and Maintenance</w:t>
          </w:r>
        </w:p>
      </w:tc>
    </w:tr>
  </w:tbl>
  <w:p w:rsidR="009B47A1" w:rsidRDefault="009B47A1" w:rsidP="005C07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063F"/>
    <w:multiLevelType w:val="hybridMultilevel"/>
    <w:tmpl w:val="E278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46010"/>
    <w:multiLevelType w:val="hybridMultilevel"/>
    <w:tmpl w:val="0316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311395"/>
    <w:multiLevelType w:val="hybridMultilevel"/>
    <w:tmpl w:val="8B9E8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8"/>
  </w:num>
  <w:num w:numId="6">
    <w:abstractNumId w:val="2"/>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2D0"/>
    <w:rsid w:val="00027E68"/>
    <w:rsid w:val="00040C5E"/>
    <w:rsid w:val="00057968"/>
    <w:rsid w:val="0007786D"/>
    <w:rsid w:val="00083FDC"/>
    <w:rsid w:val="000A485A"/>
    <w:rsid w:val="000A63E0"/>
    <w:rsid w:val="000D61D0"/>
    <w:rsid w:val="001810FE"/>
    <w:rsid w:val="001F3CFF"/>
    <w:rsid w:val="002136C5"/>
    <w:rsid w:val="002218A0"/>
    <w:rsid w:val="00235054"/>
    <w:rsid w:val="002E42B2"/>
    <w:rsid w:val="00342916"/>
    <w:rsid w:val="003443F8"/>
    <w:rsid w:val="003965C4"/>
    <w:rsid w:val="003E7609"/>
    <w:rsid w:val="004640EC"/>
    <w:rsid w:val="004772D0"/>
    <w:rsid w:val="00490E5B"/>
    <w:rsid w:val="004B5804"/>
    <w:rsid w:val="004F7AA1"/>
    <w:rsid w:val="00524EE0"/>
    <w:rsid w:val="005773D2"/>
    <w:rsid w:val="0058646B"/>
    <w:rsid w:val="00591718"/>
    <w:rsid w:val="005C0795"/>
    <w:rsid w:val="005D60F5"/>
    <w:rsid w:val="005E68D5"/>
    <w:rsid w:val="005F503A"/>
    <w:rsid w:val="005F64ED"/>
    <w:rsid w:val="005F679D"/>
    <w:rsid w:val="006A7406"/>
    <w:rsid w:val="006B0152"/>
    <w:rsid w:val="00716F9D"/>
    <w:rsid w:val="007570E4"/>
    <w:rsid w:val="008E5061"/>
    <w:rsid w:val="00932AE3"/>
    <w:rsid w:val="00937CFC"/>
    <w:rsid w:val="00962215"/>
    <w:rsid w:val="009B47A1"/>
    <w:rsid w:val="009C5785"/>
    <w:rsid w:val="009C5DA9"/>
    <w:rsid w:val="00A30769"/>
    <w:rsid w:val="00AC29A1"/>
    <w:rsid w:val="00AC7BE7"/>
    <w:rsid w:val="00B467D6"/>
    <w:rsid w:val="00B94FE2"/>
    <w:rsid w:val="00B96316"/>
    <w:rsid w:val="00BD7224"/>
    <w:rsid w:val="00BF6601"/>
    <w:rsid w:val="00C01713"/>
    <w:rsid w:val="00C10B69"/>
    <w:rsid w:val="00C22597"/>
    <w:rsid w:val="00C23790"/>
    <w:rsid w:val="00C447BA"/>
    <w:rsid w:val="00CB42B4"/>
    <w:rsid w:val="00CC0D56"/>
    <w:rsid w:val="00CC37F6"/>
    <w:rsid w:val="00CC4814"/>
    <w:rsid w:val="00CF26C6"/>
    <w:rsid w:val="00D549C7"/>
    <w:rsid w:val="00D63CA6"/>
    <w:rsid w:val="00D74260"/>
    <w:rsid w:val="00DB256C"/>
    <w:rsid w:val="00E14CF3"/>
    <w:rsid w:val="00F17B12"/>
    <w:rsid w:val="00F57092"/>
    <w:rsid w:val="00FA30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5F64ED"/>
    <w:pPr>
      <w:tabs>
        <w:tab w:val="center" w:pos="4680"/>
        <w:tab w:val="right" w:pos="9360"/>
      </w:tabs>
    </w:pPr>
  </w:style>
  <w:style w:type="character" w:customStyle="1" w:styleId="HeaderChar">
    <w:name w:val="Header Char"/>
    <w:basedOn w:val="DefaultParagraphFont"/>
    <w:link w:val="Header"/>
    <w:uiPriority w:val="99"/>
    <w:locked/>
    <w:rsid w:val="005F64ED"/>
    <w:rPr>
      <w:rFonts w:cs="Times New Roman"/>
      <w:sz w:val="24"/>
      <w:szCs w:val="24"/>
    </w:rPr>
  </w:style>
  <w:style w:type="paragraph" w:styleId="Footer">
    <w:name w:val="footer"/>
    <w:basedOn w:val="Normal"/>
    <w:link w:val="FooterChar"/>
    <w:uiPriority w:val="99"/>
    <w:semiHidden/>
    <w:rsid w:val="005F64ED"/>
    <w:pPr>
      <w:tabs>
        <w:tab w:val="center" w:pos="4680"/>
        <w:tab w:val="right" w:pos="9360"/>
      </w:tabs>
    </w:pPr>
  </w:style>
  <w:style w:type="character" w:customStyle="1" w:styleId="FooterChar">
    <w:name w:val="Footer Char"/>
    <w:basedOn w:val="DefaultParagraphFont"/>
    <w:link w:val="Footer"/>
    <w:uiPriority w:val="99"/>
    <w:semiHidden/>
    <w:locked/>
    <w:rsid w:val="005F64ED"/>
    <w:rPr>
      <w:rFonts w:cs="Times New Roman"/>
      <w:sz w:val="24"/>
      <w:szCs w:val="24"/>
    </w:rPr>
  </w:style>
  <w:style w:type="paragraph" w:styleId="BalloonText">
    <w:name w:val="Balloon Text"/>
    <w:basedOn w:val="Normal"/>
    <w:link w:val="BalloonTextChar"/>
    <w:uiPriority w:val="99"/>
    <w:semiHidden/>
    <w:rsid w:val="005F64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4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PURPOSE:  This procedure documents the steps for quality control and the schedule for preventive maintenance for the Helmer Quickthaw System</vt:lpstr>
    </vt:vector>
  </TitlesOfParts>
  <Company>University of Washington</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This procedure documents the steps for quality control and the schedule for preventive maintenance for the Helmer Quickthaw System</dc:title>
  <dc:subject/>
  <dc:creator>Brenda Hayden</dc:creator>
  <cp:keywords/>
  <dc:description/>
  <cp:lastModifiedBy>Brenda Hayden</cp:lastModifiedBy>
  <cp:revision>2</cp:revision>
  <cp:lastPrinted>2011-10-07T23:09:00Z</cp:lastPrinted>
  <dcterms:created xsi:type="dcterms:W3CDTF">2011-11-09T22:48:00Z</dcterms:created>
  <dcterms:modified xsi:type="dcterms:W3CDTF">2011-11-09T22:48:00Z</dcterms:modified>
</cp:coreProperties>
</file>