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AD" w:rsidRPr="009E56BA" w:rsidRDefault="00DD3BAD" w:rsidP="0035405A">
      <w:pPr>
        <w:spacing w:after="0" w:line="240" w:lineRule="auto"/>
        <w:rPr>
          <w:sz w:val="28"/>
          <w:szCs w:val="28"/>
        </w:rPr>
      </w:pPr>
      <w:r w:rsidRPr="00DD3BAD">
        <w:rPr>
          <w:b/>
          <w:sz w:val="28"/>
          <w:szCs w:val="28"/>
          <w:u w:val="single"/>
        </w:rPr>
        <w:t>Junk Bonds</w:t>
      </w:r>
      <w:r w:rsidR="009E56BA">
        <w:rPr>
          <w:b/>
          <w:sz w:val="28"/>
          <w:szCs w:val="28"/>
          <w:u w:val="single"/>
        </w:rPr>
        <w:t xml:space="preserve"> </w:t>
      </w:r>
      <w:r w:rsidR="009E56BA" w:rsidRPr="009E56BA">
        <w:rPr>
          <w:sz w:val="28"/>
          <w:szCs w:val="28"/>
        </w:rPr>
        <w:t xml:space="preserve">(or </w:t>
      </w:r>
      <w:r w:rsidR="009E56BA" w:rsidRPr="009E56BA">
        <w:rPr>
          <w:b/>
          <w:sz w:val="28"/>
          <w:szCs w:val="28"/>
        </w:rPr>
        <w:t>C</w:t>
      </w:r>
      <w:r w:rsidR="009E56BA" w:rsidRPr="009E56BA">
        <w:rPr>
          <w:sz w:val="28"/>
          <w:szCs w:val="28"/>
        </w:rPr>
        <w:t xml:space="preserve">linically </w:t>
      </w:r>
      <w:r w:rsidR="009E56BA" w:rsidRPr="009E56BA">
        <w:rPr>
          <w:b/>
          <w:sz w:val="28"/>
          <w:szCs w:val="28"/>
        </w:rPr>
        <w:t>I</w:t>
      </w:r>
      <w:r w:rsidR="009E56BA" w:rsidRPr="009E56BA">
        <w:rPr>
          <w:sz w:val="28"/>
          <w:szCs w:val="28"/>
        </w:rPr>
        <w:t xml:space="preserve">nsignificant </w:t>
      </w:r>
      <w:r w:rsidR="009E56BA" w:rsidRPr="009E56BA">
        <w:rPr>
          <w:b/>
          <w:sz w:val="28"/>
          <w:szCs w:val="28"/>
        </w:rPr>
        <w:t>A</w:t>
      </w:r>
      <w:r w:rsidR="009E56BA" w:rsidRPr="009E56BA">
        <w:rPr>
          <w:sz w:val="28"/>
          <w:szCs w:val="28"/>
        </w:rPr>
        <w:t>ntibodies)</w:t>
      </w:r>
    </w:p>
    <w:p w:rsidR="00DD3BAD" w:rsidRPr="00594481" w:rsidRDefault="00DD3BAD" w:rsidP="0035405A">
      <w:pPr>
        <w:spacing w:after="0" w:line="240" w:lineRule="auto"/>
        <w:rPr>
          <w:sz w:val="16"/>
          <w:szCs w:val="16"/>
        </w:rPr>
      </w:pPr>
    </w:p>
    <w:p w:rsidR="00DD3BAD" w:rsidRPr="009E56BA" w:rsidRDefault="00DD3BAD" w:rsidP="0035405A">
      <w:pPr>
        <w:spacing w:after="0" w:line="240" w:lineRule="auto"/>
        <w:rPr>
          <w:b/>
        </w:rPr>
      </w:pPr>
      <w:r w:rsidRPr="009E56BA">
        <w:rPr>
          <w:b/>
        </w:rPr>
        <w:t xml:space="preserve">Not all that agglutinates </w:t>
      </w:r>
      <w:r w:rsidRPr="009E56BA">
        <w:rPr>
          <w:b/>
          <w:i/>
        </w:rPr>
        <w:t>in vitro</w:t>
      </w:r>
      <w:r w:rsidRPr="009E56BA">
        <w:rPr>
          <w:b/>
        </w:rPr>
        <w:t xml:space="preserve"> is clinically significant </w:t>
      </w:r>
      <w:r w:rsidRPr="009E56BA">
        <w:rPr>
          <w:b/>
          <w:i/>
        </w:rPr>
        <w:t>in vivo</w:t>
      </w:r>
      <w:r w:rsidRPr="009E56BA">
        <w:rPr>
          <w:b/>
        </w:rPr>
        <w:t>.</w:t>
      </w:r>
    </w:p>
    <w:p w:rsidR="00DD3BAD" w:rsidRDefault="00DD3BAD" w:rsidP="009E56BA">
      <w:pPr>
        <w:pStyle w:val="ListParagraph"/>
        <w:numPr>
          <w:ilvl w:val="0"/>
          <w:numId w:val="9"/>
        </w:numPr>
        <w:spacing w:after="0" w:line="240" w:lineRule="auto"/>
      </w:pPr>
      <w:r>
        <w:t>The trick is to differentiate.</w:t>
      </w:r>
    </w:p>
    <w:p w:rsidR="00DD3BAD" w:rsidRDefault="00DD3BAD" w:rsidP="009E56BA">
      <w:pPr>
        <w:pStyle w:val="ListParagraph"/>
        <w:numPr>
          <w:ilvl w:val="0"/>
          <w:numId w:val="9"/>
        </w:numPr>
        <w:spacing w:after="0" w:line="240" w:lineRule="auto"/>
      </w:pPr>
      <w:r>
        <w:t>The 2</w:t>
      </w:r>
      <w:r w:rsidRPr="009E56BA">
        <w:rPr>
          <w:vertAlign w:val="superscript"/>
        </w:rPr>
        <w:t>nd</w:t>
      </w:r>
      <w:r>
        <w:t xml:space="preserve"> </w:t>
      </w:r>
      <w:r w:rsidR="009E56BA">
        <w:t xml:space="preserve">trick is to stick to the rules:  </w:t>
      </w:r>
      <w:r>
        <w:t>Ruling out/cross outs are still the same and they are the key to successful differentiation.</w:t>
      </w:r>
    </w:p>
    <w:p w:rsidR="009E56BA" w:rsidRDefault="009E56BA" w:rsidP="009E56BA">
      <w:pPr>
        <w:pStyle w:val="ListParagraph"/>
        <w:numPr>
          <w:ilvl w:val="0"/>
          <w:numId w:val="9"/>
        </w:numPr>
        <w:spacing w:after="0" w:line="240" w:lineRule="auto"/>
      </w:pPr>
      <w:r>
        <w:t>The 3</w:t>
      </w:r>
      <w:r w:rsidRPr="009E56BA">
        <w:rPr>
          <w:vertAlign w:val="superscript"/>
        </w:rPr>
        <w:t>rd</w:t>
      </w:r>
      <w:r>
        <w:t xml:space="preserve"> trick is to work through it while minimizing delay when transfusion is urgent.</w:t>
      </w:r>
    </w:p>
    <w:p w:rsidR="00DD3BAD" w:rsidRPr="00594481" w:rsidRDefault="00DD3BAD" w:rsidP="0035405A">
      <w:pPr>
        <w:spacing w:after="0" w:line="240" w:lineRule="auto"/>
        <w:rPr>
          <w:sz w:val="16"/>
          <w:szCs w:val="16"/>
        </w:rPr>
      </w:pPr>
    </w:p>
    <w:p w:rsidR="00394F74" w:rsidRDefault="00394F74" w:rsidP="00394F74">
      <w:pPr>
        <w:pBdr>
          <w:top w:val="single" w:sz="12" w:space="1" w:color="auto" w:shadow="1"/>
          <w:left w:val="single" w:sz="12" w:space="4" w:color="auto" w:shadow="1"/>
          <w:bottom w:val="single" w:sz="12" w:space="1" w:color="auto" w:shadow="1"/>
          <w:right w:val="single" w:sz="12" w:space="4" w:color="auto" w:shadow="1"/>
        </w:pBdr>
        <w:spacing w:after="0" w:line="240" w:lineRule="auto"/>
      </w:pPr>
      <w:r w:rsidRPr="00394F74">
        <w:rPr>
          <w:b/>
        </w:rPr>
        <w:t>From TraQ</w:t>
      </w:r>
      <w:r>
        <w:t xml:space="preserve">:  If more than 90% of the cells are positive and reaction strengths are similar by the AHG phase, suspect the following types of antibodies:  </w:t>
      </w:r>
    </w:p>
    <w:p w:rsidR="00394F74" w:rsidRDefault="00394F74" w:rsidP="00394F74">
      <w:pPr>
        <w:pBdr>
          <w:top w:val="single" w:sz="12" w:space="1" w:color="auto" w:shadow="1"/>
          <w:left w:val="single" w:sz="12" w:space="4" w:color="auto" w:shadow="1"/>
          <w:bottom w:val="single" w:sz="12" w:space="1" w:color="auto" w:shadow="1"/>
          <w:right w:val="single" w:sz="12" w:space="4" w:color="auto" w:shadow="1"/>
        </w:pBdr>
        <w:spacing w:after="0" w:line="240" w:lineRule="auto"/>
      </w:pPr>
      <w:r>
        <w:t>High Incidence = negative auto control, try to find a negative cell by searching other panels</w:t>
      </w:r>
    </w:p>
    <w:p w:rsidR="00394F74" w:rsidRDefault="00394F74" w:rsidP="00394F74">
      <w:pPr>
        <w:pBdr>
          <w:top w:val="single" w:sz="12" w:space="1" w:color="auto" w:shadow="1"/>
          <w:left w:val="single" w:sz="12" w:space="4" w:color="auto" w:shadow="1"/>
          <w:bottom w:val="single" w:sz="12" w:space="1" w:color="auto" w:shadow="1"/>
          <w:right w:val="single" w:sz="12" w:space="4" w:color="auto" w:shadow="1"/>
        </w:pBdr>
        <w:spacing w:after="0" w:line="240" w:lineRule="auto"/>
      </w:pPr>
      <w:r>
        <w:t>Cold agglutinins:  reactions stronger at IS, RT and/or 37C</w:t>
      </w:r>
    </w:p>
    <w:p w:rsidR="00394F74" w:rsidRDefault="00394F74" w:rsidP="00394F74">
      <w:pPr>
        <w:pBdr>
          <w:top w:val="single" w:sz="12" w:space="1" w:color="auto" w:shadow="1"/>
          <w:left w:val="single" w:sz="12" w:space="4" w:color="auto" w:shadow="1"/>
          <w:bottom w:val="single" w:sz="12" w:space="1" w:color="auto" w:shadow="1"/>
          <w:right w:val="single" w:sz="12" w:space="4" w:color="auto" w:shadow="1"/>
        </w:pBdr>
        <w:spacing w:after="0" w:line="240" w:lineRule="auto"/>
      </w:pPr>
      <w:r>
        <w:t>HTLA antibodies:  AHG phase, weak reactions, not clinically significant</w:t>
      </w:r>
    </w:p>
    <w:p w:rsidR="00394F74" w:rsidRDefault="00394F74" w:rsidP="00394F74">
      <w:pPr>
        <w:pBdr>
          <w:top w:val="single" w:sz="12" w:space="1" w:color="auto" w:shadow="1"/>
          <w:left w:val="single" w:sz="12" w:space="4" w:color="auto" w:shadow="1"/>
          <w:bottom w:val="single" w:sz="12" w:space="1" w:color="auto" w:shadow="1"/>
          <w:right w:val="single" w:sz="12" w:space="4" w:color="auto" w:shadow="1"/>
        </w:pBdr>
        <w:spacing w:after="0" w:line="240" w:lineRule="auto"/>
      </w:pPr>
      <w:r>
        <w:t>Auto antibodies:  auto control and DAT are positive</w:t>
      </w:r>
    </w:p>
    <w:p w:rsidR="00394F74" w:rsidRPr="00594481" w:rsidRDefault="00394F74" w:rsidP="0035405A">
      <w:pPr>
        <w:spacing w:after="0" w:line="240" w:lineRule="auto"/>
        <w:rPr>
          <w:sz w:val="16"/>
          <w:szCs w:val="16"/>
        </w:rPr>
      </w:pPr>
    </w:p>
    <w:tbl>
      <w:tblPr>
        <w:tblStyle w:val="TableGrid"/>
        <w:tblW w:w="0" w:type="auto"/>
        <w:tblLook w:val="04A0" w:firstRow="1" w:lastRow="0" w:firstColumn="1" w:lastColumn="0" w:noHBand="0" w:noVBand="1"/>
      </w:tblPr>
      <w:tblGrid>
        <w:gridCol w:w="1426"/>
        <w:gridCol w:w="3852"/>
        <w:gridCol w:w="2941"/>
        <w:gridCol w:w="1357"/>
      </w:tblGrid>
      <w:tr w:rsidR="00DD3BAD" w:rsidRPr="009E56BA" w:rsidTr="00594481">
        <w:tc>
          <w:tcPr>
            <w:tcW w:w="1426" w:type="dxa"/>
            <w:shd w:val="clear" w:color="auto" w:fill="DDD9C3" w:themeFill="background2" w:themeFillShade="E6"/>
            <w:vAlign w:val="center"/>
          </w:tcPr>
          <w:p w:rsidR="00DD3BAD" w:rsidRPr="009E56BA" w:rsidRDefault="00DD3BAD" w:rsidP="009E56BA">
            <w:pPr>
              <w:jc w:val="center"/>
              <w:rPr>
                <w:b/>
                <w:sz w:val="24"/>
                <w:szCs w:val="24"/>
              </w:rPr>
            </w:pPr>
            <w:r w:rsidRPr="009E56BA">
              <w:rPr>
                <w:b/>
                <w:sz w:val="24"/>
                <w:szCs w:val="24"/>
              </w:rPr>
              <w:t>Antigen</w:t>
            </w:r>
          </w:p>
        </w:tc>
        <w:tc>
          <w:tcPr>
            <w:tcW w:w="3852" w:type="dxa"/>
            <w:shd w:val="clear" w:color="auto" w:fill="DDD9C3" w:themeFill="background2" w:themeFillShade="E6"/>
          </w:tcPr>
          <w:p w:rsidR="00DD3BAD" w:rsidRPr="009E56BA" w:rsidRDefault="00DD3BAD" w:rsidP="0035405A">
            <w:pPr>
              <w:rPr>
                <w:b/>
                <w:sz w:val="24"/>
                <w:szCs w:val="24"/>
              </w:rPr>
            </w:pPr>
            <w:r w:rsidRPr="009E56BA">
              <w:rPr>
                <w:b/>
                <w:sz w:val="24"/>
                <w:szCs w:val="24"/>
              </w:rPr>
              <w:t>Description</w:t>
            </w:r>
          </w:p>
        </w:tc>
        <w:tc>
          <w:tcPr>
            <w:tcW w:w="2941" w:type="dxa"/>
            <w:shd w:val="clear" w:color="auto" w:fill="DDD9C3" w:themeFill="background2" w:themeFillShade="E6"/>
          </w:tcPr>
          <w:p w:rsidR="00DD3BAD" w:rsidRPr="009E56BA" w:rsidRDefault="00DD3BAD" w:rsidP="0035405A">
            <w:pPr>
              <w:rPr>
                <w:b/>
                <w:sz w:val="24"/>
                <w:szCs w:val="24"/>
              </w:rPr>
            </w:pPr>
            <w:r w:rsidRPr="009E56BA">
              <w:rPr>
                <w:b/>
                <w:sz w:val="24"/>
                <w:szCs w:val="24"/>
              </w:rPr>
              <w:t>Enhancement/Rule Out</w:t>
            </w:r>
          </w:p>
        </w:tc>
        <w:tc>
          <w:tcPr>
            <w:tcW w:w="1357" w:type="dxa"/>
            <w:shd w:val="clear" w:color="auto" w:fill="DDD9C3" w:themeFill="background2" w:themeFillShade="E6"/>
          </w:tcPr>
          <w:p w:rsidR="00DD3BAD" w:rsidRPr="009E56BA" w:rsidRDefault="00DD3BAD" w:rsidP="0035405A">
            <w:pPr>
              <w:rPr>
                <w:b/>
                <w:sz w:val="24"/>
                <w:szCs w:val="24"/>
              </w:rPr>
            </w:pPr>
            <w:r w:rsidRPr="009E56BA">
              <w:rPr>
                <w:b/>
                <w:sz w:val="24"/>
                <w:szCs w:val="24"/>
              </w:rPr>
              <w:t>Frequency</w:t>
            </w:r>
          </w:p>
        </w:tc>
      </w:tr>
      <w:tr w:rsidR="00DD3BAD" w:rsidTr="00594481">
        <w:tc>
          <w:tcPr>
            <w:tcW w:w="1426" w:type="dxa"/>
            <w:vAlign w:val="center"/>
          </w:tcPr>
          <w:p w:rsidR="00DD3BAD" w:rsidRPr="00594481" w:rsidRDefault="00DD3BAD" w:rsidP="009E56BA">
            <w:pPr>
              <w:jc w:val="center"/>
              <w:rPr>
                <w:rFonts w:ascii="Arial" w:hAnsi="Arial" w:cs="Arial"/>
                <w:b/>
              </w:rPr>
            </w:pPr>
            <w:r w:rsidRPr="00594481">
              <w:rPr>
                <w:rFonts w:ascii="Arial" w:hAnsi="Arial" w:cs="Arial"/>
                <w:b/>
              </w:rPr>
              <w:t>Bg</w:t>
            </w:r>
          </w:p>
        </w:tc>
        <w:tc>
          <w:tcPr>
            <w:tcW w:w="3852" w:type="dxa"/>
          </w:tcPr>
          <w:p w:rsidR="009E56BA" w:rsidRPr="00594481" w:rsidRDefault="009E56BA" w:rsidP="0035405A">
            <w:pPr>
              <w:rPr>
                <w:rFonts w:ascii="Arial" w:hAnsi="Arial" w:cs="Arial"/>
                <w:sz w:val="20"/>
                <w:szCs w:val="20"/>
              </w:rPr>
            </w:pPr>
            <w:r w:rsidRPr="00594481">
              <w:rPr>
                <w:rFonts w:ascii="Arial" w:hAnsi="Arial" w:cs="Arial"/>
                <w:sz w:val="20"/>
                <w:szCs w:val="20"/>
              </w:rPr>
              <w:t xml:space="preserve">Bennett-Goodspeed </w:t>
            </w:r>
          </w:p>
          <w:p w:rsidR="009E56BA" w:rsidRPr="00594481" w:rsidRDefault="009E56BA" w:rsidP="0035405A">
            <w:pPr>
              <w:rPr>
                <w:rFonts w:ascii="Arial" w:hAnsi="Arial" w:cs="Arial"/>
                <w:sz w:val="20"/>
                <w:szCs w:val="20"/>
              </w:rPr>
            </w:pPr>
          </w:p>
          <w:p w:rsidR="00DD3BAD" w:rsidRPr="00594481" w:rsidRDefault="00DD3BAD" w:rsidP="0035405A">
            <w:pPr>
              <w:rPr>
                <w:rFonts w:ascii="Arial" w:hAnsi="Arial" w:cs="Arial"/>
                <w:sz w:val="20"/>
                <w:szCs w:val="20"/>
              </w:rPr>
            </w:pPr>
            <w:r w:rsidRPr="00594481">
              <w:rPr>
                <w:rFonts w:ascii="Arial" w:hAnsi="Arial" w:cs="Arial"/>
                <w:sz w:val="20"/>
                <w:szCs w:val="20"/>
              </w:rPr>
              <w:t>White cell antigens with various names</w:t>
            </w:r>
          </w:p>
          <w:p w:rsidR="00DD3BAD" w:rsidRPr="00594481" w:rsidRDefault="006D0152" w:rsidP="0035405A">
            <w:pPr>
              <w:rPr>
                <w:rFonts w:ascii="Arial" w:hAnsi="Arial" w:cs="Arial"/>
                <w:sz w:val="20"/>
                <w:szCs w:val="20"/>
              </w:rPr>
            </w:pPr>
            <w:r w:rsidRPr="00594481">
              <w:rPr>
                <w:rFonts w:ascii="Arial" w:hAnsi="Arial" w:cs="Arial"/>
                <w:sz w:val="20"/>
                <w:szCs w:val="20"/>
              </w:rPr>
              <w:t>Bg</w:t>
            </w:r>
            <w:r w:rsidRPr="00594481">
              <w:rPr>
                <w:rFonts w:ascii="Arial" w:hAnsi="Arial" w:cs="Arial"/>
                <w:sz w:val="20"/>
                <w:szCs w:val="20"/>
                <w:vertAlign w:val="superscript"/>
              </w:rPr>
              <w:t>a</w:t>
            </w:r>
            <w:r w:rsidRPr="00594481">
              <w:rPr>
                <w:rFonts w:ascii="Arial" w:hAnsi="Arial" w:cs="Arial"/>
                <w:sz w:val="20"/>
                <w:szCs w:val="20"/>
              </w:rPr>
              <w:t xml:space="preserve"> = HLA-B7</w:t>
            </w:r>
          </w:p>
          <w:p w:rsidR="006D0152" w:rsidRPr="00594481" w:rsidRDefault="006D0152" w:rsidP="0035405A">
            <w:pPr>
              <w:rPr>
                <w:rFonts w:ascii="Arial" w:hAnsi="Arial" w:cs="Arial"/>
                <w:sz w:val="20"/>
                <w:szCs w:val="20"/>
              </w:rPr>
            </w:pPr>
            <w:r w:rsidRPr="00594481">
              <w:rPr>
                <w:rFonts w:ascii="Arial" w:hAnsi="Arial" w:cs="Arial"/>
                <w:sz w:val="20"/>
                <w:szCs w:val="20"/>
              </w:rPr>
              <w:t>Bg</w:t>
            </w:r>
            <w:r w:rsidRPr="00594481">
              <w:rPr>
                <w:rFonts w:ascii="Arial" w:hAnsi="Arial" w:cs="Arial"/>
                <w:sz w:val="20"/>
                <w:szCs w:val="20"/>
                <w:vertAlign w:val="superscript"/>
              </w:rPr>
              <w:t>b</w:t>
            </w:r>
            <w:r w:rsidR="009E56BA" w:rsidRPr="00594481">
              <w:rPr>
                <w:rFonts w:ascii="Arial" w:hAnsi="Arial" w:cs="Arial"/>
                <w:sz w:val="20"/>
                <w:szCs w:val="20"/>
                <w:vertAlign w:val="superscript"/>
              </w:rPr>
              <w:t xml:space="preserve"> </w:t>
            </w:r>
            <w:r w:rsidRPr="00594481">
              <w:rPr>
                <w:rFonts w:ascii="Arial" w:hAnsi="Arial" w:cs="Arial"/>
                <w:sz w:val="20"/>
                <w:szCs w:val="20"/>
              </w:rPr>
              <w:t>= HLA-B17</w:t>
            </w:r>
          </w:p>
          <w:p w:rsidR="006D0152" w:rsidRPr="00594481" w:rsidRDefault="006D0152" w:rsidP="0035405A">
            <w:pPr>
              <w:rPr>
                <w:rFonts w:ascii="Arial" w:hAnsi="Arial" w:cs="Arial"/>
                <w:sz w:val="20"/>
                <w:szCs w:val="20"/>
              </w:rPr>
            </w:pPr>
            <w:r w:rsidRPr="00594481">
              <w:rPr>
                <w:rFonts w:ascii="Arial" w:hAnsi="Arial" w:cs="Arial"/>
                <w:sz w:val="20"/>
                <w:szCs w:val="20"/>
              </w:rPr>
              <w:t>Bg</w:t>
            </w:r>
            <w:r w:rsidRPr="00594481">
              <w:rPr>
                <w:rFonts w:ascii="Arial" w:hAnsi="Arial" w:cs="Arial"/>
                <w:sz w:val="20"/>
                <w:szCs w:val="20"/>
                <w:vertAlign w:val="superscript"/>
              </w:rPr>
              <w:t>c</w:t>
            </w:r>
            <w:r w:rsidRPr="00594481">
              <w:rPr>
                <w:rFonts w:ascii="Arial" w:hAnsi="Arial" w:cs="Arial"/>
                <w:sz w:val="20"/>
                <w:szCs w:val="20"/>
              </w:rPr>
              <w:t xml:space="preserve"> = HLA-A28</w:t>
            </w:r>
          </w:p>
          <w:p w:rsidR="009E56BA" w:rsidRPr="00594481" w:rsidRDefault="009E56BA" w:rsidP="0035405A">
            <w:pPr>
              <w:rPr>
                <w:rFonts w:ascii="Arial" w:hAnsi="Arial" w:cs="Arial"/>
                <w:sz w:val="20"/>
                <w:szCs w:val="20"/>
              </w:rPr>
            </w:pPr>
          </w:p>
          <w:p w:rsidR="006D0152" w:rsidRPr="00594481" w:rsidRDefault="006D0152" w:rsidP="0035405A">
            <w:pPr>
              <w:rPr>
                <w:rFonts w:ascii="Arial" w:hAnsi="Arial" w:cs="Arial"/>
                <w:sz w:val="20"/>
                <w:szCs w:val="20"/>
              </w:rPr>
            </w:pPr>
            <w:r w:rsidRPr="00594481">
              <w:rPr>
                <w:rFonts w:ascii="Arial" w:hAnsi="Arial" w:cs="Arial"/>
                <w:sz w:val="20"/>
                <w:szCs w:val="20"/>
              </w:rPr>
              <w:t>Antibodies:  Weak, variable reactions due to variable antigen expression on RBCs</w:t>
            </w:r>
          </w:p>
          <w:p w:rsidR="006D0152" w:rsidRPr="00594481" w:rsidRDefault="006D0152" w:rsidP="0035405A">
            <w:pPr>
              <w:rPr>
                <w:rFonts w:ascii="Arial" w:hAnsi="Arial" w:cs="Arial"/>
                <w:sz w:val="20"/>
                <w:szCs w:val="20"/>
              </w:rPr>
            </w:pPr>
          </w:p>
        </w:tc>
        <w:tc>
          <w:tcPr>
            <w:tcW w:w="2941" w:type="dxa"/>
          </w:tcPr>
          <w:p w:rsidR="00DD3BAD" w:rsidRPr="00594481" w:rsidRDefault="006D0152" w:rsidP="009E56BA">
            <w:pPr>
              <w:pStyle w:val="ListParagraph"/>
              <w:numPr>
                <w:ilvl w:val="0"/>
                <w:numId w:val="7"/>
              </w:numPr>
              <w:rPr>
                <w:rFonts w:ascii="Arial" w:hAnsi="Arial" w:cs="Arial"/>
                <w:sz w:val="20"/>
                <w:szCs w:val="20"/>
              </w:rPr>
            </w:pPr>
            <w:r w:rsidRPr="00594481">
              <w:rPr>
                <w:rFonts w:ascii="Arial" w:hAnsi="Arial" w:cs="Arial"/>
                <w:sz w:val="20"/>
                <w:szCs w:val="20"/>
              </w:rPr>
              <w:t>AHG reactive</w:t>
            </w:r>
          </w:p>
          <w:p w:rsidR="006D0152" w:rsidRPr="00594481" w:rsidRDefault="006D0152" w:rsidP="009E56BA">
            <w:pPr>
              <w:pStyle w:val="ListParagraph"/>
              <w:numPr>
                <w:ilvl w:val="0"/>
                <w:numId w:val="7"/>
              </w:numPr>
              <w:rPr>
                <w:rFonts w:ascii="Arial" w:hAnsi="Arial" w:cs="Arial"/>
                <w:sz w:val="20"/>
                <w:szCs w:val="20"/>
              </w:rPr>
            </w:pPr>
            <w:r w:rsidRPr="00594481">
              <w:rPr>
                <w:rFonts w:ascii="Arial" w:hAnsi="Arial" w:cs="Arial"/>
                <w:sz w:val="20"/>
                <w:szCs w:val="20"/>
              </w:rPr>
              <w:t>Denatured by chloroquine diphosphate</w:t>
            </w:r>
          </w:p>
          <w:p w:rsidR="006D0152" w:rsidRPr="00594481" w:rsidRDefault="009E56BA" w:rsidP="009E56BA">
            <w:pPr>
              <w:pStyle w:val="ListParagraph"/>
              <w:numPr>
                <w:ilvl w:val="0"/>
                <w:numId w:val="7"/>
              </w:numPr>
              <w:rPr>
                <w:rFonts w:ascii="Arial" w:hAnsi="Arial" w:cs="Arial"/>
                <w:sz w:val="20"/>
                <w:szCs w:val="20"/>
              </w:rPr>
            </w:pPr>
            <w:r w:rsidRPr="00594481">
              <w:rPr>
                <w:rFonts w:ascii="Arial" w:hAnsi="Arial" w:cs="Arial"/>
                <w:sz w:val="20"/>
                <w:szCs w:val="20"/>
              </w:rPr>
              <w:t>Often resolved as “antibody of unknown specificity”</w:t>
            </w:r>
          </w:p>
          <w:p w:rsidR="009E56BA" w:rsidRPr="00594481" w:rsidRDefault="009E56BA" w:rsidP="009E56BA">
            <w:pPr>
              <w:pStyle w:val="ListParagraph"/>
              <w:numPr>
                <w:ilvl w:val="0"/>
                <w:numId w:val="7"/>
              </w:numPr>
              <w:rPr>
                <w:rFonts w:ascii="Arial" w:hAnsi="Arial" w:cs="Arial"/>
                <w:sz w:val="20"/>
                <w:szCs w:val="20"/>
              </w:rPr>
            </w:pPr>
            <w:r w:rsidRPr="00594481">
              <w:rPr>
                <w:rFonts w:ascii="Arial" w:hAnsi="Arial" w:cs="Arial"/>
                <w:sz w:val="20"/>
                <w:szCs w:val="20"/>
              </w:rPr>
              <w:t>Issue AHG crossmatch compatible</w:t>
            </w:r>
          </w:p>
          <w:p w:rsidR="009E56BA" w:rsidRPr="00594481" w:rsidRDefault="009E56BA" w:rsidP="009E56BA">
            <w:pPr>
              <w:pStyle w:val="ListParagraph"/>
              <w:numPr>
                <w:ilvl w:val="0"/>
                <w:numId w:val="7"/>
              </w:numPr>
              <w:rPr>
                <w:rFonts w:ascii="Arial" w:hAnsi="Arial" w:cs="Arial"/>
                <w:sz w:val="20"/>
                <w:szCs w:val="20"/>
              </w:rPr>
            </w:pPr>
            <w:r w:rsidRPr="00594481">
              <w:rPr>
                <w:rFonts w:ascii="Arial" w:hAnsi="Arial" w:cs="Arial"/>
                <w:sz w:val="20"/>
                <w:szCs w:val="20"/>
              </w:rPr>
              <w:t>If screening cells are Bg+ we may request a new lot</w:t>
            </w:r>
          </w:p>
        </w:tc>
        <w:tc>
          <w:tcPr>
            <w:tcW w:w="1357" w:type="dxa"/>
            <w:vAlign w:val="center"/>
          </w:tcPr>
          <w:p w:rsidR="00DD3BAD" w:rsidRPr="00594481" w:rsidRDefault="009E56BA" w:rsidP="009E56BA">
            <w:pPr>
              <w:jc w:val="center"/>
              <w:rPr>
                <w:rFonts w:ascii="Arial" w:hAnsi="Arial" w:cs="Arial"/>
                <w:sz w:val="20"/>
                <w:szCs w:val="20"/>
              </w:rPr>
            </w:pPr>
            <w:r w:rsidRPr="00594481">
              <w:rPr>
                <w:rFonts w:ascii="Arial" w:hAnsi="Arial" w:cs="Arial"/>
                <w:sz w:val="20"/>
                <w:szCs w:val="20"/>
              </w:rPr>
              <w:t>Variable Expression</w:t>
            </w:r>
          </w:p>
        </w:tc>
      </w:tr>
      <w:tr w:rsidR="00DD3BAD" w:rsidTr="00594481">
        <w:tc>
          <w:tcPr>
            <w:tcW w:w="1426" w:type="dxa"/>
            <w:vAlign w:val="center"/>
          </w:tcPr>
          <w:p w:rsidR="00DD3BAD" w:rsidRPr="00594481" w:rsidRDefault="00394F74" w:rsidP="009E56BA">
            <w:pPr>
              <w:jc w:val="center"/>
              <w:rPr>
                <w:rFonts w:ascii="Arial" w:hAnsi="Arial" w:cs="Arial"/>
                <w:b/>
              </w:rPr>
            </w:pPr>
            <w:r w:rsidRPr="00594481">
              <w:rPr>
                <w:rFonts w:ascii="Arial" w:hAnsi="Arial" w:cs="Arial"/>
                <w:b/>
              </w:rPr>
              <w:t>Cold Agglutinins</w:t>
            </w:r>
          </w:p>
        </w:tc>
        <w:tc>
          <w:tcPr>
            <w:tcW w:w="3852" w:type="dxa"/>
          </w:tcPr>
          <w:p w:rsidR="00DD3BAD" w:rsidRPr="00594481" w:rsidRDefault="00DD3BAD" w:rsidP="0035405A">
            <w:pPr>
              <w:rPr>
                <w:rFonts w:ascii="Arial" w:hAnsi="Arial" w:cs="Arial"/>
                <w:sz w:val="20"/>
                <w:szCs w:val="20"/>
              </w:rPr>
            </w:pPr>
            <w:r w:rsidRPr="00594481">
              <w:rPr>
                <w:rFonts w:ascii="Arial" w:hAnsi="Arial" w:cs="Arial"/>
                <w:sz w:val="20"/>
                <w:szCs w:val="20"/>
              </w:rPr>
              <w:t>Anti-I, -IH</w:t>
            </w:r>
            <w:r w:rsidR="009E56BA" w:rsidRPr="00594481">
              <w:rPr>
                <w:rFonts w:ascii="Arial" w:hAnsi="Arial" w:cs="Arial"/>
                <w:sz w:val="20"/>
                <w:szCs w:val="20"/>
              </w:rPr>
              <w:t xml:space="preserve"> (typically “auto” isn’t added to the front – it is understood </w:t>
            </w:r>
          </w:p>
          <w:p w:rsidR="009E56BA" w:rsidRPr="00594481" w:rsidRDefault="009E56BA" w:rsidP="0035405A">
            <w:pPr>
              <w:rPr>
                <w:rFonts w:ascii="Arial" w:hAnsi="Arial" w:cs="Arial"/>
                <w:sz w:val="20"/>
                <w:szCs w:val="20"/>
              </w:rPr>
            </w:pPr>
          </w:p>
          <w:p w:rsidR="00DD3BAD" w:rsidRPr="00594481" w:rsidRDefault="00DD3BAD" w:rsidP="0035405A">
            <w:pPr>
              <w:rPr>
                <w:rFonts w:ascii="Arial" w:hAnsi="Arial" w:cs="Arial"/>
                <w:sz w:val="20"/>
                <w:szCs w:val="20"/>
              </w:rPr>
            </w:pPr>
            <w:r w:rsidRPr="00594481">
              <w:rPr>
                <w:rFonts w:ascii="Arial" w:hAnsi="Arial" w:cs="Arial"/>
                <w:sz w:val="20"/>
                <w:szCs w:val="20"/>
              </w:rPr>
              <w:t>Everybody has them if you look hard enough</w:t>
            </w:r>
          </w:p>
          <w:p w:rsidR="009E56BA" w:rsidRPr="00594481" w:rsidRDefault="009E56BA" w:rsidP="0035405A">
            <w:pPr>
              <w:rPr>
                <w:rFonts w:ascii="Arial" w:hAnsi="Arial" w:cs="Arial"/>
                <w:sz w:val="20"/>
                <w:szCs w:val="20"/>
              </w:rPr>
            </w:pPr>
          </w:p>
          <w:p w:rsidR="00DD3BAD" w:rsidRPr="00594481" w:rsidRDefault="00DD3BAD" w:rsidP="0035405A">
            <w:pPr>
              <w:rPr>
                <w:rFonts w:ascii="Arial" w:hAnsi="Arial" w:cs="Arial"/>
                <w:sz w:val="20"/>
                <w:szCs w:val="20"/>
              </w:rPr>
            </w:pPr>
            <w:r w:rsidRPr="00594481">
              <w:rPr>
                <w:rFonts w:ascii="Arial" w:hAnsi="Arial" w:cs="Arial"/>
                <w:sz w:val="20"/>
                <w:szCs w:val="20"/>
              </w:rPr>
              <w:t>Can be pathological causing a hemolytic syndrome</w:t>
            </w:r>
          </w:p>
          <w:p w:rsidR="009E56BA" w:rsidRPr="00594481" w:rsidRDefault="009E56BA" w:rsidP="0035405A">
            <w:pPr>
              <w:rPr>
                <w:rFonts w:ascii="Arial" w:hAnsi="Arial" w:cs="Arial"/>
                <w:sz w:val="20"/>
                <w:szCs w:val="20"/>
              </w:rPr>
            </w:pPr>
          </w:p>
          <w:p w:rsidR="00DD3BAD" w:rsidRPr="00594481" w:rsidRDefault="00DD3BAD" w:rsidP="0035405A">
            <w:pPr>
              <w:rPr>
                <w:rFonts w:ascii="Arial" w:hAnsi="Arial" w:cs="Arial"/>
                <w:sz w:val="20"/>
                <w:szCs w:val="20"/>
              </w:rPr>
            </w:pPr>
            <w:r w:rsidRPr="00594481">
              <w:rPr>
                <w:rFonts w:ascii="Arial" w:hAnsi="Arial" w:cs="Arial"/>
                <w:sz w:val="20"/>
                <w:szCs w:val="20"/>
              </w:rPr>
              <w:t>Nothing we can do; clinicians’ job to treat the cause</w:t>
            </w:r>
          </w:p>
          <w:p w:rsidR="009E56BA" w:rsidRPr="00594481" w:rsidRDefault="009E56BA" w:rsidP="0035405A">
            <w:pPr>
              <w:rPr>
                <w:rFonts w:ascii="Arial" w:hAnsi="Arial" w:cs="Arial"/>
                <w:sz w:val="20"/>
                <w:szCs w:val="20"/>
              </w:rPr>
            </w:pPr>
          </w:p>
          <w:p w:rsidR="00DD3BAD" w:rsidRPr="00594481" w:rsidRDefault="00DD3BAD" w:rsidP="0035405A">
            <w:pPr>
              <w:rPr>
                <w:rFonts w:ascii="Arial" w:hAnsi="Arial" w:cs="Arial"/>
                <w:sz w:val="20"/>
                <w:szCs w:val="20"/>
              </w:rPr>
            </w:pPr>
            <w:r w:rsidRPr="00594481">
              <w:rPr>
                <w:rFonts w:ascii="Arial" w:hAnsi="Arial" w:cs="Arial"/>
                <w:sz w:val="20"/>
                <w:szCs w:val="20"/>
              </w:rPr>
              <w:t>Transfusion through a blood warmer can help; wrap patient in warming blanket</w:t>
            </w:r>
          </w:p>
          <w:p w:rsidR="00DD3BAD" w:rsidRPr="00594481" w:rsidRDefault="00DD3BAD" w:rsidP="0035405A">
            <w:pPr>
              <w:rPr>
                <w:rFonts w:ascii="Arial" w:hAnsi="Arial" w:cs="Arial"/>
                <w:sz w:val="20"/>
                <w:szCs w:val="20"/>
              </w:rPr>
            </w:pPr>
          </w:p>
        </w:tc>
        <w:tc>
          <w:tcPr>
            <w:tcW w:w="2941" w:type="dxa"/>
          </w:tcPr>
          <w:p w:rsidR="00DD3BAD" w:rsidRPr="00594481" w:rsidRDefault="00DD3BAD" w:rsidP="009E56BA">
            <w:pPr>
              <w:pStyle w:val="ListParagraph"/>
              <w:numPr>
                <w:ilvl w:val="0"/>
                <w:numId w:val="8"/>
              </w:numPr>
              <w:rPr>
                <w:rFonts w:ascii="Arial" w:hAnsi="Arial" w:cs="Arial"/>
                <w:sz w:val="20"/>
                <w:szCs w:val="20"/>
              </w:rPr>
            </w:pPr>
            <w:r w:rsidRPr="00594481">
              <w:rPr>
                <w:rFonts w:ascii="Arial" w:hAnsi="Arial" w:cs="Arial"/>
                <w:sz w:val="20"/>
                <w:szCs w:val="20"/>
              </w:rPr>
              <w:t>Stay away from room temperature</w:t>
            </w:r>
          </w:p>
          <w:p w:rsidR="00DD3BAD" w:rsidRPr="00594481" w:rsidRDefault="00DD3BAD" w:rsidP="009E56BA">
            <w:pPr>
              <w:pStyle w:val="ListParagraph"/>
              <w:numPr>
                <w:ilvl w:val="0"/>
                <w:numId w:val="8"/>
              </w:numPr>
              <w:rPr>
                <w:rFonts w:ascii="Arial" w:hAnsi="Arial" w:cs="Arial"/>
                <w:sz w:val="20"/>
                <w:szCs w:val="20"/>
              </w:rPr>
            </w:pPr>
            <w:r w:rsidRPr="00594481">
              <w:rPr>
                <w:rFonts w:ascii="Arial" w:hAnsi="Arial" w:cs="Arial"/>
                <w:sz w:val="20"/>
                <w:szCs w:val="20"/>
              </w:rPr>
              <w:t>Keep patient sample warm</w:t>
            </w:r>
          </w:p>
          <w:p w:rsidR="00DD3BAD" w:rsidRPr="00594481" w:rsidRDefault="00DD3BAD" w:rsidP="009E56BA">
            <w:pPr>
              <w:pStyle w:val="ListParagraph"/>
              <w:numPr>
                <w:ilvl w:val="0"/>
                <w:numId w:val="8"/>
              </w:numPr>
              <w:rPr>
                <w:rFonts w:ascii="Arial" w:hAnsi="Arial" w:cs="Arial"/>
                <w:sz w:val="20"/>
                <w:szCs w:val="20"/>
              </w:rPr>
            </w:pPr>
            <w:r w:rsidRPr="00594481">
              <w:rPr>
                <w:rFonts w:ascii="Arial" w:hAnsi="Arial" w:cs="Arial"/>
                <w:sz w:val="20"/>
                <w:szCs w:val="20"/>
              </w:rPr>
              <w:t>Usually detected in the ABO/D testing</w:t>
            </w:r>
          </w:p>
          <w:p w:rsidR="00DD3BAD" w:rsidRPr="00594481" w:rsidRDefault="00DD3BAD" w:rsidP="009E56BA">
            <w:pPr>
              <w:pStyle w:val="ListParagraph"/>
              <w:numPr>
                <w:ilvl w:val="0"/>
                <w:numId w:val="8"/>
              </w:numPr>
              <w:rPr>
                <w:rFonts w:ascii="Arial" w:hAnsi="Arial" w:cs="Arial"/>
                <w:sz w:val="20"/>
                <w:szCs w:val="20"/>
              </w:rPr>
            </w:pPr>
            <w:r w:rsidRPr="00594481">
              <w:rPr>
                <w:rFonts w:ascii="Arial" w:hAnsi="Arial" w:cs="Arial"/>
                <w:sz w:val="20"/>
                <w:szCs w:val="20"/>
              </w:rPr>
              <w:t>Prewarm</w:t>
            </w:r>
            <w:r w:rsidR="006D0152" w:rsidRPr="00594481">
              <w:rPr>
                <w:rFonts w:ascii="Arial" w:hAnsi="Arial" w:cs="Arial"/>
                <w:sz w:val="20"/>
                <w:szCs w:val="20"/>
              </w:rPr>
              <w:t xml:space="preserve"> antibody screen</w:t>
            </w:r>
          </w:p>
          <w:p w:rsidR="006D0152" w:rsidRPr="00594481" w:rsidRDefault="006D0152" w:rsidP="009E56BA">
            <w:pPr>
              <w:pStyle w:val="ListParagraph"/>
              <w:numPr>
                <w:ilvl w:val="0"/>
                <w:numId w:val="8"/>
              </w:numPr>
              <w:rPr>
                <w:rFonts w:ascii="Arial" w:hAnsi="Arial" w:cs="Arial"/>
                <w:sz w:val="20"/>
                <w:szCs w:val="20"/>
              </w:rPr>
            </w:pPr>
            <w:r w:rsidRPr="00594481">
              <w:rPr>
                <w:rFonts w:ascii="Arial" w:hAnsi="Arial" w:cs="Arial"/>
                <w:sz w:val="20"/>
                <w:szCs w:val="20"/>
              </w:rPr>
              <w:t>IS crossmatch can be real trouble here</w:t>
            </w:r>
          </w:p>
          <w:p w:rsidR="006D0152" w:rsidRPr="00594481" w:rsidRDefault="006D0152" w:rsidP="009E56BA">
            <w:pPr>
              <w:pStyle w:val="ListParagraph"/>
              <w:numPr>
                <w:ilvl w:val="0"/>
                <w:numId w:val="8"/>
              </w:numPr>
              <w:rPr>
                <w:rFonts w:ascii="Arial" w:hAnsi="Arial" w:cs="Arial"/>
                <w:sz w:val="20"/>
                <w:szCs w:val="20"/>
              </w:rPr>
            </w:pPr>
            <w:r w:rsidRPr="00594481">
              <w:rPr>
                <w:rFonts w:ascii="Arial" w:hAnsi="Arial" w:cs="Arial"/>
                <w:sz w:val="20"/>
                <w:szCs w:val="20"/>
              </w:rPr>
              <w:t>Worries?  Is there something hiding under it – that is the $1,000,000 question.</w:t>
            </w:r>
          </w:p>
          <w:p w:rsidR="00DD3BAD" w:rsidRPr="00594481" w:rsidRDefault="00DD3BAD" w:rsidP="0035405A">
            <w:pPr>
              <w:rPr>
                <w:rFonts w:ascii="Arial" w:hAnsi="Arial" w:cs="Arial"/>
                <w:sz w:val="20"/>
                <w:szCs w:val="20"/>
              </w:rPr>
            </w:pPr>
          </w:p>
        </w:tc>
        <w:tc>
          <w:tcPr>
            <w:tcW w:w="1357" w:type="dxa"/>
            <w:vAlign w:val="center"/>
          </w:tcPr>
          <w:p w:rsidR="00DD3BAD" w:rsidRDefault="00DD3BAD" w:rsidP="009E56BA">
            <w:pPr>
              <w:jc w:val="center"/>
            </w:pPr>
            <w:r>
              <w:t>100%</w:t>
            </w:r>
          </w:p>
        </w:tc>
      </w:tr>
      <w:tr w:rsidR="006D0152" w:rsidTr="00594481">
        <w:tc>
          <w:tcPr>
            <w:tcW w:w="1426" w:type="dxa"/>
            <w:vAlign w:val="center"/>
          </w:tcPr>
          <w:p w:rsidR="006D0152" w:rsidRPr="00594481" w:rsidRDefault="006D0152" w:rsidP="009E56BA">
            <w:pPr>
              <w:jc w:val="center"/>
              <w:rPr>
                <w:rFonts w:ascii="Arial" w:hAnsi="Arial" w:cs="Arial"/>
                <w:b/>
              </w:rPr>
            </w:pPr>
            <w:r w:rsidRPr="00594481">
              <w:rPr>
                <w:rFonts w:ascii="Arial" w:hAnsi="Arial" w:cs="Arial"/>
                <w:b/>
              </w:rPr>
              <w:t>Chemicals</w:t>
            </w:r>
          </w:p>
        </w:tc>
        <w:tc>
          <w:tcPr>
            <w:tcW w:w="3852" w:type="dxa"/>
          </w:tcPr>
          <w:p w:rsidR="006D0152" w:rsidRPr="00594481" w:rsidRDefault="006D0152" w:rsidP="0035405A">
            <w:pPr>
              <w:rPr>
                <w:rFonts w:ascii="Arial" w:hAnsi="Arial" w:cs="Arial"/>
                <w:sz w:val="20"/>
                <w:szCs w:val="20"/>
              </w:rPr>
            </w:pPr>
            <w:r w:rsidRPr="00594481">
              <w:rPr>
                <w:rFonts w:ascii="Arial" w:hAnsi="Arial" w:cs="Arial"/>
                <w:sz w:val="20"/>
                <w:szCs w:val="20"/>
              </w:rPr>
              <w:t>LISS antibodies</w:t>
            </w:r>
          </w:p>
          <w:p w:rsidR="006D0152" w:rsidRPr="00594481" w:rsidRDefault="006D0152" w:rsidP="0035405A">
            <w:pPr>
              <w:rPr>
                <w:rFonts w:ascii="Arial" w:hAnsi="Arial" w:cs="Arial"/>
                <w:sz w:val="20"/>
                <w:szCs w:val="20"/>
              </w:rPr>
            </w:pPr>
            <w:r w:rsidRPr="00594481">
              <w:rPr>
                <w:rFonts w:ascii="Arial" w:hAnsi="Arial" w:cs="Arial"/>
                <w:sz w:val="20"/>
                <w:szCs w:val="20"/>
              </w:rPr>
              <w:t>Gel antibodies</w:t>
            </w:r>
          </w:p>
          <w:p w:rsidR="006D0152" w:rsidRPr="00594481" w:rsidRDefault="006D0152" w:rsidP="0035405A">
            <w:pPr>
              <w:rPr>
                <w:rFonts w:ascii="Arial" w:hAnsi="Arial" w:cs="Arial"/>
                <w:sz w:val="20"/>
                <w:szCs w:val="20"/>
              </w:rPr>
            </w:pPr>
            <w:r w:rsidRPr="00594481">
              <w:rPr>
                <w:rFonts w:ascii="Arial" w:hAnsi="Arial" w:cs="Arial"/>
                <w:sz w:val="20"/>
                <w:szCs w:val="20"/>
              </w:rPr>
              <w:t>PeG antibodies</w:t>
            </w:r>
          </w:p>
          <w:p w:rsidR="006D0152" w:rsidRPr="00594481" w:rsidRDefault="006D0152" w:rsidP="0035405A">
            <w:pPr>
              <w:rPr>
                <w:rFonts w:ascii="Arial" w:hAnsi="Arial" w:cs="Arial"/>
                <w:sz w:val="20"/>
                <w:szCs w:val="20"/>
              </w:rPr>
            </w:pPr>
            <w:r w:rsidRPr="00594481">
              <w:rPr>
                <w:rFonts w:ascii="Arial" w:hAnsi="Arial" w:cs="Arial"/>
                <w:sz w:val="20"/>
                <w:szCs w:val="20"/>
              </w:rPr>
              <w:t>You name it – patients have antibodies against some constituent of the reagent.</w:t>
            </w:r>
          </w:p>
          <w:p w:rsidR="006D0152" w:rsidRPr="00594481" w:rsidRDefault="006D0152" w:rsidP="0035405A">
            <w:pPr>
              <w:rPr>
                <w:rFonts w:ascii="Arial" w:hAnsi="Arial" w:cs="Arial"/>
                <w:sz w:val="20"/>
                <w:szCs w:val="20"/>
              </w:rPr>
            </w:pPr>
            <w:r w:rsidRPr="00594481">
              <w:rPr>
                <w:rFonts w:ascii="Arial" w:hAnsi="Arial" w:cs="Arial"/>
                <w:sz w:val="20"/>
                <w:szCs w:val="20"/>
              </w:rPr>
              <w:t>Remove the reagent</w:t>
            </w:r>
            <w:r w:rsidR="00594481">
              <w:rPr>
                <w:rFonts w:ascii="Arial" w:hAnsi="Arial" w:cs="Arial"/>
                <w:sz w:val="20"/>
                <w:szCs w:val="20"/>
              </w:rPr>
              <w:t>-</w:t>
            </w:r>
            <w:r w:rsidRPr="00594481">
              <w:rPr>
                <w:rFonts w:ascii="Arial" w:hAnsi="Arial" w:cs="Arial"/>
                <w:sz w:val="20"/>
                <w:szCs w:val="20"/>
              </w:rPr>
              <w:t>reactions go away</w:t>
            </w:r>
            <w:r w:rsidR="00594481">
              <w:rPr>
                <w:rFonts w:ascii="Arial" w:hAnsi="Arial" w:cs="Arial"/>
                <w:sz w:val="20"/>
                <w:szCs w:val="20"/>
              </w:rPr>
              <w:t>.</w:t>
            </w:r>
          </w:p>
          <w:p w:rsidR="009A020D" w:rsidRPr="00594481" w:rsidRDefault="006D0152" w:rsidP="0035405A">
            <w:pPr>
              <w:rPr>
                <w:rFonts w:ascii="Arial" w:hAnsi="Arial" w:cs="Arial"/>
                <w:sz w:val="20"/>
                <w:szCs w:val="20"/>
              </w:rPr>
            </w:pPr>
            <w:r w:rsidRPr="00594481">
              <w:rPr>
                <w:rFonts w:ascii="Arial" w:hAnsi="Arial" w:cs="Arial"/>
                <w:sz w:val="20"/>
                <w:szCs w:val="20"/>
              </w:rPr>
              <w:t>Where do we get these antibodies?  Medications and chemicals we eat and drink</w:t>
            </w:r>
          </w:p>
        </w:tc>
        <w:tc>
          <w:tcPr>
            <w:tcW w:w="2941" w:type="dxa"/>
          </w:tcPr>
          <w:p w:rsidR="006D0152" w:rsidRPr="00594481" w:rsidRDefault="006D0152" w:rsidP="0035405A">
            <w:pPr>
              <w:rPr>
                <w:rFonts w:ascii="Arial" w:hAnsi="Arial" w:cs="Arial"/>
                <w:sz w:val="20"/>
                <w:szCs w:val="20"/>
              </w:rPr>
            </w:pPr>
            <w:r w:rsidRPr="00594481">
              <w:rPr>
                <w:rFonts w:ascii="Arial" w:hAnsi="Arial" w:cs="Arial"/>
                <w:sz w:val="20"/>
                <w:szCs w:val="20"/>
              </w:rPr>
              <w:t xml:space="preserve">Every cell weakly positive;  </w:t>
            </w:r>
          </w:p>
          <w:p w:rsidR="006D0152" w:rsidRPr="00594481" w:rsidRDefault="006D0152" w:rsidP="0035405A">
            <w:pPr>
              <w:rPr>
                <w:rFonts w:ascii="Arial" w:hAnsi="Arial" w:cs="Arial"/>
                <w:sz w:val="20"/>
                <w:szCs w:val="20"/>
              </w:rPr>
            </w:pPr>
            <w:r w:rsidRPr="00594481">
              <w:rPr>
                <w:rFonts w:ascii="Arial" w:hAnsi="Arial" w:cs="Arial"/>
                <w:sz w:val="20"/>
                <w:szCs w:val="20"/>
              </w:rPr>
              <w:t>Try another enhancement – every cell is negative</w:t>
            </w:r>
          </w:p>
          <w:p w:rsidR="006D0152" w:rsidRPr="00594481" w:rsidRDefault="006D0152" w:rsidP="0035405A">
            <w:pPr>
              <w:rPr>
                <w:rFonts w:ascii="Arial" w:hAnsi="Arial" w:cs="Arial"/>
                <w:sz w:val="20"/>
                <w:szCs w:val="20"/>
              </w:rPr>
            </w:pPr>
            <w:r w:rsidRPr="00594481">
              <w:rPr>
                <w:rFonts w:ascii="Arial" w:hAnsi="Arial" w:cs="Arial"/>
                <w:sz w:val="20"/>
                <w:szCs w:val="20"/>
              </w:rPr>
              <w:t>Auto will also be positive but DAT is negative</w:t>
            </w:r>
          </w:p>
          <w:p w:rsidR="006D0152" w:rsidRPr="00594481" w:rsidRDefault="006D0152" w:rsidP="0035405A">
            <w:pPr>
              <w:rPr>
                <w:rFonts w:ascii="Arial" w:hAnsi="Arial" w:cs="Arial"/>
                <w:sz w:val="20"/>
                <w:szCs w:val="20"/>
              </w:rPr>
            </w:pPr>
          </w:p>
        </w:tc>
        <w:tc>
          <w:tcPr>
            <w:tcW w:w="1357" w:type="dxa"/>
            <w:vAlign w:val="center"/>
          </w:tcPr>
          <w:p w:rsidR="006D0152" w:rsidRDefault="006D0152" w:rsidP="009E56BA">
            <w:pPr>
              <w:jc w:val="center"/>
            </w:pPr>
            <w:r>
              <w:t>Rare</w:t>
            </w:r>
          </w:p>
        </w:tc>
      </w:tr>
    </w:tbl>
    <w:p w:rsidR="00594481" w:rsidRDefault="00594481"/>
    <w:tbl>
      <w:tblPr>
        <w:tblStyle w:val="TableGrid"/>
        <w:tblW w:w="0" w:type="auto"/>
        <w:tblLook w:val="04A0" w:firstRow="1" w:lastRow="0" w:firstColumn="1" w:lastColumn="0" w:noHBand="0" w:noVBand="1"/>
      </w:tblPr>
      <w:tblGrid>
        <w:gridCol w:w="1663"/>
        <w:gridCol w:w="2627"/>
        <w:gridCol w:w="2459"/>
        <w:gridCol w:w="2827"/>
      </w:tblGrid>
      <w:tr w:rsidR="00594481" w:rsidRPr="00594481" w:rsidTr="00165893">
        <w:tc>
          <w:tcPr>
            <w:tcW w:w="1663" w:type="dxa"/>
            <w:shd w:val="clear" w:color="auto" w:fill="DDD9C3" w:themeFill="background2" w:themeFillShade="E6"/>
            <w:vAlign w:val="center"/>
          </w:tcPr>
          <w:p w:rsidR="00594481" w:rsidRPr="00594481" w:rsidRDefault="00594481" w:rsidP="00594481">
            <w:pPr>
              <w:jc w:val="center"/>
              <w:rPr>
                <w:rFonts w:ascii="Arial" w:hAnsi="Arial" w:cs="Arial"/>
                <w:sz w:val="24"/>
                <w:szCs w:val="24"/>
              </w:rPr>
            </w:pPr>
            <w:r w:rsidRPr="00594481">
              <w:rPr>
                <w:rFonts w:ascii="Arial" w:hAnsi="Arial" w:cs="Arial"/>
                <w:sz w:val="24"/>
                <w:szCs w:val="24"/>
              </w:rPr>
              <w:t>Antigen</w:t>
            </w:r>
          </w:p>
        </w:tc>
        <w:tc>
          <w:tcPr>
            <w:tcW w:w="5086" w:type="dxa"/>
            <w:gridSpan w:val="2"/>
            <w:shd w:val="clear" w:color="auto" w:fill="DDD9C3" w:themeFill="background2" w:themeFillShade="E6"/>
            <w:vAlign w:val="center"/>
          </w:tcPr>
          <w:p w:rsidR="00594481" w:rsidRPr="00594481" w:rsidRDefault="00594481" w:rsidP="00594481">
            <w:pPr>
              <w:jc w:val="center"/>
              <w:rPr>
                <w:rFonts w:ascii="Arial" w:hAnsi="Arial" w:cs="Arial"/>
                <w:sz w:val="24"/>
                <w:szCs w:val="24"/>
              </w:rPr>
            </w:pPr>
            <w:r w:rsidRPr="00594481">
              <w:rPr>
                <w:rFonts w:ascii="Arial" w:hAnsi="Arial" w:cs="Arial"/>
                <w:sz w:val="24"/>
                <w:szCs w:val="24"/>
              </w:rPr>
              <w:t>Description</w:t>
            </w:r>
          </w:p>
        </w:tc>
        <w:tc>
          <w:tcPr>
            <w:tcW w:w="2827" w:type="dxa"/>
            <w:shd w:val="clear" w:color="auto" w:fill="DDD9C3" w:themeFill="background2" w:themeFillShade="E6"/>
            <w:vAlign w:val="center"/>
          </w:tcPr>
          <w:p w:rsidR="00594481" w:rsidRPr="00594481" w:rsidRDefault="00594481" w:rsidP="00594481">
            <w:pPr>
              <w:jc w:val="center"/>
              <w:rPr>
                <w:rFonts w:ascii="Arial" w:hAnsi="Arial" w:cs="Arial"/>
                <w:sz w:val="24"/>
                <w:szCs w:val="24"/>
              </w:rPr>
            </w:pPr>
            <w:r w:rsidRPr="00594481">
              <w:rPr>
                <w:rFonts w:ascii="Arial" w:hAnsi="Arial" w:cs="Arial"/>
                <w:sz w:val="24"/>
                <w:szCs w:val="24"/>
              </w:rPr>
              <w:t>Identification/TS Policy</w:t>
            </w:r>
          </w:p>
        </w:tc>
      </w:tr>
      <w:tr w:rsidR="00394F74" w:rsidTr="00165893">
        <w:tc>
          <w:tcPr>
            <w:tcW w:w="1663" w:type="dxa"/>
            <w:vAlign w:val="center"/>
          </w:tcPr>
          <w:p w:rsidR="00394F74" w:rsidRPr="00594481" w:rsidRDefault="00394F74" w:rsidP="009E56BA">
            <w:pPr>
              <w:jc w:val="center"/>
              <w:rPr>
                <w:rFonts w:ascii="Arial" w:hAnsi="Arial" w:cs="Arial"/>
                <w:b/>
                <w:sz w:val="28"/>
                <w:szCs w:val="28"/>
              </w:rPr>
            </w:pPr>
            <w:r w:rsidRPr="00594481">
              <w:rPr>
                <w:rFonts w:ascii="Arial" w:hAnsi="Arial" w:cs="Arial"/>
                <w:b/>
                <w:sz w:val="28"/>
                <w:szCs w:val="28"/>
              </w:rPr>
              <w:t>HTLA</w:t>
            </w:r>
          </w:p>
          <w:p w:rsidR="00594481" w:rsidRDefault="00594481" w:rsidP="009E56BA">
            <w:pPr>
              <w:jc w:val="center"/>
              <w:rPr>
                <w:b/>
              </w:rPr>
            </w:pPr>
          </w:p>
          <w:p w:rsidR="00594481" w:rsidRDefault="00594481" w:rsidP="009E56BA">
            <w:pPr>
              <w:jc w:val="center"/>
              <w:rPr>
                <w:b/>
              </w:rPr>
            </w:pPr>
          </w:p>
          <w:p w:rsidR="00594481" w:rsidRPr="00594481" w:rsidRDefault="00594481" w:rsidP="009E56BA">
            <w:pPr>
              <w:jc w:val="center"/>
              <w:rPr>
                <w:b/>
                <w:i/>
              </w:rPr>
            </w:pPr>
            <w:r w:rsidRPr="00594481">
              <w:rPr>
                <w:b/>
                <w:i/>
              </w:rPr>
              <w:t>A Misnomer</w:t>
            </w:r>
          </w:p>
        </w:tc>
        <w:tc>
          <w:tcPr>
            <w:tcW w:w="5086" w:type="dxa"/>
            <w:gridSpan w:val="2"/>
          </w:tcPr>
          <w:p w:rsidR="00394F74" w:rsidRPr="00594481" w:rsidRDefault="00394F74" w:rsidP="00594481">
            <w:pPr>
              <w:shd w:val="clear" w:color="auto" w:fill="FFFFFF"/>
              <w:spacing w:line="276" w:lineRule="auto"/>
              <w:rPr>
                <w:rFonts w:ascii="Arial" w:eastAsia="Times New Roman" w:hAnsi="Arial" w:cs="Arial"/>
                <w:sz w:val="20"/>
                <w:szCs w:val="20"/>
              </w:rPr>
            </w:pPr>
            <w:r w:rsidRPr="00594481">
              <w:rPr>
                <w:rStyle w:val="Strong"/>
                <w:rFonts w:ascii="Arial" w:hAnsi="Arial" w:cs="Arial"/>
                <w:color w:val="000000"/>
                <w:sz w:val="20"/>
                <w:szCs w:val="20"/>
              </w:rPr>
              <w:t>Professor W. John Judd at the University of Michigan Medical Center</w:t>
            </w:r>
            <w:r w:rsidRPr="00594481">
              <w:rPr>
                <w:rFonts w:ascii="Arial" w:hAnsi="Arial" w:cs="Arial"/>
                <w:color w:val="000000"/>
                <w:sz w:val="20"/>
                <w:szCs w:val="20"/>
              </w:rPr>
              <w:t xml:space="preserve"> (attribution used with permission), reports that in his experience </w:t>
            </w:r>
            <w:r w:rsidRPr="00594481">
              <w:rPr>
                <w:rStyle w:val="Strong"/>
                <w:rFonts w:ascii="Arial" w:hAnsi="Arial" w:cs="Arial"/>
                <w:color w:val="000000"/>
                <w:sz w:val="20"/>
                <w:szCs w:val="20"/>
              </w:rPr>
              <w:t>the term "HTLA" is a misnomer</w:t>
            </w:r>
            <w:r w:rsidRPr="00594481">
              <w:rPr>
                <w:rFonts w:ascii="Arial" w:hAnsi="Arial" w:cs="Arial"/>
                <w:color w:val="000000"/>
                <w:sz w:val="20"/>
                <w:szCs w:val="20"/>
              </w:rPr>
              <w:t xml:space="preserve">, usually applied to antibodies to </w:t>
            </w:r>
            <w:r w:rsidRPr="00594481">
              <w:rPr>
                <w:rStyle w:val="Strong"/>
                <w:rFonts w:ascii="Arial" w:hAnsi="Arial" w:cs="Arial"/>
                <w:color w:val="000000"/>
                <w:sz w:val="20"/>
                <w:szCs w:val="20"/>
              </w:rPr>
              <w:t>KNOPS</w:t>
            </w:r>
            <w:r w:rsidRPr="00594481">
              <w:rPr>
                <w:rFonts w:ascii="Arial" w:hAnsi="Arial" w:cs="Arial"/>
                <w:color w:val="000000"/>
                <w:sz w:val="20"/>
                <w:szCs w:val="20"/>
              </w:rPr>
              <w:t xml:space="preserve"> antigens, but some would consider Ch/Rg, Yta, Csa, JMH and LU antibodies to be part of that group. He reminds us that KNOPS antibodies are not always of high titer, and avidity has nothing to do with their weak reactivity; rather, it is a matter of low antigen site density on RBCs.</w:t>
            </w:r>
          </w:p>
          <w:p w:rsidR="00394F74" w:rsidRDefault="00394F74" w:rsidP="001F30C6">
            <w:pPr>
              <w:shd w:val="clear" w:color="auto" w:fill="FFFFFF"/>
              <w:spacing w:line="360" w:lineRule="auto"/>
              <w:rPr>
                <w:rFonts w:ascii="Arial" w:eastAsia="Times New Roman" w:hAnsi="Arial" w:cs="Arial"/>
                <w:sz w:val="20"/>
                <w:szCs w:val="20"/>
              </w:rPr>
            </w:pPr>
          </w:p>
          <w:p w:rsidR="00394F74" w:rsidRPr="00394F74" w:rsidRDefault="00394F74" w:rsidP="001F30C6">
            <w:pPr>
              <w:shd w:val="clear" w:color="auto" w:fill="FFFFFF"/>
              <w:spacing w:line="360" w:lineRule="auto"/>
              <w:rPr>
                <w:rFonts w:ascii="Arial" w:eastAsia="Times New Roman" w:hAnsi="Arial" w:cs="Arial"/>
                <w:sz w:val="20"/>
                <w:szCs w:val="20"/>
                <w:u w:val="single"/>
              </w:rPr>
            </w:pPr>
            <w:r w:rsidRPr="00394F74">
              <w:rPr>
                <w:rFonts w:ascii="Arial" w:eastAsia="Times New Roman" w:hAnsi="Arial" w:cs="Arial"/>
                <w:sz w:val="20"/>
                <w:szCs w:val="20"/>
                <w:u w:val="single"/>
              </w:rPr>
              <w:t>That said:</w:t>
            </w:r>
          </w:p>
          <w:p w:rsidR="00394F74" w:rsidRPr="00394F74" w:rsidRDefault="00394F74" w:rsidP="00594481">
            <w:pPr>
              <w:shd w:val="clear" w:color="auto" w:fill="FFFFFF"/>
              <w:spacing w:line="276" w:lineRule="auto"/>
              <w:rPr>
                <w:rFonts w:ascii="Arial" w:eastAsia="Times New Roman" w:hAnsi="Arial" w:cs="Arial"/>
                <w:sz w:val="20"/>
                <w:szCs w:val="20"/>
              </w:rPr>
            </w:pPr>
            <w:r w:rsidRPr="00394F74">
              <w:rPr>
                <w:rFonts w:ascii="Arial" w:eastAsia="Times New Roman" w:hAnsi="Arial" w:cs="Arial"/>
                <w:sz w:val="20"/>
                <w:szCs w:val="20"/>
              </w:rPr>
              <w:t xml:space="preserve">They have not been shown to cause significant destruction of transfused antigen-positive red cells. </w:t>
            </w:r>
          </w:p>
          <w:p w:rsidR="00394F74" w:rsidRDefault="00394F74" w:rsidP="00594481">
            <w:pPr>
              <w:shd w:val="clear" w:color="auto" w:fill="FFFFFF"/>
              <w:spacing w:line="276" w:lineRule="auto"/>
              <w:rPr>
                <w:rFonts w:ascii="Arial" w:eastAsia="Times New Roman" w:hAnsi="Arial" w:cs="Arial"/>
                <w:sz w:val="20"/>
                <w:szCs w:val="20"/>
              </w:rPr>
            </w:pPr>
            <w:r w:rsidRPr="00394F74">
              <w:rPr>
                <w:rFonts w:ascii="Arial" w:eastAsia="Times New Roman" w:hAnsi="Arial" w:cs="Arial"/>
                <w:sz w:val="20"/>
                <w:szCs w:val="20"/>
              </w:rPr>
              <w:t>High-titer, low-avidity (HTLA) antibodies are frequently described as "reactive weakly by the antiglobulin test."   Antibodies that react to HTLA characteristics cause difficulties in serologic testing because of the weak reactions they produce in the indirect antiglobulin test. The antibodies create problems in serologic tests because the reactions they produce interfere with the identification of reactions due to other, clinically significant antibodies.</w:t>
            </w:r>
          </w:p>
          <w:p w:rsidR="00594481" w:rsidRPr="00394F74" w:rsidRDefault="00594481" w:rsidP="00594481">
            <w:pPr>
              <w:shd w:val="clear" w:color="auto" w:fill="FFFFFF"/>
              <w:spacing w:line="276" w:lineRule="auto"/>
              <w:rPr>
                <w:rFonts w:ascii="Arial" w:eastAsia="Times New Roman" w:hAnsi="Arial" w:cs="Arial"/>
                <w:sz w:val="20"/>
                <w:szCs w:val="20"/>
              </w:rPr>
            </w:pPr>
          </w:p>
          <w:p w:rsidR="00394F74" w:rsidRPr="00594481" w:rsidRDefault="00394F74" w:rsidP="00594481">
            <w:pPr>
              <w:shd w:val="clear" w:color="auto" w:fill="FFFFFF"/>
              <w:spacing w:line="276" w:lineRule="auto"/>
              <w:rPr>
                <w:rFonts w:ascii="Arial" w:eastAsia="Times New Roman" w:hAnsi="Arial" w:cs="Arial"/>
                <w:sz w:val="20"/>
                <w:szCs w:val="20"/>
              </w:rPr>
            </w:pPr>
            <w:r w:rsidRPr="00594481">
              <w:rPr>
                <w:rFonts w:ascii="Arial" w:eastAsia="Times New Roman" w:hAnsi="Arial" w:cs="Arial"/>
                <w:sz w:val="20"/>
                <w:szCs w:val="20"/>
              </w:rPr>
              <w:t>These antibodies include: anti-Chido (Cha) and anti-Rodgers (Rga), and anti-Cost-Stirling (Csa) and anti-York (Yka), anti-Knops (Kna) and anti-McCoy (McCa), and anti-John Milton Hagen (JMH), the majority of which are directed at high-incidence red cell antigens. The classic HTLA antibodies are thought to be incapable of fixing complement or causing in vitro hemolysis. Present data indicate that these antibodies do not cause either increased red cell destruction when incompatible blood is transfused or hemolytic disease of the newborn. Special serological techniques can be used to differentiate the antibodies within the HTLA classification from antibodies not of an HTLA nature.</w:t>
            </w:r>
          </w:p>
          <w:p w:rsidR="00394F74" w:rsidRDefault="00394F74" w:rsidP="00594481">
            <w:pPr>
              <w:spacing w:line="276" w:lineRule="auto"/>
              <w:rPr>
                <w:rFonts w:ascii="Arial" w:hAnsi="Arial" w:cs="Arial"/>
                <w:sz w:val="20"/>
                <w:szCs w:val="20"/>
              </w:rPr>
            </w:pPr>
            <w:r>
              <w:rPr>
                <w:sz w:val="20"/>
                <w:szCs w:val="20"/>
              </w:rPr>
              <w:t xml:space="preserve">NOTE:  </w:t>
            </w:r>
            <w:r w:rsidRPr="00594481">
              <w:rPr>
                <w:rFonts w:ascii="Arial" w:hAnsi="Arial" w:cs="Arial"/>
                <w:sz w:val="20"/>
                <w:szCs w:val="20"/>
              </w:rPr>
              <w:t>a King County resident with anti-Ro (Rogers) requires washed cells due to anaphylactic reactions to Rogers (complement) molecules present in the donor unit.  Very unusual!</w:t>
            </w:r>
          </w:p>
          <w:p w:rsidR="00165893" w:rsidRPr="001F30C6" w:rsidRDefault="00165893" w:rsidP="00594481">
            <w:pPr>
              <w:spacing w:line="276" w:lineRule="auto"/>
              <w:rPr>
                <w:sz w:val="20"/>
                <w:szCs w:val="20"/>
              </w:rPr>
            </w:pPr>
          </w:p>
        </w:tc>
        <w:tc>
          <w:tcPr>
            <w:tcW w:w="2827" w:type="dxa"/>
          </w:tcPr>
          <w:p w:rsidR="00394F74" w:rsidRDefault="00394F74" w:rsidP="0035405A">
            <w:r>
              <w:t>Weak reactions at AHG with no discernible pattern.</w:t>
            </w:r>
          </w:p>
          <w:p w:rsidR="00394F74" w:rsidRDefault="00394F74" w:rsidP="0035405A"/>
          <w:p w:rsidR="00394F74" w:rsidRDefault="00594481" w:rsidP="0035405A">
            <w:r>
              <w:t>Some c</w:t>
            </w:r>
            <w:r w:rsidR="00394F74">
              <w:t xml:space="preserve">an be titered out a LOOOONG way with reactions remaining w+/1+; hence the name </w:t>
            </w:r>
            <w:r w:rsidR="00394F74" w:rsidRPr="001F30C6">
              <w:rPr>
                <w:b/>
              </w:rPr>
              <w:t>H</w:t>
            </w:r>
            <w:r w:rsidR="00394F74">
              <w:t xml:space="preserve">igh </w:t>
            </w:r>
            <w:r w:rsidR="00394F74" w:rsidRPr="001F30C6">
              <w:rPr>
                <w:b/>
              </w:rPr>
              <w:t>T</w:t>
            </w:r>
            <w:r w:rsidR="00394F74">
              <w:t xml:space="preserve">iter </w:t>
            </w:r>
            <w:r w:rsidR="00394F74" w:rsidRPr="001F30C6">
              <w:rPr>
                <w:b/>
              </w:rPr>
              <w:t>L</w:t>
            </w:r>
            <w:r w:rsidR="00394F74">
              <w:t xml:space="preserve">ow </w:t>
            </w:r>
            <w:r w:rsidR="00394F74" w:rsidRPr="001F30C6">
              <w:rPr>
                <w:b/>
              </w:rPr>
              <w:t>A</w:t>
            </w:r>
            <w:r w:rsidR="00394F74">
              <w:t>vidity</w:t>
            </w:r>
          </w:p>
          <w:p w:rsidR="00394F74" w:rsidRDefault="00394F74" w:rsidP="0035405A"/>
          <w:p w:rsidR="00394F74" w:rsidRDefault="00394F74" w:rsidP="0035405A">
            <w:r>
              <w:t>Problem for PSBC’s RCRL to fully resolve</w:t>
            </w:r>
          </w:p>
          <w:p w:rsidR="00394F74" w:rsidRDefault="00394F74" w:rsidP="0035405A"/>
          <w:p w:rsidR="00394F74" w:rsidRDefault="00394F74" w:rsidP="0035405A">
            <w:r>
              <w:t>Requires special cells</w:t>
            </w:r>
            <w:r w:rsidR="00594481">
              <w:t xml:space="preserve"> and methods to differentiate:</w:t>
            </w:r>
          </w:p>
          <w:p w:rsidR="00594481" w:rsidRDefault="00594481" w:rsidP="002C68C2">
            <w:pPr>
              <w:pStyle w:val="ListParagraph"/>
              <w:numPr>
                <w:ilvl w:val="0"/>
                <w:numId w:val="11"/>
              </w:numPr>
            </w:pPr>
            <w:r>
              <w:t>Ficin</w:t>
            </w:r>
          </w:p>
          <w:p w:rsidR="00594481" w:rsidRDefault="00594481" w:rsidP="002C68C2">
            <w:pPr>
              <w:pStyle w:val="ListParagraph"/>
              <w:numPr>
                <w:ilvl w:val="0"/>
                <w:numId w:val="11"/>
              </w:numPr>
            </w:pPr>
            <w:r>
              <w:t>Column</w:t>
            </w:r>
          </w:p>
          <w:p w:rsidR="002C68C2" w:rsidRDefault="002C68C2" w:rsidP="002C68C2">
            <w:pPr>
              <w:pStyle w:val="ListParagraph"/>
              <w:numPr>
                <w:ilvl w:val="0"/>
                <w:numId w:val="11"/>
              </w:numPr>
            </w:pPr>
            <w:r>
              <w:t>DTT-treated RBCs</w:t>
            </w:r>
          </w:p>
          <w:p w:rsidR="002C68C2" w:rsidRDefault="002C68C2" w:rsidP="002C68C2">
            <w:pPr>
              <w:pStyle w:val="ListParagraph"/>
              <w:numPr>
                <w:ilvl w:val="0"/>
                <w:numId w:val="11"/>
              </w:numPr>
            </w:pPr>
            <w:r>
              <w:t>Inhibition with pooled plasma</w:t>
            </w:r>
          </w:p>
          <w:p w:rsidR="00394F74" w:rsidRDefault="00394F74" w:rsidP="0035405A"/>
          <w:p w:rsidR="00394F74" w:rsidRDefault="00394F74" w:rsidP="0035405A">
            <w:r>
              <w:t>Extended typing sheets for the panels may have additional information on these antigens.</w:t>
            </w:r>
          </w:p>
          <w:p w:rsidR="002C68C2" w:rsidRDefault="002C68C2" w:rsidP="0035405A"/>
          <w:p w:rsidR="00394F74" w:rsidRDefault="00394F74" w:rsidP="0035405A"/>
          <w:p w:rsidR="00394F74" w:rsidRDefault="00394F74" w:rsidP="0035405A"/>
          <w:p w:rsidR="00394F74" w:rsidRDefault="00394F74" w:rsidP="0035405A"/>
        </w:tc>
      </w:tr>
      <w:tr w:rsidR="00165893" w:rsidTr="00165893">
        <w:tc>
          <w:tcPr>
            <w:tcW w:w="9576" w:type="dxa"/>
            <w:gridSpan w:val="4"/>
            <w:shd w:val="clear" w:color="auto" w:fill="DDD9C3" w:themeFill="background2" w:themeFillShade="E6"/>
            <w:vAlign w:val="center"/>
          </w:tcPr>
          <w:p w:rsidR="00165893" w:rsidRPr="00165893" w:rsidRDefault="00165893" w:rsidP="00165893">
            <w:pPr>
              <w:rPr>
                <w:i/>
              </w:rPr>
            </w:pPr>
            <w:r>
              <w:rPr>
                <w:rFonts w:ascii="Arial" w:hAnsi="Arial" w:cs="Arial"/>
                <w:b/>
                <w:sz w:val="28"/>
                <w:szCs w:val="28"/>
              </w:rPr>
              <w:lastRenderedPageBreak/>
              <w:t xml:space="preserve">TSL Policy:  </w:t>
            </w:r>
            <w:r>
              <w:t xml:space="preserve">HMC TS policy allows </w:t>
            </w:r>
            <w:r>
              <w:t xml:space="preserve">I.S. serologic crossmatch with a history of these antibodies and a negative antibody screen                    </w:t>
            </w:r>
            <w:r w:rsidRPr="00165893">
              <w:rPr>
                <w:i/>
              </w:rPr>
              <w:t xml:space="preserve">Note:  </w:t>
            </w:r>
            <w:r w:rsidRPr="00165893">
              <w:rPr>
                <w:i/>
              </w:rPr>
              <w:t>IS will be re</w:t>
            </w:r>
            <w:r w:rsidRPr="00165893">
              <w:rPr>
                <w:i/>
              </w:rPr>
              <w:t>quired due to SQ control files.</w:t>
            </w:r>
          </w:p>
          <w:p w:rsidR="00165893" w:rsidRDefault="00165893" w:rsidP="0035405A"/>
        </w:tc>
      </w:tr>
      <w:tr w:rsidR="00165893" w:rsidTr="00B53BBB">
        <w:tc>
          <w:tcPr>
            <w:tcW w:w="9576" w:type="dxa"/>
            <w:gridSpan w:val="4"/>
            <w:vAlign w:val="center"/>
          </w:tcPr>
          <w:p w:rsidR="00165893" w:rsidRPr="00594481" w:rsidRDefault="00165893" w:rsidP="009E56BA">
            <w:pPr>
              <w:jc w:val="center"/>
              <w:rPr>
                <w:rFonts w:ascii="Arial" w:hAnsi="Arial" w:cs="Arial"/>
                <w:b/>
                <w:sz w:val="28"/>
                <w:szCs w:val="28"/>
              </w:rPr>
            </w:pPr>
            <w:r>
              <w:rPr>
                <w:rFonts w:ascii="Arial" w:hAnsi="Arial" w:cs="Arial"/>
                <w:b/>
                <w:sz w:val="28"/>
                <w:szCs w:val="28"/>
              </w:rPr>
              <w:t>Clinically Insignificant Antibodies</w:t>
            </w:r>
          </w:p>
          <w:p w:rsidR="00165893" w:rsidRDefault="00165893" w:rsidP="00165893">
            <w:pPr>
              <w:rPr>
                <w:rFonts w:ascii="Arial" w:hAnsi="Arial" w:cs="Arial"/>
              </w:rPr>
            </w:pPr>
            <w:r>
              <w:rPr>
                <w:rStyle w:val="Strong"/>
                <w:rFonts w:ascii="Arial" w:hAnsi="Arial" w:cs="Arial"/>
                <w:color w:val="000000"/>
                <w:sz w:val="20"/>
                <w:szCs w:val="20"/>
              </w:rPr>
              <w:t xml:space="preserve"> </w:t>
            </w:r>
            <w:r w:rsidRPr="00830D39">
              <w:rPr>
                <w:rFonts w:ascii="Arial" w:hAnsi="Arial" w:cs="Arial"/>
                <w:b/>
              </w:rPr>
              <w:t>NOTE:</w:t>
            </w:r>
            <w:r w:rsidRPr="00830D39">
              <w:rPr>
                <w:rFonts w:ascii="Arial" w:hAnsi="Arial" w:cs="Arial"/>
              </w:rPr>
              <w:t xml:space="preserve">  This list is not all-inclusive for insignificant antibodies.  Consult with TS </w:t>
            </w:r>
            <w:proofErr w:type="spellStart"/>
            <w:r w:rsidRPr="00830D39">
              <w:rPr>
                <w:rFonts w:ascii="Arial" w:hAnsi="Arial" w:cs="Arial"/>
              </w:rPr>
              <w:t>Mgr</w:t>
            </w:r>
            <w:proofErr w:type="spellEnd"/>
            <w:r w:rsidRPr="00830D39">
              <w:rPr>
                <w:rFonts w:ascii="Arial" w:hAnsi="Arial" w:cs="Arial"/>
              </w:rPr>
              <w:t xml:space="preserve"> or Medical Director for any tha</w:t>
            </w:r>
            <w:r>
              <w:rPr>
                <w:rFonts w:ascii="Arial" w:hAnsi="Arial" w:cs="Arial"/>
              </w:rPr>
              <w:t>t</w:t>
            </w:r>
            <w:r w:rsidRPr="00830D39">
              <w:rPr>
                <w:rFonts w:ascii="Arial" w:hAnsi="Arial" w:cs="Arial"/>
              </w:rPr>
              <w:t xml:space="preserve"> may not be listed.</w:t>
            </w:r>
          </w:p>
          <w:p w:rsidR="00165893" w:rsidRDefault="00165893" w:rsidP="0035405A"/>
        </w:tc>
      </w:tr>
      <w:tr w:rsidR="00165893" w:rsidTr="00165893">
        <w:tc>
          <w:tcPr>
            <w:tcW w:w="4290" w:type="dxa"/>
            <w:gridSpan w:val="2"/>
            <w:vAlign w:val="center"/>
          </w:tcPr>
          <w:p w:rsidR="00165893" w:rsidRDefault="00165893" w:rsidP="00165893">
            <w:pPr>
              <w:rPr>
                <w:rFonts w:ascii="Arial" w:hAnsi="Arial" w:cs="Arial"/>
              </w:rPr>
            </w:pPr>
          </w:p>
          <w:p w:rsidR="00165893" w:rsidRPr="00830D39" w:rsidRDefault="00165893" w:rsidP="00165893">
            <w:pPr>
              <w:rPr>
                <w:rFonts w:ascii="Arial" w:hAnsi="Arial" w:cs="Arial"/>
              </w:rPr>
            </w:pPr>
            <w:r w:rsidRPr="002E2E92">
              <w:rPr>
                <w:rFonts w:ascii="Arial" w:hAnsi="Arial" w:cs="Arial"/>
              </w:rPr>
              <w:t>Bg</w:t>
            </w:r>
            <w:r w:rsidRPr="002E2E92">
              <w:rPr>
                <w:rFonts w:ascii="Arial" w:hAnsi="Arial" w:cs="Arial"/>
                <w:vertAlign w:val="superscript"/>
              </w:rPr>
              <w:t>a</w:t>
            </w:r>
            <w:r w:rsidRPr="002E2E92">
              <w:rPr>
                <w:rFonts w:ascii="Arial" w:hAnsi="Arial" w:cs="Arial"/>
              </w:rPr>
              <w:t xml:space="preserve"> and Bg</w:t>
            </w:r>
            <w:r w:rsidRPr="002E2E92">
              <w:rPr>
                <w:rFonts w:ascii="Arial" w:hAnsi="Arial" w:cs="Arial"/>
                <w:vertAlign w:val="superscript"/>
              </w:rPr>
              <w:t>b</w:t>
            </w:r>
            <w:bookmarkStart w:id="0" w:name="_GoBack"/>
            <w:bookmarkEnd w:id="0"/>
          </w:p>
          <w:p w:rsidR="00165893" w:rsidRPr="00830D39" w:rsidRDefault="00165893" w:rsidP="00165893">
            <w:pPr>
              <w:rPr>
                <w:rFonts w:ascii="Arial" w:hAnsi="Arial" w:cs="Arial"/>
              </w:rPr>
            </w:pPr>
            <w:r w:rsidRPr="00830D39">
              <w:rPr>
                <w:rFonts w:ascii="Arial" w:hAnsi="Arial" w:cs="Arial"/>
              </w:rPr>
              <w:t>Le</w:t>
            </w:r>
            <w:r w:rsidRPr="00830D39">
              <w:rPr>
                <w:rFonts w:ascii="Arial" w:hAnsi="Arial" w:cs="Arial"/>
                <w:vertAlign w:val="superscript"/>
              </w:rPr>
              <w:t>a</w:t>
            </w:r>
            <w:r w:rsidRPr="00830D39">
              <w:rPr>
                <w:rFonts w:ascii="Arial" w:hAnsi="Arial" w:cs="Arial"/>
              </w:rPr>
              <w:t xml:space="preserve"> and Le</w:t>
            </w:r>
            <w:r w:rsidRPr="00830D39">
              <w:rPr>
                <w:rFonts w:ascii="Arial" w:hAnsi="Arial" w:cs="Arial"/>
                <w:vertAlign w:val="superscript"/>
              </w:rPr>
              <w:t>b</w:t>
            </w:r>
          </w:p>
          <w:p w:rsidR="00165893" w:rsidRPr="00830D39" w:rsidRDefault="00165893" w:rsidP="00165893">
            <w:pPr>
              <w:rPr>
                <w:rFonts w:ascii="Arial" w:hAnsi="Arial" w:cs="Arial"/>
              </w:rPr>
            </w:pPr>
            <w:r w:rsidRPr="00830D39">
              <w:rPr>
                <w:rFonts w:ascii="Arial" w:hAnsi="Arial" w:cs="Arial"/>
              </w:rPr>
              <w:t>P1  and P if not reacting at 37C</w:t>
            </w:r>
          </w:p>
          <w:p w:rsidR="00165893" w:rsidRPr="00830D39" w:rsidRDefault="00165893" w:rsidP="00165893">
            <w:pPr>
              <w:rPr>
                <w:rFonts w:ascii="Arial" w:hAnsi="Arial" w:cs="Arial"/>
              </w:rPr>
            </w:pPr>
            <w:r w:rsidRPr="00830D39">
              <w:rPr>
                <w:rFonts w:ascii="Arial" w:hAnsi="Arial" w:cs="Arial"/>
              </w:rPr>
              <w:t>I and i</w:t>
            </w:r>
          </w:p>
          <w:p w:rsidR="00165893" w:rsidRPr="00830D39" w:rsidRDefault="00165893" w:rsidP="00165893">
            <w:pPr>
              <w:rPr>
                <w:rFonts w:ascii="Arial" w:hAnsi="Arial" w:cs="Arial"/>
              </w:rPr>
            </w:pPr>
            <w:r w:rsidRPr="00830D39">
              <w:rPr>
                <w:rFonts w:ascii="Arial" w:hAnsi="Arial" w:cs="Arial"/>
              </w:rPr>
              <w:t>A1 (give O or A2/A2B units)**</w:t>
            </w:r>
          </w:p>
          <w:p w:rsidR="00165893" w:rsidRPr="00830D39" w:rsidRDefault="00165893" w:rsidP="00165893">
            <w:pPr>
              <w:rPr>
                <w:rFonts w:ascii="Arial" w:hAnsi="Arial" w:cs="Arial"/>
              </w:rPr>
            </w:pPr>
            <w:r w:rsidRPr="00830D39">
              <w:rPr>
                <w:rFonts w:ascii="Arial" w:hAnsi="Arial" w:cs="Arial"/>
              </w:rPr>
              <w:t>M if not reacting at 37C</w:t>
            </w:r>
          </w:p>
          <w:p w:rsidR="00165893" w:rsidRPr="00830D39" w:rsidRDefault="00165893" w:rsidP="00165893">
            <w:pPr>
              <w:rPr>
                <w:rFonts w:ascii="Arial" w:hAnsi="Arial" w:cs="Arial"/>
              </w:rPr>
            </w:pPr>
            <w:r w:rsidRPr="00830D39">
              <w:rPr>
                <w:rFonts w:ascii="Arial" w:hAnsi="Arial" w:cs="Arial"/>
              </w:rPr>
              <w:t>N if not reacting at 37C</w:t>
            </w:r>
          </w:p>
          <w:p w:rsidR="00165893" w:rsidRPr="00830D39" w:rsidRDefault="00165893" w:rsidP="00165893">
            <w:pPr>
              <w:rPr>
                <w:rFonts w:ascii="Arial" w:hAnsi="Arial" w:cs="Arial"/>
              </w:rPr>
            </w:pPr>
            <w:r w:rsidRPr="00830D39">
              <w:rPr>
                <w:rFonts w:ascii="Arial" w:hAnsi="Arial" w:cs="Arial"/>
              </w:rPr>
              <w:t>LW</w:t>
            </w:r>
          </w:p>
          <w:p w:rsidR="00165893" w:rsidRPr="00830D39" w:rsidRDefault="00165893" w:rsidP="00165893">
            <w:pPr>
              <w:rPr>
                <w:rFonts w:ascii="Arial" w:hAnsi="Arial" w:cs="Arial"/>
              </w:rPr>
            </w:pPr>
            <w:r w:rsidRPr="00830D39">
              <w:rPr>
                <w:rFonts w:ascii="Arial" w:hAnsi="Arial" w:cs="Arial"/>
              </w:rPr>
              <w:t>Di</w:t>
            </w:r>
            <w:r w:rsidRPr="00830D39">
              <w:rPr>
                <w:rFonts w:ascii="Arial" w:hAnsi="Arial" w:cs="Arial"/>
                <w:vertAlign w:val="superscript"/>
              </w:rPr>
              <w:t>b</w:t>
            </w:r>
          </w:p>
          <w:p w:rsidR="00165893" w:rsidRPr="00830D39" w:rsidRDefault="00165893" w:rsidP="00165893">
            <w:pPr>
              <w:rPr>
                <w:rFonts w:ascii="Arial" w:hAnsi="Arial" w:cs="Arial"/>
              </w:rPr>
            </w:pPr>
            <w:r w:rsidRPr="00830D39">
              <w:rPr>
                <w:rFonts w:ascii="Arial" w:hAnsi="Arial" w:cs="Arial"/>
              </w:rPr>
              <w:t>Chido/Rogers (</w:t>
            </w:r>
            <w:proofErr w:type="spellStart"/>
            <w:r w:rsidRPr="00830D39">
              <w:rPr>
                <w:rFonts w:ascii="Arial" w:hAnsi="Arial" w:cs="Arial"/>
              </w:rPr>
              <w:t>Ch</w:t>
            </w:r>
            <w:proofErr w:type="spellEnd"/>
            <w:r w:rsidRPr="00830D39">
              <w:rPr>
                <w:rFonts w:ascii="Arial" w:hAnsi="Arial" w:cs="Arial"/>
              </w:rPr>
              <w:t>/Ro)</w:t>
            </w:r>
          </w:p>
          <w:p w:rsidR="00165893" w:rsidRPr="00830D39" w:rsidRDefault="00165893" w:rsidP="00165893">
            <w:pPr>
              <w:rPr>
                <w:rFonts w:ascii="Arial" w:hAnsi="Arial" w:cs="Arial"/>
              </w:rPr>
            </w:pPr>
            <w:r w:rsidRPr="00830D39">
              <w:rPr>
                <w:rFonts w:ascii="Arial" w:hAnsi="Arial" w:cs="Arial"/>
              </w:rPr>
              <w:t>Scianna</w:t>
            </w:r>
          </w:p>
          <w:p w:rsidR="00165893" w:rsidRPr="00830D39" w:rsidRDefault="00165893" w:rsidP="00165893">
            <w:pPr>
              <w:rPr>
                <w:rFonts w:ascii="Arial" w:hAnsi="Arial" w:cs="Arial"/>
              </w:rPr>
            </w:pPr>
            <w:r w:rsidRPr="00830D39">
              <w:rPr>
                <w:rFonts w:ascii="Arial" w:hAnsi="Arial" w:cs="Arial"/>
              </w:rPr>
              <w:t>Gerbich</w:t>
            </w:r>
          </w:p>
          <w:p w:rsidR="00165893" w:rsidRPr="00830D39" w:rsidRDefault="00165893" w:rsidP="00165893">
            <w:pPr>
              <w:rPr>
                <w:rFonts w:ascii="Arial" w:hAnsi="Arial" w:cs="Arial"/>
              </w:rPr>
            </w:pPr>
            <w:r w:rsidRPr="00830D39">
              <w:rPr>
                <w:rFonts w:ascii="Arial" w:hAnsi="Arial" w:cs="Arial"/>
              </w:rPr>
              <w:t>Knops</w:t>
            </w:r>
          </w:p>
          <w:p w:rsidR="00165893" w:rsidRPr="00830D39" w:rsidRDefault="00165893" w:rsidP="00165893">
            <w:pPr>
              <w:rPr>
                <w:rFonts w:ascii="Arial" w:hAnsi="Arial" w:cs="Arial"/>
              </w:rPr>
            </w:pPr>
            <w:r w:rsidRPr="00830D39">
              <w:rPr>
                <w:rFonts w:ascii="Arial" w:hAnsi="Arial" w:cs="Arial"/>
              </w:rPr>
              <w:t>Cromer</w:t>
            </w:r>
          </w:p>
          <w:p w:rsidR="00165893" w:rsidRPr="00830D39" w:rsidRDefault="00165893" w:rsidP="00165893">
            <w:pPr>
              <w:rPr>
                <w:rFonts w:ascii="Arial" w:hAnsi="Arial" w:cs="Arial"/>
              </w:rPr>
            </w:pPr>
            <w:r w:rsidRPr="00830D39">
              <w:rPr>
                <w:rFonts w:ascii="Arial" w:hAnsi="Arial" w:cs="Arial"/>
              </w:rPr>
              <w:t>Indian</w:t>
            </w:r>
          </w:p>
          <w:p w:rsidR="00165893" w:rsidRPr="00830D39" w:rsidRDefault="00165893" w:rsidP="00165893">
            <w:pPr>
              <w:rPr>
                <w:rFonts w:ascii="Arial" w:hAnsi="Arial" w:cs="Arial"/>
              </w:rPr>
            </w:pPr>
            <w:r w:rsidRPr="00830D39">
              <w:rPr>
                <w:rFonts w:ascii="Arial" w:hAnsi="Arial" w:cs="Arial"/>
              </w:rPr>
              <w:t>Ok</w:t>
            </w:r>
          </w:p>
          <w:p w:rsidR="00165893" w:rsidRPr="00830D39" w:rsidRDefault="00165893" w:rsidP="00165893">
            <w:pPr>
              <w:rPr>
                <w:rFonts w:ascii="Arial" w:hAnsi="Arial" w:cs="Arial"/>
              </w:rPr>
            </w:pPr>
            <w:proofErr w:type="spellStart"/>
            <w:r w:rsidRPr="00830D39">
              <w:rPr>
                <w:rFonts w:ascii="Arial" w:hAnsi="Arial" w:cs="Arial"/>
              </w:rPr>
              <w:t>Raph</w:t>
            </w:r>
            <w:proofErr w:type="spellEnd"/>
          </w:p>
          <w:p w:rsidR="00165893" w:rsidRPr="00830D39" w:rsidRDefault="00165893" w:rsidP="00165893">
            <w:pPr>
              <w:rPr>
                <w:rFonts w:ascii="Arial" w:hAnsi="Arial" w:cs="Arial"/>
              </w:rPr>
            </w:pPr>
            <w:r w:rsidRPr="00830D39">
              <w:rPr>
                <w:rFonts w:ascii="Arial" w:hAnsi="Arial" w:cs="Arial"/>
              </w:rPr>
              <w:t>JMH</w:t>
            </w:r>
          </w:p>
          <w:p w:rsidR="00165893" w:rsidRPr="00830D39" w:rsidRDefault="00165893" w:rsidP="00165893">
            <w:pPr>
              <w:rPr>
                <w:rFonts w:ascii="Arial" w:hAnsi="Arial" w:cs="Arial"/>
              </w:rPr>
            </w:pPr>
            <w:r w:rsidRPr="00830D39">
              <w:rPr>
                <w:rFonts w:ascii="Arial" w:hAnsi="Arial" w:cs="Arial"/>
              </w:rPr>
              <w:t>Gil</w:t>
            </w:r>
          </w:p>
          <w:p w:rsidR="00165893" w:rsidRDefault="00165893" w:rsidP="0035405A"/>
        </w:tc>
        <w:tc>
          <w:tcPr>
            <w:tcW w:w="5286" w:type="dxa"/>
            <w:gridSpan w:val="2"/>
            <w:vAlign w:val="center"/>
          </w:tcPr>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Pr="00165893" w:rsidRDefault="00165893" w:rsidP="00165893">
            <w:pPr>
              <w:jc w:val="center"/>
              <w:rPr>
                <w:b/>
                <w:sz w:val="28"/>
                <w:szCs w:val="28"/>
              </w:rPr>
            </w:pPr>
            <w:r w:rsidRPr="00165893">
              <w:rPr>
                <w:b/>
                <w:sz w:val="28"/>
                <w:szCs w:val="28"/>
              </w:rPr>
              <w:t>Antigen typing of donor units not required</w:t>
            </w: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p w:rsidR="00165893" w:rsidRDefault="00165893" w:rsidP="00165893">
            <w:pPr>
              <w:jc w:val="center"/>
            </w:pPr>
          </w:p>
        </w:tc>
      </w:tr>
    </w:tbl>
    <w:p w:rsidR="00165893" w:rsidRPr="00907FA8" w:rsidRDefault="00165893" w:rsidP="00165893">
      <w:pPr>
        <w:rPr>
          <w:rFonts w:ascii="Arial" w:hAnsi="Arial" w:cs="Arial"/>
          <w:sz w:val="18"/>
          <w:szCs w:val="18"/>
        </w:rPr>
      </w:pPr>
      <w:r>
        <w:rPr>
          <w:rFonts w:ascii="Arial" w:hAnsi="Arial" w:cs="Arial"/>
          <w:sz w:val="18"/>
          <w:szCs w:val="18"/>
        </w:rPr>
        <w:t>** Although n</w:t>
      </w:r>
      <w:r w:rsidRPr="00907FA8">
        <w:rPr>
          <w:rFonts w:ascii="Arial" w:hAnsi="Arial" w:cs="Arial"/>
          <w:sz w:val="18"/>
          <w:szCs w:val="18"/>
        </w:rPr>
        <w:t xml:space="preserve">aturally occurring anti-A1 is usually not clinically significant; allo-anti-A1 is </w:t>
      </w:r>
      <w:r>
        <w:rPr>
          <w:rFonts w:ascii="Arial" w:hAnsi="Arial" w:cs="Arial"/>
          <w:sz w:val="18"/>
          <w:szCs w:val="18"/>
        </w:rPr>
        <w:t xml:space="preserve">often </w:t>
      </w:r>
      <w:r w:rsidRPr="00907FA8">
        <w:rPr>
          <w:rFonts w:ascii="Arial" w:hAnsi="Arial" w:cs="Arial"/>
          <w:sz w:val="18"/>
          <w:szCs w:val="18"/>
        </w:rPr>
        <w:t>clinically significant.</w:t>
      </w:r>
    </w:p>
    <w:p w:rsidR="00DD3BAD" w:rsidRDefault="00DD3BAD" w:rsidP="00594481">
      <w:pPr>
        <w:spacing w:after="0" w:line="240" w:lineRule="auto"/>
      </w:pPr>
    </w:p>
    <w:sectPr w:rsidR="00DD3BAD" w:rsidSect="007D36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81" w:rsidRDefault="00594481" w:rsidP="0035405A">
      <w:pPr>
        <w:spacing w:after="0" w:line="240" w:lineRule="auto"/>
      </w:pPr>
      <w:r>
        <w:separator/>
      </w:r>
    </w:p>
  </w:endnote>
  <w:endnote w:type="continuationSeparator" w:id="0">
    <w:p w:rsidR="00594481" w:rsidRDefault="00594481" w:rsidP="0035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692595"/>
      <w:docPartObj>
        <w:docPartGallery w:val="Page Numbers (Bottom of Page)"/>
        <w:docPartUnique/>
      </w:docPartObj>
    </w:sdtPr>
    <w:sdtEndPr/>
    <w:sdtContent>
      <w:sdt>
        <w:sdtPr>
          <w:id w:val="98381352"/>
          <w:docPartObj>
            <w:docPartGallery w:val="Page Numbers (Top of Page)"/>
            <w:docPartUnique/>
          </w:docPartObj>
        </w:sdtPr>
        <w:sdtEndPr/>
        <w:sdtContent>
          <w:p w:rsidR="00594481" w:rsidRDefault="00594481">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16589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65893">
              <w:rPr>
                <w:b/>
                <w:noProof/>
              </w:rPr>
              <w:t>3</w:t>
            </w:r>
            <w:r>
              <w:rPr>
                <w:b/>
                <w:sz w:val="24"/>
                <w:szCs w:val="24"/>
              </w:rPr>
              <w:fldChar w:fldCharType="end"/>
            </w:r>
          </w:p>
        </w:sdtContent>
      </w:sdt>
    </w:sdtContent>
  </w:sdt>
  <w:p w:rsidR="00594481" w:rsidRDefault="00594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81" w:rsidRDefault="00594481" w:rsidP="0035405A">
      <w:pPr>
        <w:spacing w:after="0" w:line="240" w:lineRule="auto"/>
      </w:pPr>
      <w:r>
        <w:separator/>
      </w:r>
    </w:p>
  </w:footnote>
  <w:footnote w:type="continuationSeparator" w:id="0">
    <w:p w:rsidR="00594481" w:rsidRDefault="00594481" w:rsidP="00354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81" w:rsidRDefault="00594481">
    <w:pPr>
      <w:pStyle w:val="Header"/>
    </w:pPr>
    <w:r>
      <w:t>Transfusion Service</w:t>
    </w:r>
    <w:r>
      <w:tab/>
    </w:r>
    <w:r>
      <w:tab/>
      <w:t>Problem Resolution</w:t>
    </w:r>
  </w:p>
  <w:p w:rsidR="00594481" w:rsidRDefault="00594481">
    <w:pPr>
      <w:pStyle w:val="Header"/>
    </w:pPr>
    <w:r>
      <w:t>Harborview Medical Center</w:t>
    </w:r>
    <w:r>
      <w:tab/>
    </w:r>
  </w:p>
  <w:p w:rsidR="00594481" w:rsidRDefault="00594481">
    <w:pPr>
      <w:pStyle w:val="Header"/>
    </w:pPr>
    <w:r>
      <w:t>325 Ninth Avenue, Seattle, WA 98104</w:t>
    </w:r>
    <w:r>
      <w:tab/>
    </w:r>
    <w:r>
      <w:tab/>
      <w:t>Antibody ID Training</w:t>
    </w:r>
  </w:p>
  <w:p w:rsidR="00594481" w:rsidRDefault="00594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7494"/>
    <w:multiLevelType w:val="hybridMultilevel"/>
    <w:tmpl w:val="57689624"/>
    <w:lvl w:ilvl="0" w:tplc="B80C4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7742F"/>
    <w:multiLevelType w:val="hybridMultilevel"/>
    <w:tmpl w:val="2506A4A4"/>
    <w:lvl w:ilvl="0" w:tplc="B80C4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7579D"/>
    <w:multiLevelType w:val="hybridMultilevel"/>
    <w:tmpl w:val="DB70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B11D6"/>
    <w:multiLevelType w:val="hybridMultilevel"/>
    <w:tmpl w:val="E6F27FA8"/>
    <w:lvl w:ilvl="0" w:tplc="B80C40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52ECB"/>
    <w:multiLevelType w:val="hybridMultilevel"/>
    <w:tmpl w:val="A0BE311C"/>
    <w:lvl w:ilvl="0" w:tplc="B80C4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B3629A"/>
    <w:multiLevelType w:val="hybridMultilevel"/>
    <w:tmpl w:val="0830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B7660"/>
    <w:multiLevelType w:val="hybridMultilevel"/>
    <w:tmpl w:val="37D69F4E"/>
    <w:lvl w:ilvl="0" w:tplc="B80C4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484C5A"/>
    <w:multiLevelType w:val="hybridMultilevel"/>
    <w:tmpl w:val="D5F22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A811F7"/>
    <w:multiLevelType w:val="hybridMultilevel"/>
    <w:tmpl w:val="BF301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53A0403"/>
    <w:multiLevelType w:val="hybridMultilevel"/>
    <w:tmpl w:val="0CB02AA4"/>
    <w:lvl w:ilvl="0" w:tplc="B80C4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65562F"/>
    <w:multiLevelType w:val="hybridMultilevel"/>
    <w:tmpl w:val="310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9"/>
  </w:num>
  <w:num w:numId="6">
    <w:abstractNumId w:val="3"/>
  </w:num>
  <w:num w:numId="7">
    <w:abstractNumId w:val="8"/>
  </w:num>
  <w:num w:numId="8">
    <w:abstractNumId w:val="7"/>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405A"/>
    <w:rsid w:val="00032421"/>
    <w:rsid w:val="000F022E"/>
    <w:rsid w:val="0012501B"/>
    <w:rsid w:val="00165893"/>
    <w:rsid w:val="00190951"/>
    <w:rsid w:val="001F30C6"/>
    <w:rsid w:val="00291FBC"/>
    <w:rsid w:val="002C68C2"/>
    <w:rsid w:val="0035405A"/>
    <w:rsid w:val="00394F74"/>
    <w:rsid w:val="00594481"/>
    <w:rsid w:val="0064271F"/>
    <w:rsid w:val="00685821"/>
    <w:rsid w:val="006D0152"/>
    <w:rsid w:val="007B4918"/>
    <w:rsid w:val="007D3688"/>
    <w:rsid w:val="00800355"/>
    <w:rsid w:val="0087173E"/>
    <w:rsid w:val="00953B75"/>
    <w:rsid w:val="009A020D"/>
    <w:rsid w:val="009E56BA"/>
    <w:rsid w:val="00AA4E99"/>
    <w:rsid w:val="00B37AF2"/>
    <w:rsid w:val="00C54BB9"/>
    <w:rsid w:val="00CB4C3F"/>
    <w:rsid w:val="00DD3BAD"/>
    <w:rsid w:val="00F42B37"/>
    <w:rsid w:val="00F843BE"/>
    <w:rsid w:val="00FB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5A"/>
  </w:style>
  <w:style w:type="paragraph" w:styleId="Footer">
    <w:name w:val="footer"/>
    <w:basedOn w:val="Normal"/>
    <w:link w:val="FooterChar"/>
    <w:uiPriority w:val="99"/>
    <w:unhideWhenUsed/>
    <w:rsid w:val="00354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5A"/>
  </w:style>
  <w:style w:type="paragraph" w:styleId="BalloonText">
    <w:name w:val="Balloon Text"/>
    <w:basedOn w:val="Normal"/>
    <w:link w:val="BalloonTextChar"/>
    <w:uiPriority w:val="99"/>
    <w:semiHidden/>
    <w:unhideWhenUsed/>
    <w:rsid w:val="00354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05A"/>
    <w:rPr>
      <w:rFonts w:ascii="Tahoma" w:hAnsi="Tahoma" w:cs="Tahoma"/>
      <w:sz w:val="16"/>
      <w:szCs w:val="16"/>
    </w:rPr>
  </w:style>
  <w:style w:type="table" w:styleId="TableGrid">
    <w:name w:val="Table Grid"/>
    <w:basedOn w:val="TableNormal"/>
    <w:uiPriority w:val="59"/>
    <w:rsid w:val="00354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B37"/>
    <w:pPr>
      <w:ind w:left="720"/>
      <w:contextualSpacing/>
    </w:pPr>
  </w:style>
  <w:style w:type="character" w:styleId="Strong">
    <w:name w:val="Strong"/>
    <w:basedOn w:val="DefaultParagraphFont"/>
    <w:uiPriority w:val="22"/>
    <w:qFormat/>
    <w:rsid w:val="00AA4E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2625">
      <w:bodyDiv w:val="1"/>
      <w:marLeft w:val="0"/>
      <w:marRight w:val="0"/>
      <w:marTop w:val="0"/>
      <w:marBottom w:val="0"/>
      <w:divBdr>
        <w:top w:val="none" w:sz="0" w:space="0" w:color="auto"/>
        <w:left w:val="none" w:sz="0" w:space="0" w:color="auto"/>
        <w:bottom w:val="none" w:sz="0" w:space="0" w:color="auto"/>
        <w:right w:val="none" w:sz="0" w:space="0" w:color="auto"/>
      </w:divBdr>
    </w:div>
    <w:div w:id="803355036">
      <w:bodyDiv w:val="1"/>
      <w:marLeft w:val="0"/>
      <w:marRight w:val="0"/>
      <w:marTop w:val="0"/>
      <w:marBottom w:val="0"/>
      <w:divBdr>
        <w:top w:val="none" w:sz="0" w:space="0" w:color="auto"/>
        <w:left w:val="none" w:sz="0" w:space="0" w:color="auto"/>
        <w:bottom w:val="none" w:sz="0" w:space="0" w:color="auto"/>
        <w:right w:val="none" w:sz="0" w:space="0" w:color="auto"/>
      </w:divBdr>
    </w:div>
    <w:div w:id="1112361098">
      <w:bodyDiv w:val="1"/>
      <w:marLeft w:val="0"/>
      <w:marRight w:val="0"/>
      <w:marTop w:val="0"/>
      <w:marBottom w:val="0"/>
      <w:divBdr>
        <w:top w:val="none" w:sz="0" w:space="0" w:color="auto"/>
        <w:left w:val="none" w:sz="0" w:space="0" w:color="auto"/>
        <w:bottom w:val="none" w:sz="0" w:space="0" w:color="auto"/>
        <w:right w:val="none" w:sz="0" w:space="0" w:color="auto"/>
      </w:divBdr>
      <w:divsChild>
        <w:div w:id="1271619008">
          <w:marLeft w:val="0"/>
          <w:marRight w:val="0"/>
          <w:marTop w:val="0"/>
          <w:marBottom w:val="0"/>
          <w:divBdr>
            <w:top w:val="none" w:sz="0" w:space="0" w:color="auto"/>
            <w:left w:val="none" w:sz="0" w:space="0" w:color="auto"/>
            <w:bottom w:val="none" w:sz="0" w:space="0" w:color="auto"/>
            <w:right w:val="none" w:sz="0" w:space="0" w:color="auto"/>
          </w:divBdr>
          <w:divsChild>
            <w:div w:id="1640106253">
              <w:marLeft w:val="0"/>
              <w:marRight w:val="0"/>
              <w:marTop w:val="0"/>
              <w:marBottom w:val="0"/>
              <w:divBdr>
                <w:top w:val="none" w:sz="0" w:space="0" w:color="auto"/>
                <w:left w:val="none" w:sz="0" w:space="0" w:color="auto"/>
                <w:bottom w:val="none" w:sz="0" w:space="0" w:color="auto"/>
                <w:right w:val="none" w:sz="0" w:space="0" w:color="auto"/>
              </w:divBdr>
              <w:divsChild>
                <w:div w:id="1939211387">
                  <w:marLeft w:val="0"/>
                  <w:marRight w:val="-6084"/>
                  <w:marTop w:val="0"/>
                  <w:marBottom w:val="0"/>
                  <w:divBdr>
                    <w:top w:val="none" w:sz="0" w:space="0" w:color="auto"/>
                    <w:left w:val="none" w:sz="0" w:space="0" w:color="auto"/>
                    <w:bottom w:val="none" w:sz="0" w:space="0" w:color="auto"/>
                    <w:right w:val="none" w:sz="0" w:space="0" w:color="auto"/>
                  </w:divBdr>
                  <w:divsChild>
                    <w:div w:id="1460496334">
                      <w:marLeft w:val="0"/>
                      <w:marRight w:val="5604"/>
                      <w:marTop w:val="0"/>
                      <w:marBottom w:val="0"/>
                      <w:divBdr>
                        <w:top w:val="none" w:sz="0" w:space="0" w:color="auto"/>
                        <w:left w:val="none" w:sz="0" w:space="0" w:color="auto"/>
                        <w:bottom w:val="none" w:sz="0" w:space="0" w:color="auto"/>
                        <w:right w:val="none" w:sz="0" w:space="0" w:color="auto"/>
                      </w:divBdr>
                      <w:divsChild>
                        <w:div w:id="157843033">
                          <w:marLeft w:val="0"/>
                          <w:marRight w:val="0"/>
                          <w:marTop w:val="0"/>
                          <w:marBottom w:val="0"/>
                          <w:divBdr>
                            <w:top w:val="none" w:sz="0" w:space="0" w:color="auto"/>
                            <w:left w:val="none" w:sz="0" w:space="0" w:color="auto"/>
                            <w:bottom w:val="none" w:sz="0" w:space="0" w:color="auto"/>
                            <w:right w:val="none" w:sz="0" w:space="0" w:color="auto"/>
                          </w:divBdr>
                          <w:divsChild>
                            <w:div w:id="2972255">
                              <w:marLeft w:val="0"/>
                              <w:marRight w:val="0"/>
                              <w:marTop w:val="120"/>
                              <w:marBottom w:val="360"/>
                              <w:divBdr>
                                <w:top w:val="none" w:sz="0" w:space="0" w:color="auto"/>
                                <w:left w:val="none" w:sz="0" w:space="0" w:color="auto"/>
                                <w:bottom w:val="none" w:sz="0" w:space="0" w:color="auto"/>
                                <w:right w:val="none" w:sz="0" w:space="0" w:color="auto"/>
                              </w:divBdr>
                              <w:divsChild>
                                <w:div w:id="722800811">
                                  <w:marLeft w:val="0"/>
                                  <w:marRight w:val="0"/>
                                  <w:marTop w:val="264"/>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935602">
      <w:bodyDiv w:val="1"/>
      <w:marLeft w:val="0"/>
      <w:marRight w:val="0"/>
      <w:marTop w:val="0"/>
      <w:marBottom w:val="0"/>
      <w:divBdr>
        <w:top w:val="none" w:sz="0" w:space="0" w:color="auto"/>
        <w:left w:val="none" w:sz="0" w:space="0" w:color="auto"/>
        <w:bottom w:val="none" w:sz="0" w:space="0" w:color="auto"/>
        <w:right w:val="none" w:sz="0" w:space="0" w:color="auto"/>
      </w:divBdr>
      <w:divsChild>
        <w:div w:id="658534086">
          <w:marLeft w:val="0"/>
          <w:marRight w:val="0"/>
          <w:marTop w:val="0"/>
          <w:marBottom w:val="0"/>
          <w:divBdr>
            <w:top w:val="none" w:sz="0" w:space="0" w:color="auto"/>
            <w:left w:val="none" w:sz="0" w:space="0" w:color="auto"/>
            <w:bottom w:val="none" w:sz="0" w:space="0" w:color="auto"/>
            <w:right w:val="none" w:sz="0" w:space="0" w:color="auto"/>
          </w:divBdr>
          <w:divsChild>
            <w:div w:id="85804918">
              <w:marLeft w:val="0"/>
              <w:marRight w:val="0"/>
              <w:marTop w:val="0"/>
              <w:marBottom w:val="0"/>
              <w:divBdr>
                <w:top w:val="none" w:sz="0" w:space="0" w:color="auto"/>
                <w:left w:val="none" w:sz="0" w:space="0" w:color="auto"/>
                <w:bottom w:val="none" w:sz="0" w:space="0" w:color="auto"/>
                <w:right w:val="none" w:sz="0" w:space="0" w:color="auto"/>
              </w:divBdr>
              <w:divsChild>
                <w:div w:id="1337077667">
                  <w:marLeft w:val="0"/>
                  <w:marRight w:val="-6084"/>
                  <w:marTop w:val="0"/>
                  <w:marBottom w:val="0"/>
                  <w:divBdr>
                    <w:top w:val="none" w:sz="0" w:space="0" w:color="auto"/>
                    <w:left w:val="none" w:sz="0" w:space="0" w:color="auto"/>
                    <w:bottom w:val="none" w:sz="0" w:space="0" w:color="auto"/>
                    <w:right w:val="none" w:sz="0" w:space="0" w:color="auto"/>
                  </w:divBdr>
                  <w:divsChild>
                    <w:div w:id="864364622">
                      <w:marLeft w:val="0"/>
                      <w:marRight w:val="5604"/>
                      <w:marTop w:val="0"/>
                      <w:marBottom w:val="0"/>
                      <w:divBdr>
                        <w:top w:val="none" w:sz="0" w:space="0" w:color="auto"/>
                        <w:left w:val="none" w:sz="0" w:space="0" w:color="auto"/>
                        <w:bottom w:val="none" w:sz="0" w:space="0" w:color="auto"/>
                        <w:right w:val="none" w:sz="0" w:space="0" w:color="auto"/>
                      </w:divBdr>
                      <w:divsChild>
                        <w:div w:id="902714045">
                          <w:marLeft w:val="0"/>
                          <w:marRight w:val="0"/>
                          <w:marTop w:val="0"/>
                          <w:marBottom w:val="0"/>
                          <w:divBdr>
                            <w:top w:val="none" w:sz="0" w:space="0" w:color="auto"/>
                            <w:left w:val="none" w:sz="0" w:space="0" w:color="auto"/>
                            <w:bottom w:val="none" w:sz="0" w:space="0" w:color="auto"/>
                            <w:right w:val="none" w:sz="0" w:space="0" w:color="auto"/>
                          </w:divBdr>
                          <w:divsChild>
                            <w:div w:id="1725450176">
                              <w:marLeft w:val="0"/>
                              <w:marRight w:val="0"/>
                              <w:marTop w:val="120"/>
                              <w:marBottom w:val="360"/>
                              <w:divBdr>
                                <w:top w:val="none" w:sz="0" w:space="0" w:color="auto"/>
                                <w:left w:val="none" w:sz="0" w:space="0" w:color="auto"/>
                                <w:bottom w:val="none" w:sz="0" w:space="0" w:color="auto"/>
                                <w:right w:val="none" w:sz="0" w:space="0" w:color="auto"/>
                              </w:divBdr>
                              <w:divsChild>
                                <w:div w:id="631403394">
                                  <w:marLeft w:val="0"/>
                                  <w:marRight w:val="0"/>
                                  <w:marTop w:val="264"/>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295027">
      <w:bodyDiv w:val="1"/>
      <w:marLeft w:val="0"/>
      <w:marRight w:val="0"/>
      <w:marTop w:val="0"/>
      <w:marBottom w:val="0"/>
      <w:divBdr>
        <w:top w:val="none" w:sz="0" w:space="0" w:color="auto"/>
        <w:left w:val="none" w:sz="0" w:space="0" w:color="auto"/>
        <w:bottom w:val="none" w:sz="0" w:space="0" w:color="auto"/>
        <w:right w:val="none" w:sz="0" w:space="0" w:color="auto"/>
      </w:divBdr>
    </w:div>
    <w:div w:id="15200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rgary</dc:creator>
  <cp:keywords/>
  <dc:description/>
  <cp:lastModifiedBy>rgary</cp:lastModifiedBy>
  <cp:revision>10</cp:revision>
  <cp:lastPrinted>2013-02-10T22:48:00Z</cp:lastPrinted>
  <dcterms:created xsi:type="dcterms:W3CDTF">2010-12-21T16:54:00Z</dcterms:created>
  <dcterms:modified xsi:type="dcterms:W3CDTF">2013-02-10T23:03:00Z</dcterms:modified>
</cp:coreProperties>
</file>