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91" w:rsidRDefault="00BD1191" w:rsidP="003B6C68">
      <w:pPr>
        <w:pStyle w:val="Header"/>
        <w:tabs>
          <w:tab w:val="clear" w:pos="4320"/>
          <w:tab w:val="clear" w:pos="8640"/>
        </w:tabs>
        <w:ind w:left="-360"/>
        <w:rPr>
          <w:rFonts w:ascii="Arial" w:hAnsi="Arial" w:cs="Arial"/>
          <w:b/>
          <w:bCs/>
          <w:kern w:val="0"/>
          <w:sz w:val="22"/>
          <w:szCs w:val="22"/>
        </w:rPr>
      </w:pPr>
      <w:r w:rsidRPr="003B0CA8">
        <w:rPr>
          <w:rFonts w:ascii="Arial" w:hAnsi="Arial" w:cs="Arial"/>
          <w:b/>
          <w:bCs/>
          <w:kern w:val="0"/>
          <w:sz w:val="22"/>
          <w:szCs w:val="22"/>
        </w:rPr>
        <w:t>Purpose</w:t>
      </w:r>
    </w:p>
    <w:p w:rsidR="00BD1191" w:rsidRDefault="00BD1191" w:rsidP="003B6C68">
      <w:pPr>
        <w:pStyle w:val="Header"/>
        <w:ind w:left="-360"/>
        <w:rPr>
          <w:rFonts w:ascii="Arial" w:hAnsi="Arial" w:cs="Arial"/>
          <w:bCs/>
          <w:kern w:val="0"/>
          <w:sz w:val="22"/>
          <w:szCs w:val="22"/>
        </w:rPr>
      </w:pPr>
      <w:r w:rsidRPr="00A23C38">
        <w:rPr>
          <w:rFonts w:ascii="Arial" w:hAnsi="Arial" w:cs="Arial"/>
          <w:bCs/>
          <w:kern w:val="0"/>
          <w:sz w:val="22"/>
          <w:szCs w:val="22"/>
        </w:rPr>
        <w:t xml:space="preserve">Use Blood Component Preparation </w:t>
      </w:r>
      <w:r>
        <w:rPr>
          <w:rFonts w:ascii="Arial" w:hAnsi="Arial" w:cs="Arial"/>
          <w:bCs/>
          <w:kern w:val="0"/>
          <w:sz w:val="22"/>
          <w:szCs w:val="22"/>
        </w:rPr>
        <w:t xml:space="preserve">and/or Blood Order Processing </w:t>
      </w:r>
      <w:r w:rsidRPr="00A23C38">
        <w:rPr>
          <w:rFonts w:ascii="Arial" w:hAnsi="Arial" w:cs="Arial"/>
          <w:bCs/>
          <w:kern w:val="0"/>
          <w:sz w:val="22"/>
          <w:szCs w:val="22"/>
        </w:rPr>
        <w:t>to document production of components</w:t>
      </w:r>
      <w:r>
        <w:rPr>
          <w:rFonts w:ascii="Arial" w:hAnsi="Arial" w:cs="Arial"/>
          <w:bCs/>
          <w:kern w:val="0"/>
          <w:sz w:val="22"/>
          <w:szCs w:val="22"/>
        </w:rPr>
        <w:t xml:space="preserve"> and</w:t>
      </w:r>
      <w:r w:rsidRPr="00A23C38">
        <w:rPr>
          <w:rFonts w:ascii="Arial" w:hAnsi="Arial" w:cs="Arial"/>
          <w:bCs/>
          <w:kern w:val="0"/>
          <w:sz w:val="22"/>
          <w:szCs w:val="22"/>
        </w:rPr>
        <w:t xml:space="preserve"> record the blood product data that results from blood component</w:t>
      </w:r>
      <w:r>
        <w:rPr>
          <w:rFonts w:ascii="Arial" w:hAnsi="Arial" w:cs="Arial"/>
          <w:bCs/>
          <w:kern w:val="0"/>
          <w:sz w:val="22"/>
          <w:szCs w:val="22"/>
        </w:rPr>
        <w:t xml:space="preserve"> </w:t>
      </w:r>
      <w:r w:rsidRPr="00A23C38">
        <w:rPr>
          <w:rFonts w:ascii="Arial" w:hAnsi="Arial" w:cs="Arial"/>
          <w:bCs/>
          <w:kern w:val="0"/>
          <w:sz w:val="22"/>
          <w:szCs w:val="22"/>
        </w:rPr>
        <w:t>preparation.</w:t>
      </w:r>
      <w:r>
        <w:rPr>
          <w:rFonts w:ascii="Arial" w:hAnsi="Arial" w:cs="Arial"/>
          <w:bCs/>
          <w:kern w:val="0"/>
          <w:sz w:val="22"/>
          <w:szCs w:val="22"/>
        </w:rPr>
        <w:t xml:space="preserve"> </w:t>
      </w:r>
    </w:p>
    <w:p w:rsidR="00BD1191" w:rsidRDefault="00BD1191" w:rsidP="003B6C68">
      <w:pPr>
        <w:pStyle w:val="Header"/>
        <w:tabs>
          <w:tab w:val="clear" w:pos="4320"/>
          <w:tab w:val="clear" w:pos="8640"/>
        </w:tabs>
        <w:rPr>
          <w:rFonts w:ascii="Arial" w:hAnsi="Arial" w:cs="Arial"/>
          <w:b/>
          <w:bCs/>
          <w:kern w:val="0"/>
          <w:sz w:val="22"/>
          <w:szCs w:val="22"/>
        </w:rPr>
      </w:pPr>
    </w:p>
    <w:p w:rsidR="00BD1191" w:rsidRPr="004F2BA5" w:rsidRDefault="00BD1191" w:rsidP="003B6C68">
      <w:pPr>
        <w:pStyle w:val="Header"/>
        <w:tabs>
          <w:tab w:val="clear" w:pos="4320"/>
          <w:tab w:val="clear" w:pos="8640"/>
        </w:tabs>
        <w:ind w:hanging="360"/>
        <w:rPr>
          <w:rFonts w:ascii="Arial" w:hAnsi="Arial" w:cs="Arial"/>
          <w:b/>
          <w:bCs/>
          <w:kern w:val="0"/>
          <w:sz w:val="22"/>
          <w:szCs w:val="22"/>
        </w:rPr>
      </w:pPr>
      <w:r>
        <w:rPr>
          <w:rFonts w:ascii="Arial" w:hAnsi="Arial" w:cs="Arial"/>
          <w:b/>
          <w:bCs/>
          <w:kern w:val="0"/>
          <w:sz w:val="22"/>
          <w:szCs w:val="22"/>
        </w:rPr>
        <w:t>Procedure</w:t>
      </w:r>
    </w:p>
    <w:tbl>
      <w:tblPr>
        <w:tblW w:w="10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2497"/>
        <w:gridCol w:w="6924"/>
      </w:tblGrid>
      <w:tr w:rsidR="00BD1191" w:rsidRPr="00E004A7" w:rsidTr="009464BA">
        <w:trPr>
          <w:trHeight w:val="367"/>
        </w:trPr>
        <w:tc>
          <w:tcPr>
            <w:tcW w:w="779" w:type="dxa"/>
            <w:vAlign w:val="center"/>
          </w:tcPr>
          <w:p w:rsidR="00BD1191" w:rsidRPr="00E004A7" w:rsidRDefault="00BD1191" w:rsidP="003B6C68">
            <w:pPr>
              <w:jc w:val="center"/>
              <w:rPr>
                <w:rFonts w:ascii="Arial" w:hAnsi="Arial" w:cs="Arial"/>
                <w:b/>
              </w:rPr>
            </w:pPr>
            <w:r>
              <w:rPr>
                <w:rFonts w:ascii="Arial" w:hAnsi="Arial" w:cs="Arial"/>
                <w:b/>
                <w:sz w:val="22"/>
                <w:szCs w:val="22"/>
              </w:rPr>
              <w:t>Step</w:t>
            </w:r>
          </w:p>
        </w:tc>
        <w:tc>
          <w:tcPr>
            <w:tcW w:w="2497" w:type="dxa"/>
            <w:vAlign w:val="center"/>
          </w:tcPr>
          <w:p w:rsidR="00BD1191" w:rsidRPr="00E004A7" w:rsidRDefault="00BD1191" w:rsidP="003B6C68">
            <w:pPr>
              <w:jc w:val="center"/>
              <w:rPr>
                <w:rFonts w:ascii="Arial" w:hAnsi="Arial" w:cs="Arial"/>
                <w:b/>
              </w:rPr>
            </w:pPr>
            <w:r w:rsidRPr="00E004A7">
              <w:rPr>
                <w:rFonts w:ascii="Arial" w:hAnsi="Arial" w:cs="Arial"/>
                <w:b/>
                <w:sz w:val="22"/>
                <w:szCs w:val="22"/>
              </w:rPr>
              <w:t>Actions</w:t>
            </w:r>
          </w:p>
        </w:tc>
        <w:tc>
          <w:tcPr>
            <w:tcW w:w="6924" w:type="dxa"/>
            <w:vAlign w:val="center"/>
          </w:tcPr>
          <w:p w:rsidR="00BD1191" w:rsidRPr="00E004A7" w:rsidRDefault="00BD1191" w:rsidP="003B6C68">
            <w:pPr>
              <w:jc w:val="center"/>
              <w:rPr>
                <w:rFonts w:ascii="Arial" w:hAnsi="Arial" w:cs="Arial"/>
                <w:b/>
              </w:rPr>
            </w:pPr>
            <w:r w:rsidRPr="00E004A7">
              <w:rPr>
                <w:rFonts w:ascii="Arial" w:hAnsi="Arial" w:cs="Arial"/>
                <w:b/>
                <w:sz w:val="22"/>
                <w:szCs w:val="22"/>
              </w:rPr>
              <w:t>Computer Processes</w:t>
            </w:r>
          </w:p>
        </w:tc>
      </w:tr>
      <w:tr w:rsidR="00BD1191" w:rsidRPr="00E004A7" w:rsidTr="009464BA">
        <w:tc>
          <w:tcPr>
            <w:tcW w:w="779" w:type="dxa"/>
          </w:tcPr>
          <w:p w:rsidR="00BD1191" w:rsidRPr="003B6C68" w:rsidRDefault="00BD1191" w:rsidP="003B6C68">
            <w:pPr>
              <w:jc w:val="center"/>
              <w:rPr>
                <w:rFonts w:ascii="Arial" w:hAnsi="Arial" w:cs="Arial"/>
                <w:b/>
              </w:rPr>
            </w:pPr>
            <w:r w:rsidRPr="003B6C68">
              <w:rPr>
                <w:rFonts w:ascii="Arial" w:hAnsi="Arial" w:cs="Arial"/>
                <w:b/>
                <w:sz w:val="22"/>
                <w:szCs w:val="22"/>
              </w:rPr>
              <w:t>1</w:t>
            </w:r>
          </w:p>
        </w:tc>
        <w:tc>
          <w:tcPr>
            <w:tcW w:w="2497" w:type="dxa"/>
          </w:tcPr>
          <w:p w:rsidR="00BD1191" w:rsidRPr="00E004A7" w:rsidRDefault="00BD1191" w:rsidP="003B6C68">
            <w:pPr>
              <w:rPr>
                <w:rFonts w:ascii="Arial" w:hAnsi="Arial" w:cs="Arial"/>
              </w:rPr>
            </w:pPr>
            <w:r w:rsidRPr="00E004A7">
              <w:rPr>
                <w:rFonts w:ascii="Arial" w:hAnsi="Arial" w:cs="Arial"/>
                <w:sz w:val="22"/>
                <w:szCs w:val="22"/>
              </w:rPr>
              <w:t>Combining Platelets in Blood Component Preparation before allocation to a patient.</w:t>
            </w:r>
          </w:p>
          <w:p w:rsidR="00BD1191" w:rsidRPr="00E004A7" w:rsidRDefault="00BD1191" w:rsidP="003B6C68">
            <w:pPr>
              <w:rPr>
                <w:rFonts w:ascii="Arial" w:hAnsi="Arial" w:cs="Arial"/>
              </w:rPr>
            </w:pPr>
          </w:p>
        </w:tc>
        <w:tc>
          <w:tcPr>
            <w:tcW w:w="6924" w:type="dxa"/>
          </w:tcPr>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Combine large volume platelets prior to allocation for a patient.</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Check the combined platelet to assure it is intact, passes visual inspection, and ready for use.</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Open Blood Component Preparation</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Select look up by component preparation function.</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 xml:space="preserve">Use code for combining platelets, scan the corresponding bar code for combining platelets, or use search feature to select.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Tab through date and time if doing processing real time. Adjust date and time if necessary.</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Accept default shift and Tech ID or change if needed. Continue.</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 xml:space="preserve">Scan or type in unit number.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In the right pane of the window, the Unit tab shows data for the unit you select in the left pane. Enter any missing mandatory data for each output and new unit. (Yellow fields are mandatory).</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The lower screen shows the Task Summary and each unit will have detailed Input and Output data. Review the Output new expiration date and time for accuracy.</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Task Summary list can be printed if desired by selecting Task Summary on bottom left of screen.</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Select Save, a confirmatory box will ask if it should file all units, select OK, and the Output/New Units window opens, showing the results of preparation. Close.</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Take to a technologist to complete the allocation process in Blood Order Processing.</w:t>
            </w:r>
            <w:bookmarkStart w:id="0" w:name="_GoBack"/>
            <w:bookmarkEnd w:id="0"/>
          </w:p>
        </w:tc>
      </w:tr>
      <w:tr w:rsidR="00BD1191" w:rsidRPr="00E004A7" w:rsidTr="009464BA">
        <w:tc>
          <w:tcPr>
            <w:tcW w:w="779" w:type="dxa"/>
          </w:tcPr>
          <w:p w:rsidR="00BD1191" w:rsidRPr="003B6C68" w:rsidRDefault="00BD1191" w:rsidP="003B6C68">
            <w:pPr>
              <w:jc w:val="center"/>
              <w:rPr>
                <w:rFonts w:ascii="Arial" w:hAnsi="Arial" w:cs="Arial"/>
                <w:b/>
              </w:rPr>
            </w:pPr>
            <w:r w:rsidRPr="003B6C68">
              <w:rPr>
                <w:rFonts w:ascii="Arial" w:hAnsi="Arial" w:cs="Arial"/>
                <w:b/>
                <w:sz w:val="22"/>
                <w:szCs w:val="22"/>
              </w:rPr>
              <w:t>2</w:t>
            </w:r>
          </w:p>
        </w:tc>
        <w:tc>
          <w:tcPr>
            <w:tcW w:w="2497" w:type="dxa"/>
          </w:tcPr>
          <w:p w:rsidR="00BD1191" w:rsidRPr="00E004A7" w:rsidRDefault="00BD1191" w:rsidP="003B6C68">
            <w:pPr>
              <w:rPr>
                <w:rFonts w:ascii="Arial" w:hAnsi="Arial" w:cs="Arial"/>
              </w:rPr>
            </w:pPr>
            <w:r w:rsidRPr="00E004A7">
              <w:rPr>
                <w:rFonts w:ascii="Arial" w:hAnsi="Arial" w:cs="Arial"/>
                <w:sz w:val="22"/>
                <w:szCs w:val="22"/>
              </w:rPr>
              <w:t>Combining Platelets for patient allocation order</w:t>
            </w:r>
          </w:p>
          <w:p w:rsidR="00BD1191" w:rsidRPr="00E004A7" w:rsidRDefault="00BD1191" w:rsidP="003B6C68">
            <w:pPr>
              <w:rPr>
                <w:rFonts w:ascii="Arial" w:hAnsi="Arial" w:cs="Arial"/>
              </w:rPr>
            </w:pPr>
          </w:p>
          <w:p w:rsidR="00BD1191" w:rsidRPr="00E004A7" w:rsidRDefault="00BD1191" w:rsidP="003B6C68">
            <w:pPr>
              <w:rPr>
                <w:rFonts w:ascii="Arial" w:hAnsi="Arial" w:cs="Arial"/>
              </w:rPr>
            </w:pPr>
          </w:p>
          <w:p w:rsidR="00BD1191" w:rsidRPr="00E004A7" w:rsidRDefault="00BD1191" w:rsidP="003B6C68">
            <w:pPr>
              <w:rPr>
                <w:rFonts w:ascii="Arial" w:hAnsi="Arial" w:cs="Arial"/>
              </w:rPr>
            </w:pPr>
          </w:p>
          <w:p w:rsidR="00BD1191" w:rsidRPr="00E004A7" w:rsidRDefault="00BD1191" w:rsidP="003B6C68">
            <w:pPr>
              <w:rPr>
                <w:rFonts w:ascii="Arial" w:hAnsi="Arial" w:cs="Arial"/>
              </w:rPr>
            </w:pPr>
          </w:p>
          <w:p w:rsidR="00BD1191" w:rsidRPr="00E004A7" w:rsidRDefault="00BD1191" w:rsidP="003B6C68">
            <w:pPr>
              <w:rPr>
                <w:rFonts w:ascii="Arial" w:hAnsi="Arial" w:cs="Arial"/>
              </w:rPr>
            </w:pPr>
          </w:p>
          <w:p w:rsidR="00BD1191" w:rsidRPr="00E004A7" w:rsidRDefault="00BD1191" w:rsidP="003B6C68">
            <w:pPr>
              <w:rPr>
                <w:rFonts w:ascii="Arial" w:hAnsi="Arial" w:cs="Arial"/>
              </w:rPr>
            </w:pPr>
          </w:p>
          <w:p w:rsidR="00BD1191" w:rsidRPr="00E004A7" w:rsidRDefault="00BD1191" w:rsidP="003B6C68">
            <w:pPr>
              <w:rPr>
                <w:rFonts w:ascii="Arial" w:hAnsi="Arial" w:cs="Arial"/>
              </w:rPr>
            </w:pPr>
          </w:p>
        </w:tc>
        <w:tc>
          <w:tcPr>
            <w:tcW w:w="6924" w:type="dxa"/>
          </w:tcPr>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 xml:space="preserve">Open Blood Order Processing on patient encounter. Select the order of transfuse platelets.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 xml:space="preserve">In Blood Order Processing, update the units ordered if needed, and go to the Allocation tab. </w:t>
            </w:r>
          </w:p>
          <w:p w:rsidR="00BD1191" w:rsidRPr="00E004A7" w:rsidRDefault="00BD1191" w:rsidP="003B6C68">
            <w:pPr>
              <w:pStyle w:val="ListParagraph"/>
              <w:numPr>
                <w:ilvl w:val="0"/>
                <w:numId w:val="41"/>
              </w:numPr>
              <w:rPr>
                <w:rFonts w:ascii="Arial" w:hAnsi="Arial" w:cs="Arial"/>
              </w:rPr>
            </w:pPr>
            <w:r w:rsidRPr="00E004A7">
              <w:rPr>
                <w:rFonts w:ascii="Arial" w:hAnsi="Arial" w:cs="Arial"/>
                <w:sz w:val="22"/>
                <w:szCs w:val="22"/>
              </w:rPr>
              <w:t>Branch to Blood Component Prep</w:t>
            </w:r>
          </w:p>
          <w:p w:rsidR="00BD1191" w:rsidRPr="00E004A7" w:rsidRDefault="00BD1191" w:rsidP="003B6C68">
            <w:pPr>
              <w:pStyle w:val="ListParagraph"/>
              <w:numPr>
                <w:ilvl w:val="0"/>
                <w:numId w:val="40"/>
              </w:numPr>
              <w:rPr>
                <w:rFonts w:ascii="Arial" w:hAnsi="Arial" w:cs="Arial"/>
              </w:rPr>
            </w:pPr>
            <w:r w:rsidRPr="00E004A7">
              <w:rPr>
                <w:rFonts w:ascii="Arial" w:hAnsi="Arial" w:cs="Arial"/>
                <w:sz w:val="22"/>
                <w:szCs w:val="22"/>
              </w:rPr>
              <w:t>Select look up by component preparation function.</w:t>
            </w:r>
          </w:p>
          <w:p w:rsidR="00BD1191" w:rsidRPr="00E004A7" w:rsidRDefault="00BD1191" w:rsidP="003B6C68">
            <w:pPr>
              <w:pStyle w:val="ListParagraph"/>
              <w:numPr>
                <w:ilvl w:val="0"/>
                <w:numId w:val="40"/>
              </w:numPr>
              <w:rPr>
                <w:rFonts w:ascii="Arial" w:hAnsi="Arial" w:cs="Arial"/>
              </w:rPr>
            </w:pPr>
            <w:r w:rsidRPr="00E004A7">
              <w:rPr>
                <w:rFonts w:ascii="Arial" w:hAnsi="Arial" w:cs="Arial"/>
                <w:sz w:val="22"/>
                <w:szCs w:val="22"/>
              </w:rPr>
              <w:t xml:space="preserve">Use code for Combine Platelets or use search feature to select. </w:t>
            </w:r>
          </w:p>
          <w:p w:rsidR="00BD1191" w:rsidRPr="00E004A7" w:rsidRDefault="00BD1191" w:rsidP="009464BA">
            <w:pPr>
              <w:pStyle w:val="ListParagraph"/>
              <w:numPr>
                <w:ilvl w:val="0"/>
                <w:numId w:val="40"/>
              </w:numPr>
              <w:rPr>
                <w:rFonts w:ascii="Arial" w:hAnsi="Arial" w:cs="Arial"/>
              </w:rPr>
            </w:pPr>
            <w:r w:rsidRPr="00E004A7">
              <w:rPr>
                <w:rFonts w:ascii="Arial" w:hAnsi="Arial" w:cs="Arial"/>
                <w:sz w:val="22"/>
                <w:szCs w:val="22"/>
              </w:rPr>
              <w:t>Tab through date and time if doing processing real time. Adjust date and time if necessary</w:t>
            </w:r>
          </w:p>
        </w:tc>
      </w:tr>
      <w:tr w:rsidR="00BD1191" w:rsidRPr="00E004A7" w:rsidTr="009464BA">
        <w:trPr>
          <w:trHeight w:val="529"/>
        </w:trPr>
        <w:tc>
          <w:tcPr>
            <w:tcW w:w="779" w:type="dxa"/>
            <w:vAlign w:val="center"/>
          </w:tcPr>
          <w:p w:rsidR="00BD1191" w:rsidRPr="00E004A7" w:rsidRDefault="00BD1191" w:rsidP="002B4D8D">
            <w:pPr>
              <w:jc w:val="center"/>
              <w:rPr>
                <w:rFonts w:ascii="Arial" w:hAnsi="Arial" w:cs="Arial"/>
                <w:b/>
              </w:rPr>
            </w:pPr>
            <w:r>
              <w:rPr>
                <w:rFonts w:ascii="Arial" w:hAnsi="Arial" w:cs="Arial"/>
                <w:b/>
                <w:sz w:val="22"/>
                <w:szCs w:val="22"/>
              </w:rPr>
              <w:lastRenderedPageBreak/>
              <w:t>Step</w:t>
            </w:r>
          </w:p>
        </w:tc>
        <w:tc>
          <w:tcPr>
            <w:tcW w:w="2497" w:type="dxa"/>
            <w:vAlign w:val="center"/>
          </w:tcPr>
          <w:p w:rsidR="00BD1191" w:rsidRPr="00E004A7" w:rsidRDefault="00BD1191" w:rsidP="002B4D8D">
            <w:pPr>
              <w:jc w:val="center"/>
              <w:rPr>
                <w:rFonts w:ascii="Arial" w:hAnsi="Arial" w:cs="Arial"/>
                <w:b/>
              </w:rPr>
            </w:pPr>
            <w:r w:rsidRPr="00E004A7">
              <w:rPr>
                <w:rFonts w:ascii="Arial" w:hAnsi="Arial" w:cs="Arial"/>
                <w:b/>
                <w:sz w:val="22"/>
                <w:szCs w:val="22"/>
              </w:rPr>
              <w:t>Actions</w:t>
            </w:r>
          </w:p>
        </w:tc>
        <w:tc>
          <w:tcPr>
            <w:tcW w:w="6924" w:type="dxa"/>
            <w:vAlign w:val="center"/>
          </w:tcPr>
          <w:p w:rsidR="00BD1191" w:rsidRPr="00E004A7" w:rsidRDefault="00BD1191" w:rsidP="002B4D8D">
            <w:pPr>
              <w:jc w:val="center"/>
              <w:rPr>
                <w:rFonts w:ascii="Arial" w:hAnsi="Arial" w:cs="Arial"/>
                <w:b/>
              </w:rPr>
            </w:pPr>
            <w:r w:rsidRPr="00E004A7">
              <w:rPr>
                <w:rFonts w:ascii="Arial" w:hAnsi="Arial" w:cs="Arial"/>
                <w:b/>
                <w:sz w:val="22"/>
                <w:szCs w:val="22"/>
              </w:rPr>
              <w:t>Computer Processes</w:t>
            </w:r>
          </w:p>
        </w:tc>
      </w:tr>
      <w:tr w:rsidR="00BD1191" w:rsidRPr="00E004A7" w:rsidTr="009464BA">
        <w:tc>
          <w:tcPr>
            <w:tcW w:w="779" w:type="dxa"/>
          </w:tcPr>
          <w:p w:rsidR="00BD1191" w:rsidRDefault="00BD1191" w:rsidP="002B4D8D">
            <w:pPr>
              <w:jc w:val="center"/>
              <w:rPr>
                <w:rFonts w:ascii="Arial" w:hAnsi="Arial" w:cs="Arial"/>
                <w:b/>
              </w:rPr>
            </w:pPr>
            <w:r w:rsidRPr="003B6C68">
              <w:rPr>
                <w:rFonts w:ascii="Arial" w:hAnsi="Arial" w:cs="Arial"/>
                <w:b/>
                <w:sz w:val="22"/>
                <w:szCs w:val="22"/>
              </w:rPr>
              <w:t>2</w:t>
            </w:r>
          </w:p>
          <w:p w:rsidR="00BD1191" w:rsidRPr="003B6C68" w:rsidRDefault="00BD1191" w:rsidP="002B4D8D">
            <w:pPr>
              <w:jc w:val="center"/>
              <w:rPr>
                <w:rFonts w:ascii="Arial" w:hAnsi="Arial" w:cs="Arial"/>
                <w:b/>
              </w:rPr>
            </w:pPr>
            <w:r>
              <w:rPr>
                <w:rFonts w:ascii="Arial" w:hAnsi="Arial" w:cs="Arial"/>
                <w:b/>
                <w:sz w:val="22"/>
                <w:szCs w:val="22"/>
              </w:rPr>
              <w:t>Cont.</w:t>
            </w:r>
          </w:p>
        </w:tc>
        <w:tc>
          <w:tcPr>
            <w:tcW w:w="2497" w:type="dxa"/>
          </w:tcPr>
          <w:p w:rsidR="00BD1191" w:rsidRPr="00E004A7" w:rsidRDefault="00BD1191" w:rsidP="002B4D8D">
            <w:pPr>
              <w:rPr>
                <w:rFonts w:ascii="Arial" w:hAnsi="Arial" w:cs="Arial"/>
              </w:rPr>
            </w:pPr>
            <w:r w:rsidRPr="00E004A7">
              <w:rPr>
                <w:rFonts w:ascii="Arial" w:hAnsi="Arial" w:cs="Arial"/>
                <w:sz w:val="22"/>
                <w:szCs w:val="22"/>
              </w:rPr>
              <w:t>Combining Platelets for patient allocation order</w:t>
            </w:r>
          </w:p>
          <w:p w:rsidR="00BD1191" w:rsidRPr="00E004A7" w:rsidRDefault="00BD1191" w:rsidP="002B4D8D">
            <w:pPr>
              <w:rPr>
                <w:rFonts w:ascii="Arial" w:hAnsi="Arial" w:cs="Arial"/>
              </w:rPr>
            </w:pPr>
            <w:r>
              <w:rPr>
                <w:rFonts w:ascii="Arial" w:hAnsi="Arial" w:cs="Arial"/>
                <w:sz w:val="22"/>
                <w:szCs w:val="22"/>
              </w:rPr>
              <w:t>continued</w:t>
            </w:r>
          </w:p>
          <w:p w:rsidR="00BD1191" w:rsidRPr="00E004A7" w:rsidRDefault="00BD1191" w:rsidP="002B4D8D">
            <w:pPr>
              <w:rPr>
                <w:rFonts w:ascii="Arial" w:hAnsi="Arial" w:cs="Arial"/>
              </w:rPr>
            </w:pPr>
          </w:p>
          <w:p w:rsidR="00BD1191" w:rsidRPr="00E004A7" w:rsidRDefault="00BD1191" w:rsidP="002B4D8D">
            <w:pPr>
              <w:rPr>
                <w:rFonts w:ascii="Arial" w:hAnsi="Arial" w:cs="Arial"/>
              </w:rPr>
            </w:pPr>
          </w:p>
          <w:p w:rsidR="00BD1191" w:rsidRPr="00E004A7" w:rsidRDefault="00BD1191" w:rsidP="002B4D8D">
            <w:pPr>
              <w:rPr>
                <w:rFonts w:ascii="Arial" w:hAnsi="Arial" w:cs="Arial"/>
              </w:rPr>
            </w:pPr>
          </w:p>
          <w:p w:rsidR="00BD1191" w:rsidRPr="00E004A7" w:rsidRDefault="00BD1191" w:rsidP="002B4D8D">
            <w:pPr>
              <w:rPr>
                <w:rFonts w:ascii="Arial" w:hAnsi="Arial" w:cs="Arial"/>
              </w:rPr>
            </w:pPr>
          </w:p>
          <w:p w:rsidR="00BD1191" w:rsidRPr="00E004A7" w:rsidRDefault="00BD1191" w:rsidP="002B4D8D">
            <w:pPr>
              <w:rPr>
                <w:rFonts w:ascii="Arial" w:hAnsi="Arial" w:cs="Arial"/>
              </w:rPr>
            </w:pPr>
          </w:p>
          <w:p w:rsidR="00BD1191" w:rsidRPr="00E004A7" w:rsidRDefault="00BD1191" w:rsidP="002B4D8D">
            <w:pPr>
              <w:rPr>
                <w:rFonts w:ascii="Arial" w:hAnsi="Arial" w:cs="Arial"/>
              </w:rPr>
            </w:pPr>
          </w:p>
        </w:tc>
        <w:tc>
          <w:tcPr>
            <w:tcW w:w="6924" w:type="dxa"/>
          </w:tcPr>
          <w:p w:rsidR="00BD1191" w:rsidRPr="00E004A7" w:rsidRDefault="00BD1191" w:rsidP="009464BA">
            <w:pPr>
              <w:pStyle w:val="ListParagraph"/>
              <w:numPr>
                <w:ilvl w:val="0"/>
                <w:numId w:val="40"/>
              </w:numPr>
              <w:rPr>
                <w:rFonts w:ascii="Arial" w:hAnsi="Arial" w:cs="Arial"/>
              </w:rPr>
            </w:pPr>
            <w:r w:rsidRPr="00E004A7">
              <w:rPr>
                <w:rFonts w:ascii="Arial" w:hAnsi="Arial" w:cs="Arial"/>
                <w:sz w:val="22"/>
                <w:szCs w:val="22"/>
              </w:rPr>
              <w:t>Accept default shift and Tech ID or change if needed. Continue.</w:t>
            </w:r>
          </w:p>
          <w:p w:rsidR="00BD1191" w:rsidRPr="00E004A7" w:rsidRDefault="00BD1191" w:rsidP="009464BA">
            <w:pPr>
              <w:pStyle w:val="ListParagraph"/>
              <w:numPr>
                <w:ilvl w:val="0"/>
                <w:numId w:val="40"/>
              </w:numPr>
              <w:rPr>
                <w:rFonts w:ascii="Arial" w:hAnsi="Arial" w:cs="Arial"/>
              </w:rPr>
            </w:pPr>
            <w:r w:rsidRPr="00E004A7">
              <w:rPr>
                <w:rFonts w:ascii="Arial" w:hAnsi="Arial" w:cs="Arial"/>
                <w:sz w:val="22"/>
                <w:szCs w:val="22"/>
              </w:rPr>
              <w:t xml:space="preserve">Scan or type in unit number. </w:t>
            </w:r>
          </w:p>
          <w:p w:rsidR="00BD1191" w:rsidRPr="00E004A7" w:rsidRDefault="00BD1191" w:rsidP="009464BA">
            <w:pPr>
              <w:pStyle w:val="ListParagraph"/>
              <w:numPr>
                <w:ilvl w:val="0"/>
                <w:numId w:val="40"/>
              </w:numPr>
              <w:rPr>
                <w:rFonts w:ascii="Arial" w:hAnsi="Arial" w:cs="Arial"/>
              </w:rPr>
            </w:pPr>
            <w:r w:rsidRPr="00E004A7">
              <w:rPr>
                <w:rFonts w:ascii="Arial" w:hAnsi="Arial" w:cs="Arial"/>
                <w:sz w:val="22"/>
                <w:szCs w:val="22"/>
              </w:rPr>
              <w:t>In the right pane of the window, the Unit tab shows data for the unit you select in the left pane. Enter any missing mandatory data for each output and new unit. (Yellow fields are mandatory).</w:t>
            </w:r>
          </w:p>
          <w:p w:rsidR="00BD1191" w:rsidRPr="00E004A7" w:rsidRDefault="00BD1191" w:rsidP="009464BA">
            <w:pPr>
              <w:pStyle w:val="ListParagraph"/>
              <w:numPr>
                <w:ilvl w:val="0"/>
                <w:numId w:val="40"/>
              </w:numPr>
              <w:rPr>
                <w:rFonts w:ascii="Arial" w:hAnsi="Arial" w:cs="Arial"/>
              </w:rPr>
            </w:pPr>
            <w:r w:rsidRPr="00E004A7">
              <w:rPr>
                <w:rFonts w:ascii="Arial" w:hAnsi="Arial" w:cs="Arial"/>
                <w:sz w:val="22"/>
                <w:szCs w:val="22"/>
              </w:rPr>
              <w:t>The lower screen shows the Task Summary and each unit will have detailed Input and Output data. Review the Output new expiration date and time for accuracy.</w:t>
            </w:r>
          </w:p>
          <w:p w:rsidR="00BD1191" w:rsidRPr="00E004A7" w:rsidRDefault="00BD1191" w:rsidP="009464BA">
            <w:pPr>
              <w:pStyle w:val="ListParagraph"/>
              <w:numPr>
                <w:ilvl w:val="0"/>
                <w:numId w:val="40"/>
              </w:numPr>
              <w:rPr>
                <w:rFonts w:ascii="Arial" w:hAnsi="Arial" w:cs="Arial"/>
              </w:rPr>
            </w:pPr>
            <w:r w:rsidRPr="00E004A7">
              <w:rPr>
                <w:rFonts w:ascii="Arial" w:hAnsi="Arial" w:cs="Arial"/>
                <w:sz w:val="22"/>
                <w:szCs w:val="22"/>
              </w:rPr>
              <w:t>Task Summary list can be printed if desired by selecting Task Summary on bottom left of screen.</w:t>
            </w:r>
          </w:p>
          <w:p w:rsidR="00BD1191" w:rsidRPr="00E004A7" w:rsidRDefault="00BD1191" w:rsidP="009464BA">
            <w:pPr>
              <w:pStyle w:val="ListParagraph"/>
              <w:numPr>
                <w:ilvl w:val="0"/>
                <w:numId w:val="40"/>
              </w:numPr>
              <w:rPr>
                <w:rFonts w:ascii="Arial" w:hAnsi="Arial" w:cs="Arial"/>
              </w:rPr>
            </w:pPr>
            <w:r w:rsidRPr="00E004A7">
              <w:rPr>
                <w:rFonts w:ascii="Arial" w:hAnsi="Arial" w:cs="Arial"/>
                <w:sz w:val="22"/>
                <w:szCs w:val="22"/>
              </w:rPr>
              <w:t>Select Save, a confirmatory box will ask if it should file all units, select OK, and the Output/New Units window opens, showing the results of preparation. Close.</w:t>
            </w:r>
          </w:p>
          <w:p w:rsidR="00BD1191" w:rsidRPr="00E004A7" w:rsidRDefault="00BD1191" w:rsidP="009464BA">
            <w:pPr>
              <w:pStyle w:val="ListParagraph"/>
              <w:numPr>
                <w:ilvl w:val="0"/>
                <w:numId w:val="40"/>
              </w:numPr>
              <w:rPr>
                <w:rFonts w:ascii="Arial" w:hAnsi="Arial" w:cs="Arial"/>
              </w:rPr>
            </w:pPr>
            <w:r w:rsidRPr="00E004A7">
              <w:rPr>
                <w:rFonts w:ascii="Arial" w:hAnsi="Arial" w:cs="Arial"/>
                <w:sz w:val="22"/>
                <w:szCs w:val="22"/>
              </w:rPr>
              <w:t>This action should branch back to the Blood Order Processing screen for the selected patient. The unit(s) should be listed in the Compatibility Testing Section. Select Ok to transfuse or Not Ok as required. Save.</w:t>
            </w:r>
          </w:p>
          <w:p w:rsidR="00BD1191" w:rsidRPr="00E004A7" w:rsidRDefault="00BD1191" w:rsidP="009464BA">
            <w:pPr>
              <w:pStyle w:val="ListParagraph"/>
              <w:numPr>
                <w:ilvl w:val="0"/>
                <w:numId w:val="41"/>
              </w:numPr>
              <w:rPr>
                <w:rFonts w:ascii="Arial" w:hAnsi="Arial" w:cs="Arial"/>
              </w:rPr>
            </w:pPr>
            <w:r w:rsidRPr="00E004A7">
              <w:rPr>
                <w:rFonts w:ascii="Arial" w:hAnsi="Arial" w:cs="Arial"/>
                <w:sz w:val="22"/>
                <w:szCs w:val="22"/>
              </w:rPr>
              <w:t>Go directly to Issue, Issue Emergency, or select No to keep unit tagged in inventory until needed.</w:t>
            </w:r>
          </w:p>
        </w:tc>
      </w:tr>
    </w:tbl>
    <w:p w:rsidR="00BD1191" w:rsidRDefault="00BD1191" w:rsidP="003B6C68">
      <w:pPr>
        <w:pStyle w:val="Header"/>
        <w:tabs>
          <w:tab w:val="clear" w:pos="4320"/>
          <w:tab w:val="clear" w:pos="8640"/>
        </w:tabs>
        <w:rPr>
          <w:rFonts w:ascii="Arial" w:hAnsi="Arial" w:cs="Arial"/>
          <w:b/>
          <w:kern w:val="0"/>
          <w:sz w:val="22"/>
          <w:szCs w:val="22"/>
        </w:rPr>
      </w:pPr>
    </w:p>
    <w:p w:rsidR="00BD1191" w:rsidRDefault="00BD1191" w:rsidP="003B6C68">
      <w:pPr>
        <w:pStyle w:val="Header"/>
        <w:tabs>
          <w:tab w:val="clear" w:pos="4320"/>
          <w:tab w:val="clear" w:pos="8640"/>
        </w:tabs>
        <w:rPr>
          <w:rFonts w:ascii="Arial" w:hAnsi="Arial" w:cs="Arial"/>
          <w:b/>
          <w:kern w:val="0"/>
          <w:sz w:val="22"/>
          <w:szCs w:val="22"/>
        </w:rPr>
      </w:pPr>
    </w:p>
    <w:p w:rsidR="00BD1191" w:rsidRDefault="00BD1191" w:rsidP="009464BA">
      <w:pPr>
        <w:pStyle w:val="Header"/>
        <w:tabs>
          <w:tab w:val="clear" w:pos="4320"/>
          <w:tab w:val="clear" w:pos="8640"/>
        </w:tabs>
        <w:ind w:hanging="360"/>
        <w:rPr>
          <w:rFonts w:ascii="Arial" w:hAnsi="Arial" w:cs="Arial"/>
          <w:b/>
          <w:kern w:val="0"/>
          <w:sz w:val="22"/>
          <w:szCs w:val="22"/>
        </w:rPr>
      </w:pPr>
      <w:r>
        <w:rPr>
          <w:rFonts w:ascii="Arial" w:hAnsi="Arial" w:cs="Arial"/>
          <w:b/>
          <w:kern w:val="0"/>
          <w:sz w:val="22"/>
          <w:szCs w:val="22"/>
        </w:rPr>
        <w:t>References:</w:t>
      </w:r>
    </w:p>
    <w:p w:rsidR="00BD1191" w:rsidRDefault="00BD1191" w:rsidP="009464BA">
      <w:pPr>
        <w:pStyle w:val="Header"/>
        <w:tabs>
          <w:tab w:val="clear" w:pos="4320"/>
          <w:tab w:val="clear" w:pos="8640"/>
        </w:tabs>
        <w:ind w:hanging="360"/>
        <w:rPr>
          <w:rFonts w:ascii="Arial" w:hAnsi="Arial" w:cs="Arial"/>
          <w:kern w:val="0"/>
          <w:sz w:val="22"/>
          <w:szCs w:val="22"/>
        </w:rPr>
      </w:pPr>
      <w:r>
        <w:rPr>
          <w:rFonts w:ascii="Arial" w:hAnsi="Arial" w:cs="Arial"/>
          <w:kern w:val="0"/>
          <w:sz w:val="22"/>
          <w:szCs w:val="22"/>
        </w:rPr>
        <w:t>Blood Bank User Guide, Misys Laboratory</w:t>
      </w:r>
    </w:p>
    <w:p w:rsidR="00BD1191" w:rsidRPr="00A22091" w:rsidRDefault="00BD1191" w:rsidP="009464BA">
      <w:pPr>
        <w:pStyle w:val="Header"/>
        <w:tabs>
          <w:tab w:val="clear" w:pos="4320"/>
          <w:tab w:val="clear" w:pos="8640"/>
        </w:tabs>
        <w:ind w:hanging="360"/>
        <w:rPr>
          <w:rFonts w:ascii="Arial" w:hAnsi="Arial" w:cs="Arial"/>
          <w:kern w:val="0"/>
          <w:sz w:val="22"/>
          <w:szCs w:val="22"/>
        </w:rPr>
      </w:pPr>
      <w:r>
        <w:rPr>
          <w:rFonts w:ascii="Arial" w:hAnsi="Arial" w:cs="Arial"/>
          <w:kern w:val="0"/>
          <w:sz w:val="22"/>
          <w:szCs w:val="22"/>
        </w:rPr>
        <w:t>AABB Standards for Blood Banks and Transfusion Services, Current Edition</w:t>
      </w:r>
    </w:p>
    <w:p w:rsidR="00BD1191" w:rsidRDefault="00BD1191" w:rsidP="003B6C68">
      <w:pPr>
        <w:pStyle w:val="Header"/>
        <w:tabs>
          <w:tab w:val="clear" w:pos="4320"/>
          <w:tab w:val="clear" w:pos="8640"/>
        </w:tabs>
        <w:rPr>
          <w:rFonts w:ascii="Arial" w:hAnsi="Arial" w:cs="Arial"/>
          <w:b/>
          <w:kern w:val="0"/>
          <w:sz w:val="22"/>
          <w:szCs w:val="22"/>
        </w:rPr>
      </w:pPr>
    </w:p>
    <w:p w:rsidR="00BD1191" w:rsidRPr="004F2BA5" w:rsidRDefault="00BD1191" w:rsidP="003B6C68">
      <w:pPr>
        <w:pStyle w:val="Header"/>
        <w:tabs>
          <w:tab w:val="clear" w:pos="4320"/>
          <w:tab w:val="clear" w:pos="8640"/>
        </w:tabs>
        <w:ind w:left="720"/>
        <w:rPr>
          <w:rFonts w:ascii="Arial" w:hAnsi="Arial" w:cs="Arial"/>
          <w:kern w:val="0"/>
          <w:sz w:val="22"/>
          <w:szCs w:val="22"/>
        </w:rPr>
      </w:pPr>
    </w:p>
    <w:p w:rsidR="00BD1191" w:rsidRDefault="00BD1191" w:rsidP="003B6C68">
      <w:pPr>
        <w:pStyle w:val="Header"/>
        <w:tabs>
          <w:tab w:val="clear" w:pos="4320"/>
          <w:tab w:val="clear" w:pos="8640"/>
        </w:tabs>
        <w:rPr>
          <w:rFonts w:ascii="Arial" w:hAnsi="Arial" w:cs="Arial"/>
          <w:b/>
          <w:kern w:val="0"/>
          <w:sz w:val="22"/>
          <w:szCs w:val="22"/>
        </w:rPr>
      </w:pPr>
    </w:p>
    <w:sectPr w:rsidR="00BD1191" w:rsidSect="000A01D2">
      <w:headerReference w:type="default" r:id="rId7"/>
      <w:footerReference w:type="default" r:id="rId8"/>
      <w:headerReference w:type="first" r:id="rId9"/>
      <w:pgSz w:w="12240" w:h="15840"/>
      <w:pgMar w:top="1315" w:right="960" w:bottom="1260" w:left="1440" w:header="360" w:footer="4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91" w:rsidRDefault="00BD1191" w:rsidP="00E539F9">
      <w:r>
        <w:separator/>
      </w:r>
    </w:p>
  </w:endnote>
  <w:endnote w:type="continuationSeparator" w:id="0">
    <w:p w:rsidR="00BD1191" w:rsidRDefault="00BD1191" w:rsidP="00E53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91" w:rsidRPr="00735673" w:rsidRDefault="00BD1191" w:rsidP="003B6C68">
    <w:pPr>
      <w:pStyle w:val="Footer"/>
      <w:tabs>
        <w:tab w:val="clear" w:pos="9360"/>
      </w:tabs>
      <w:ind w:left="-360"/>
      <w:rPr>
        <w:rFonts w:ascii="Arial" w:hAnsi="Arial" w:cs="Arial"/>
        <w:sz w:val="20"/>
      </w:rPr>
    </w:pPr>
    <w:r w:rsidRPr="00735673">
      <w:rPr>
        <w:rFonts w:ascii="Arial" w:hAnsi="Arial" w:cs="Arial"/>
        <w:sz w:val="20"/>
      </w:rPr>
      <w:t xml:space="preserve">Transfusion Service Laboratory                                                                                               </w:t>
    </w:r>
    <w:r>
      <w:rPr>
        <w:rFonts w:ascii="Arial" w:hAnsi="Arial" w:cs="Arial"/>
        <w:sz w:val="20"/>
      </w:rPr>
      <w:t xml:space="preserve">           </w:t>
    </w:r>
    <w:r w:rsidRPr="00735673">
      <w:rPr>
        <w:rFonts w:ascii="Arial" w:hAnsi="Arial" w:cs="Arial"/>
        <w:sz w:val="20"/>
      </w:rPr>
      <w:t xml:space="preserve"> Page </w:t>
    </w:r>
    <w:r w:rsidR="00334C49" w:rsidRPr="00735673">
      <w:rPr>
        <w:rFonts w:ascii="Arial" w:hAnsi="Arial" w:cs="Arial"/>
        <w:sz w:val="20"/>
      </w:rPr>
      <w:fldChar w:fldCharType="begin"/>
    </w:r>
    <w:r w:rsidRPr="00735673">
      <w:rPr>
        <w:rFonts w:ascii="Arial" w:hAnsi="Arial" w:cs="Arial"/>
        <w:sz w:val="20"/>
      </w:rPr>
      <w:instrText xml:space="preserve"> PAGE </w:instrText>
    </w:r>
    <w:r w:rsidR="00334C49" w:rsidRPr="00735673">
      <w:rPr>
        <w:rFonts w:ascii="Arial" w:hAnsi="Arial" w:cs="Arial"/>
        <w:sz w:val="20"/>
      </w:rPr>
      <w:fldChar w:fldCharType="separate"/>
    </w:r>
    <w:r w:rsidR="00A156A8">
      <w:rPr>
        <w:rFonts w:ascii="Arial" w:hAnsi="Arial" w:cs="Arial"/>
        <w:noProof/>
        <w:sz w:val="20"/>
      </w:rPr>
      <w:t>2</w:t>
    </w:r>
    <w:r w:rsidR="00334C49" w:rsidRPr="00735673">
      <w:rPr>
        <w:rFonts w:ascii="Arial" w:hAnsi="Arial" w:cs="Arial"/>
        <w:sz w:val="20"/>
      </w:rPr>
      <w:fldChar w:fldCharType="end"/>
    </w:r>
    <w:r w:rsidRPr="00735673">
      <w:rPr>
        <w:rFonts w:ascii="Arial" w:hAnsi="Arial" w:cs="Arial"/>
        <w:sz w:val="20"/>
      </w:rPr>
      <w:t xml:space="preserve"> of </w:t>
    </w:r>
    <w:r>
      <w:rPr>
        <w:rFonts w:ascii="Arial" w:hAnsi="Arial" w:cs="Arial"/>
        <w:sz w:val="20"/>
      </w:rPr>
      <w:t>2</w:t>
    </w:r>
  </w:p>
  <w:p w:rsidR="00BD1191" w:rsidRPr="003B6C68" w:rsidRDefault="00BD1191" w:rsidP="003B6C68">
    <w:pPr>
      <w:pStyle w:val="Footer"/>
      <w:ind w:left="-360"/>
    </w:pPr>
    <w:smartTag w:uri="urn:schemas-microsoft-com:office:smarttags" w:element="PlaceName">
      <w:smartTag w:uri="urn:schemas-microsoft-com:office:smarttags" w:element="plac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laceName">
        <w:r w:rsidRPr="00735673">
          <w:rPr>
            <w:rFonts w:ascii="Arial" w:hAnsi="Arial" w:cs="Arial"/>
            <w:sz w:val="20"/>
          </w:rPr>
          <w:t>Medical</w:t>
        </w:r>
      </w:smartTag>
      <w:r w:rsidRPr="00735673">
        <w:rPr>
          <w:rFonts w:ascii="Arial" w:hAnsi="Arial" w:cs="Arial"/>
          <w:sz w:val="20"/>
        </w:rPr>
        <w:t xml:space="preserve"> </w:t>
      </w:r>
      <w:smartTag w:uri="urn:schemas-microsoft-com:office:smarttags" w:element="PlaceTyp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address">
      <w:smartTag w:uri="urn:schemas-microsoft-com:office:smarttags" w:element="Street">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City">
        <w:r w:rsidRPr="00735673">
          <w:rPr>
            <w:rFonts w:ascii="Arial" w:hAnsi="Arial" w:cs="Arial"/>
            <w:sz w:val="20"/>
          </w:rPr>
          <w:t>Seattle</w:t>
        </w:r>
      </w:smartTag>
      <w:r w:rsidRPr="00735673">
        <w:rPr>
          <w:rFonts w:ascii="Arial" w:hAnsi="Arial" w:cs="Arial"/>
          <w:sz w:val="20"/>
        </w:rPr>
        <w:t xml:space="preserve">, </w:t>
      </w:r>
      <w:smartTag w:uri="urn:schemas-microsoft-com:office:smarttags" w:element="State">
        <w:r w:rsidRPr="00735673">
          <w:rPr>
            <w:rFonts w:ascii="Arial" w:hAnsi="Arial" w:cs="Arial"/>
            <w:sz w:val="20"/>
          </w:rPr>
          <w:t>WA</w:t>
        </w:r>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91" w:rsidRDefault="00BD1191" w:rsidP="00E539F9">
      <w:r>
        <w:separator/>
      </w:r>
    </w:p>
  </w:footnote>
  <w:footnote w:type="continuationSeparator" w:id="0">
    <w:p w:rsidR="00BD1191" w:rsidRDefault="00BD1191" w:rsidP="00E53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91" w:rsidRPr="003B6C68" w:rsidRDefault="00BD1191" w:rsidP="003B6C68">
    <w:pPr>
      <w:pStyle w:val="Header"/>
      <w:ind w:hanging="360"/>
      <w:rPr>
        <w:sz w:val="20"/>
      </w:rPr>
    </w:pPr>
    <w:r w:rsidRPr="003B6C68">
      <w:rPr>
        <w:rFonts w:ascii="Arial" w:hAnsi="Arial" w:cs="Arial"/>
        <w:sz w:val="20"/>
      </w:rPr>
      <w:t>Component Preparation for Double Bag Platelets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91" w:rsidRPr="000A01D2" w:rsidRDefault="00334C49" w:rsidP="000A01D2">
    <w:pPr>
      <w:ind w:left="-480" w:firstLine="120"/>
      <w:jc w:val="both"/>
      <w:rPr>
        <w:sz w:val="16"/>
        <w:szCs w:val="16"/>
      </w:rPr>
    </w:pPr>
    <w:hyperlink r:id="rId1" w:history="1">
      <w:r w:rsidRPr="00334C49">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Laboratory Medicine banner" href="http://depts.washington.edu/labweb/index" style="width:519pt;height:54.75pt;visibility:visible" o:button="t">
            <v:fill o:detectmouseclick="t"/>
            <v:imagedata r:id="rId2" o:title=""/>
          </v:shape>
        </w:pict>
      </w:r>
    </w:hyperlink>
  </w:p>
  <w:tbl>
    <w:tblPr>
      <w:tblW w:w="10456" w:type="dxa"/>
      <w:jc w:val="center"/>
      <w:tblInd w:w="-2043" w:type="dxa"/>
      <w:tblBorders>
        <w:top w:val="double" w:sz="4" w:space="0" w:color="auto"/>
        <w:left w:val="double" w:sz="4" w:space="0" w:color="auto"/>
        <w:bottom w:val="double" w:sz="4" w:space="0" w:color="auto"/>
        <w:right w:val="double" w:sz="4" w:space="0" w:color="auto"/>
      </w:tblBorders>
      <w:tblLayout w:type="fixed"/>
      <w:tblLook w:val="0000"/>
    </w:tblPr>
    <w:tblGrid>
      <w:gridCol w:w="6343"/>
      <w:gridCol w:w="2760"/>
      <w:gridCol w:w="1353"/>
    </w:tblGrid>
    <w:tr w:rsidR="00BD1191" w:rsidRPr="00E004A7" w:rsidTr="000A01D2">
      <w:trPr>
        <w:cantSplit/>
        <w:trHeight w:val="464"/>
        <w:jc w:val="center"/>
      </w:trPr>
      <w:tc>
        <w:tcPr>
          <w:tcW w:w="6343" w:type="dxa"/>
          <w:vMerge w:val="restart"/>
          <w:tcBorders>
            <w:top w:val="double" w:sz="4" w:space="0" w:color="auto"/>
            <w:bottom w:val="single" w:sz="4" w:space="0" w:color="auto"/>
            <w:right w:val="single" w:sz="4" w:space="0" w:color="auto"/>
          </w:tcBorders>
          <w:vAlign w:val="center"/>
        </w:tcPr>
        <w:p w:rsidR="00BD1191" w:rsidRPr="00E004A7" w:rsidRDefault="00BD1191" w:rsidP="007C6D26">
          <w:pPr>
            <w:rPr>
              <w:rFonts w:ascii="Arial" w:hAnsi="Arial" w:cs="Arial"/>
              <w:b/>
            </w:rPr>
          </w:pPr>
          <w:smartTag w:uri="urn:schemas-microsoft-com:office:smarttags" w:element="PlaceType">
            <w:smartTag w:uri="urn:schemas-microsoft-com:office:smarttags" w:element="place">
              <w:r w:rsidRPr="00E004A7">
                <w:rPr>
                  <w:rFonts w:ascii="Arial" w:hAnsi="Arial" w:cs="Arial"/>
                  <w:b/>
                  <w:sz w:val="22"/>
                  <w:szCs w:val="22"/>
                </w:rPr>
                <w:t>University</w:t>
              </w:r>
            </w:smartTag>
            <w:r w:rsidRPr="00E004A7">
              <w:rPr>
                <w:rFonts w:ascii="Arial" w:hAnsi="Arial" w:cs="Arial"/>
                <w:b/>
                <w:sz w:val="22"/>
                <w:szCs w:val="22"/>
              </w:rPr>
              <w:t xml:space="preserve"> of </w:t>
            </w:r>
            <w:smartTag w:uri="urn:schemas-microsoft-com:office:smarttags" w:element="PostalCode">
              <w:r w:rsidRPr="00E004A7">
                <w:rPr>
                  <w:rFonts w:ascii="Arial" w:hAnsi="Arial" w:cs="Arial"/>
                  <w:b/>
                  <w:sz w:val="22"/>
                  <w:szCs w:val="22"/>
                </w:rPr>
                <w:t>Washington</w:t>
              </w:r>
            </w:smartTag>
          </w:smartTag>
          <w:r w:rsidRPr="00E004A7">
            <w:rPr>
              <w:rFonts w:ascii="Arial" w:hAnsi="Arial" w:cs="Arial"/>
              <w:b/>
              <w:sz w:val="22"/>
              <w:szCs w:val="22"/>
            </w:rPr>
            <w:t xml:space="preserve">, </w:t>
          </w:r>
        </w:p>
        <w:p w:rsidR="00BD1191" w:rsidRPr="00E004A7" w:rsidRDefault="00BD1191" w:rsidP="007C6D26">
          <w:pPr>
            <w:rPr>
              <w:rFonts w:ascii="Arial" w:hAnsi="Arial" w:cs="Arial"/>
              <w:b/>
            </w:rPr>
          </w:pPr>
          <w:smartTag w:uri="urn:schemas-microsoft-com:office:smarttags" w:element="PostalCode">
            <w:smartTag w:uri="urn:schemas-microsoft-com:office:smarttags" w:element="PostalCode">
              <w:r w:rsidRPr="00E004A7">
                <w:rPr>
                  <w:rFonts w:ascii="Arial" w:hAnsi="Arial" w:cs="Arial"/>
                  <w:b/>
                  <w:sz w:val="22"/>
                  <w:szCs w:val="22"/>
                </w:rPr>
                <w:t>Harborview</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Medical</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Center</w:t>
              </w:r>
            </w:smartTag>
          </w:smartTag>
        </w:p>
        <w:p w:rsidR="00BD1191" w:rsidRPr="00E004A7" w:rsidRDefault="00BD1191" w:rsidP="007C6D26">
          <w:pPr>
            <w:rPr>
              <w:rFonts w:ascii="Arial" w:hAnsi="Arial" w:cs="Arial"/>
              <w:b/>
            </w:rPr>
          </w:pPr>
          <w:smartTag w:uri="urn:schemas-microsoft-com:office:smarttags" w:element="PostalCode">
            <w:r w:rsidRPr="00E004A7">
              <w:rPr>
                <w:rFonts w:ascii="Arial" w:hAnsi="Arial" w:cs="Arial"/>
                <w:b/>
                <w:sz w:val="22"/>
                <w:szCs w:val="22"/>
              </w:rPr>
              <w:t>325 9</w:t>
            </w:r>
            <w:r w:rsidRPr="00E004A7">
              <w:rPr>
                <w:rFonts w:ascii="Arial" w:hAnsi="Arial" w:cs="Arial"/>
                <w:b/>
                <w:sz w:val="22"/>
                <w:szCs w:val="22"/>
                <w:vertAlign w:val="superscript"/>
              </w:rPr>
              <w:t>th</w:t>
            </w:r>
            <w:r w:rsidRPr="00E004A7">
              <w:rPr>
                <w:rFonts w:ascii="Arial" w:hAnsi="Arial" w:cs="Arial"/>
                <w:b/>
                <w:sz w:val="22"/>
                <w:szCs w:val="22"/>
              </w:rPr>
              <w:t xml:space="preserve"> Ave.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Seattle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WA</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98104</w:t>
            </w:r>
          </w:smartTag>
        </w:p>
        <w:p w:rsidR="00BD1191" w:rsidRPr="00E004A7" w:rsidRDefault="00BD1191" w:rsidP="007C6D26">
          <w:pPr>
            <w:rPr>
              <w:rFonts w:ascii="Arial" w:hAnsi="Arial" w:cs="Arial"/>
              <w:b/>
            </w:rPr>
          </w:pPr>
          <w:r w:rsidRPr="00E004A7">
            <w:rPr>
              <w:rFonts w:ascii="Arial" w:hAnsi="Arial" w:cs="Arial"/>
              <w:b/>
              <w:sz w:val="22"/>
              <w:szCs w:val="22"/>
            </w:rPr>
            <w:t>Transfusion Services Laboratory</w:t>
          </w:r>
        </w:p>
        <w:p w:rsidR="00BD1191" w:rsidRPr="00E004A7" w:rsidRDefault="00BD1191" w:rsidP="007C6D26">
          <w:pPr>
            <w:rPr>
              <w:rFonts w:ascii="Arial" w:hAnsi="Arial" w:cs="Arial"/>
              <w:b/>
            </w:rPr>
          </w:pPr>
          <w:r w:rsidRPr="00E004A7">
            <w:rPr>
              <w:rFonts w:ascii="Arial" w:hAnsi="Arial" w:cs="Arial"/>
              <w:b/>
              <w:sz w:val="22"/>
              <w:szCs w:val="22"/>
            </w:rPr>
            <w:t>Policies and Procedures Manual</w:t>
          </w:r>
        </w:p>
      </w:tc>
      <w:tc>
        <w:tcPr>
          <w:tcW w:w="2760" w:type="dxa"/>
          <w:tcBorders>
            <w:top w:val="double" w:sz="4" w:space="0" w:color="auto"/>
            <w:left w:val="nil"/>
            <w:bottom w:val="nil"/>
            <w:right w:val="single" w:sz="4" w:space="0" w:color="auto"/>
          </w:tcBorders>
        </w:tcPr>
        <w:p w:rsidR="00BD1191" w:rsidRPr="00E004A7" w:rsidRDefault="00BD1191" w:rsidP="007C6D26">
          <w:pPr>
            <w:rPr>
              <w:rFonts w:ascii="Arial" w:hAnsi="Arial" w:cs="Arial"/>
              <w:b/>
            </w:rPr>
          </w:pPr>
          <w:r w:rsidRPr="00E004A7">
            <w:rPr>
              <w:rFonts w:ascii="Arial" w:hAnsi="Arial" w:cs="Arial"/>
              <w:b/>
              <w:sz w:val="22"/>
              <w:szCs w:val="22"/>
            </w:rPr>
            <w:t>Original Effective Date:</w:t>
          </w:r>
        </w:p>
        <w:p w:rsidR="00BD1191" w:rsidRPr="00E004A7" w:rsidRDefault="00BD1191" w:rsidP="004F2BA5">
          <w:pPr>
            <w:jc w:val="both"/>
            <w:rPr>
              <w:rFonts w:ascii="Arial" w:hAnsi="Arial" w:cs="Arial"/>
            </w:rPr>
          </w:pPr>
          <w:r w:rsidRPr="00E004A7">
            <w:rPr>
              <w:rFonts w:ascii="Arial" w:hAnsi="Arial" w:cs="Arial"/>
              <w:b/>
              <w:sz w:val="22"/>
              <w:szCs w:val="22"/>
            </w:rPr>
            <w:t xml:space="preserve"> </w:t>
          </w:r>
          <w:r w:rsidRPr="00E004A7">
            <w:rPr>
              <w:rFonts w:ascii="Arial" w:hAnsi="Arial" w:cs="Arial"/>
              <w:sz w:val="22"/>
              <w:szCs w:val="22"/>
            </w:rPr>
            <w:t>April 1</w:t>
          </w:r>
          <w:r w:rsidRPr="00E004A7">
            <w:rPr>
              <w:rFonts w:ascii="Arial" w:hAnsi="Arial" w:cs="Arial"/>
              <w:sz w:val="22"/>
              <w:szCs w:val="22"/>
              <w:vertAlign w:val="superscript"/>
            </w:rPr>
            <w:t>st</w:t>
          </w:r>
          <w:r w:rsidRPr="00E004A7">
            <w:rPr>
              <w:rFonts w:ascii="Arial" w:hAnsi="Arial" w:cs="Arial"/>
              <w:sz w:val="22"/>
              <w:szCs w:val="22"/>
            </w:rPr>
            <w:t xml:space="preserve"> 2011</w:t>
          </w:r>
        </w:p>
      </w:tc>
      <w:tc>
        <w:tcPr>
          <w:tcW w:w="1353" w:type="dxa"/>
          <w:tcBorders>
            <w:top w:val="double" w:sz="4" w:space="0" w:color="auto"/>
            <w:left w:val="nil"/>
            <w:bottom w:val="nil"/>
          </w:tcBorders>
        </w:tcPr>
        <w:p w:rsidR="00BD1191" w:rsidRPr="00E004A7" w:rsidRDefault="00BD1191" w:rsidP="007C6D26">
          <w:pPr>
            <w:jc w:val="both"/>
            <w:rPr>
              <w:rFonts w:ascii="Arial" w:hAnsi="Arial" w:cs="Arial"/>
              <w:b/>
            </w:rPr>
          </w:pPr>
          <w:r w:rsidRPr="00E004A7">
            <w:rPr>
              <w:rFonts w:ascii="Arial" w:hAnsi="Arial" w:cs="Arial"/>
              <w:b/>
              <w:sz w:val="22"/>
              <w:szCs w:val="22"/>
            </w:rPr>
            <w:t xml:space="preserve">Number: </w:t>
          </w:r>
        </w:p>
        <w:p w:rsidR="00BD1191" w:rsidRPr="00E004A7" w:rsidRDefault="00A156A8" w:rsidP="007C6D26">
          <w:pPr>
            <w:jc w:val="both"/>
            <w:rPr>
              <w:rFonts w:ascii="Arial" w:hAnsi="Arial" w:cs="Arial"/>
              <w:b/>
            </w:rPr>
          </w:pPr>
          <w:r>
            <w:rPr>
              <w:rFonts w:ascii="Arial" w:hAnsi="Arial" w:cs="Arial"/>
              <w:b/>
            </w:rPr>
            <w:t>5203-1</w:t>
          </w:r>
        </w:p>
      </w:tc>
    </w:tr>
    <w:tr w:rsidR="00BD1191" w:rsidRPr="00E004A7" w:rsidTr="000A01D2">
      <w:trPr>
        <w:cantSplit/>
        <w:trHeight w:val="128"/>
        <w:jc w:val="center"/>
      </w:trPr>
      <w:tc>
        <w:tcPr>
          <w:tcW w:w="6343" w:type="dxa"/>
          <w:vMerge/>
          <w:tcBorders>
            <w:top w:val="nil"/>
            <w:bottom w:val="single" w:sz="4" w:space="0" w:color="auto"/>
            <w:right w:val="single" w:sz="4" w:space="0" w:color="auto"/>
          </w:tcBorders>
        </w:tcPr>
        <w:p w:rsidR="00BD1191" w:rsidRPr="00E004A7" w:rsidRDefault="00BD1191" w:rsidP="007C6D26">
          <w:pPr>
            <w:rPr>
              <w:rFonts w:ascii="Arial" w:hAnsi="Arial" w:cs="Arial"/>
              <w:b/>
            </w:rPr>
          </w:pPr>
        </w:p>
      </w:tc>
      <w:tc>
        <w:tcPr>
          <w:tcW w:w="2760" w:type="dxa"/>
          <w:tcBorders>
            <w:top w:val="single" w:sz="4" w:space="0" w:color="auto"/>
            <w:left w:val="nil"/>
            <w:bottom w:val="single" w:sz="4" w:space="0" w:color="auto"/>
            <w:right w:val="single" w:sz="4" w:space="0" w:color="auto"/>
          </w:tcBorders>
        </w:tcPr>
        <w:p w:rsidR="00BD1191" w:rsidRPr="00E004A7" w:rsidRDefault="00BD1191" w:rsidP="007C6D26">
          <w:pPr>
            <w:jc w:val="both"/>
            <w:rPr>
              <w:rFonts w:ascii="Arial" w:hAnsi="Arial" w:cs="Arial"/>
              <w:b/>
            </w:rPr>
          </w:pPr>
          <w:r w:rsidRPr="00E004A7">
            <w:rPr>
              <w:rFonts w:ascii="Arial" w:hAnsi="Arial" w:cs="Arial"/>
              <w:b/>
              <w:sz w:val="22"/>
              <w:szCs w:val="22"/>
            </w:rPr>
            <w:t>Revision Effective Date:</w:t>
          </w:r>
        </w:p>
        <w:p w:rsidR="00BD1191" w:rsidRPr="00E004A7" w:rsidRDefault="00BD1191" w:rsidP="007C6D26">
          <w:pPr>
            <w:jc w:val="both"/>
            <w:rPr>
              <w:rFonts w:ascii="Arial" w:hAnsi="Arial" w:cs="Arial"/>
              <w:b/>
            </w:rPr>
          </w:pPr>
        </w:p>
      </w:tc>
      <w:tc>
        <w:tcPr>
          <w:tcW w:w="1353" w:type="dxa"/>
          <w:tcBorders>
            <w:top w:val="single" w:sz="4" w:space="0" w:color="auto"/>
            <w:left w:val="nil"/>
            <w:bottom w:val="single" w:sz="4" w:space="0" w:color="auto"/>
          </w:tcBorders>
        </w:tcPr>
        <w:p w:rsidR="00BD1191" w:rsidRPr="00E004A7" w:rsidRDefault="00BD1191" w:rsidP="007C6D26">
          <w:pPr>
            <w:jc w:val="both"/>
            <w:rPr>
              <w:rFonts w:ascii="Arial" w:hAnsi="Arial" w:cs="Arial"/>
            </w:rPr>
          </w:pPr>
          <w:r w:rsidRPr="00E004A7">
            <w:rPr>
              <w:rFonts w:ascii="Arial" w:hAnsi="Arial" w:cs="Arial"/>
              <w:b/>
              <w:sz w:val="22"/>
              <w:szCs w:val="22"/>
            </w:rPr>
            <w:t xml:space="preserve">Pages: </w:t>
          </w:r>
          <w:r w:rsidRPr="00E004A7">
            <w:rPr>
              <w:rFonts w:ascii="Arial" w:hAnsi="Arial" w:cs="Arial"/>
              <w:sz w:val="22"/>
              <w:szCs w:val="22"/>
            </w:rPr>
            <w:t>2</w:t>
          </w:r>
        </w:p>
      </w:tc>
    </w:tr>
    <w:tr w:rsidR="00BD1191" w:rsidRPr="00E004A7" w:rsidTr="000A01D2">
      <w:trPr>
        <w:cantSplit/>
        <w:trHeight w:val="570"/>
        <w:jc w:val="center"/>
      </w:trPr>
      <w:tc>
        <w:tcPr>
          <w:tcW w:w="10456" w:type="dxa"/>
          <w:gridSpan w:val="3"/>
          <w:tcBorders>
            <w:top w:val="nil"/>
            <w:bottom w:val="double" w:sz="4" w:space="0" w:color="auto"/>
          </w:tcBorders>
          <w:vAlign w:val="center"/>
        </w:tcPr>
        <w:p w:rsidR="00BD1191" w:rsidRPr="003B6C68" w:rsidRDefault="00A156A8" w:rsidP="00CF3DB4">
          <w:pPr>
            <w:rPr>
              <w:rFonts w:ascii="Arial" w:hAnsi="Arial" w:cs="Arial"/>
              <w:sz w:val="28"/>
              <w:szCs w:val="28"/>
            </w:rPr>
          </w:pPr>
          <w:r>
            <w:rPr>
              <w:rFonts w:ascii="Arial" w:hAnsi="Arial" w:cs="Arial"/>
              <w:sz w:val="28"/>
              <w:szCs w:val="28"/>
            </w:rPr>
            <w:t>TITLE:   Preparation of Combined</w:t>
          </w:r>
          <w:r w:rsidR="00BD1191" w:rsidRPr="003B6C68">
            <w:rPr>
              <w:rFonts w:ascii="Arial" w:hAnsi="Arial" w:cs="Arial"/>
              <w:sz w:val="28"/>
              <w:szCs w:val="28"/>
            </w:rPr>
            <w:t xml:space="preserve"> Platelets</w:t>
          </w:r>
          <w:r>
            <w:rPr>
              <w:rFonts w:ascii="Arial" w:hAnsi="Arial" w:cs="Arial"/>
              <w:sz w:val="28"/>
              <w:szCs w:val="28"/>
            </w:rPr>
            <w:t xml:space="preserve"> in Sunquest</w:t>
          </w:r>
        </w:p>
      </w:tc>
    </w:tr>
  </w:tbl>
  <w:p w:rsidR="00BD1191" w:rsidRDefault="00BD11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F36"/>
    <w:multiLevelType w:val="hybridMultilevel"/>
    <w:tmpl w:val="880A7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3C71D9"/>
    <w:multiLevelType w:val="hybridMultilevel"/>
    <w:tmpl w:val="EAB84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03D57"/>
    <w:multiLevelType w:val="hybridMultilevel"/>
    <w:tmpl w:val="D408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nsid w:val="20A34684"/>
    <w:multiLevelType w:val="hybridMultilevel"/>
    <w:tmpl w:val="3890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123296"/>
    <w:multiLevelType w:val="hybridMultilevel"/>
    <w:tmpl w:val="A23C6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B76751"/>
    <w:multiLevelType w:val="hybridMultilevel"/>
    <w:tmpl w:val="A6FA53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4E27ED"/>
    <w:multiLevelType w:val="hybridMultilevel"/>
    <w:tmpl w:val="8D80DB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8FE5494"/>
    <w:multiLevelType w:val="hybridMultilevel"/>
    <w:tmpl w:val="8692FE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6D2CA0"/>
    <w:multiLevelType w:val="hybridMultilevel"/>
    <w:tmpl w:val="F3082F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256599F"/>
    <w:multiLevelType w:val="hybridMultilevel"/>
    <w:tmpl w:val="8442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87068"/>
    <w:multiLevelType w:val="hybridMultilevel"/>
    <w:tmpl w:val="AAB097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D62092"/>
    <w:multiLevelType w:val="hybridMultilevel"/>
    <w:tmpl w:val="AE546B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825CB0"/>
    <w:multiLevelType w:val="hybridMultilevel"/>
    <w:tmpl w:val="EF82E3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534529"/>
    <w:multiLevelType w:val="hybridMultilevel"/>
    <w:tmpl w:val="D8362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BD71B8"/>
    <w:multiLevelType w:val="hybridMultilevel"/>
    <w:tmpl w:val="DA8C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0A53C4"/>
    <w:multiLevelType w:val="hybridMultilevel"/>
    <w:tmpl w:val="74DC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CF3E18"/>
    <w:multiLevelType w:val="hybridMultilevel"/>
    <w:tmpl w:val="ACE43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B5243B"/>
    <w:multiLevelType w:val="hybridMultilevel"/>
    <w:tmpl w:val="D3A4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3F276D"/>
    <w:multiLevelType w:val="hybridMultilevel"/>
    <w:tmpl w:val="7B90C0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7FC069D"/>
    <w:multiLevelType w:val="hybridMultilevel"/>
    <w:tmpl w:val="92205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0062B0"/>
    <w:multiLevelType w:val="hybridMultilevel"/>
    <w:tmpl w:val="7A1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6B15DB"/>
    <w:multiLevelType w:val="hybridMultilevel"/>
    <w:tmpl w:val="5E60F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51300"/>
    <w:multiLevelType w:val="hybridMultilevel"/>
    <w:tmpl w:val="DE085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27"/>
  </w:num>
  <w:num w:numId="4">
    <w:abstractNumId w:val="38"/>
  </w:num>
  <w:num w:numId="5">
    <w:abstractNumId w:val="42"/>
  </w:num>
  <w:num w:numId="6">
    <w:abstractNumId w:val="22"/>
  </w:num>
  <w:num w:numId="7">
    <w:abstractNumId w:val="24"/>
  </w:num>
  <w:num w:numId="8">
    <w:abstractNumId w:val="40"/>
  </w:num>
  <w:num w:numId="9">
    <w:abstractNumId w:val="34"/>
  </w:num>
  <w:num w:numId="10">
    <w:abstractNumId w:val="18"/>
  </w:num>
  <w:num w:numId="11">
    <w:abstractNumId w:val="3"/>
  </w:num>
  <w:num w:numId="12">
    <w:abstractNumId w:val="15"/>
  </w:num>
  <w:num w:numId="13">
    <w:abstractNumId w:val="19"/>
  </w:num>
  <w:num w:numId="14">
    <w:abstractNumId w:val="39"/>
  </w:num>
  <w:num w:numId="15">
    <w:abstractNumId w:val="16"/>
  </w:num>
  <w:num w:numId="16">
    <w:abstractNumId w:val="37"/>
  </w:num>
  <w:num w:numId="17">
    <w:abstractNumId w:val="12"/>
  </w:num>
  <w:num w:numId="18">
    <w:abstractNumId w:val="2"/>
  </w:num>
  <w:num w:numId="19">
    <w:abstractNumId w:val="25"/>
  </w:num>
  <w:num w:numId="20">
    <w:abstractNumId w:val="33"/>
  </w:num>
  <w:num w:numId="21">
    <w:abstractNumId w:val="6"/>
  </w:num>
  <w:num w:numId="22">
    <w:abstractNumId w:val="10"/>
  </w:num>
  <w:num w:numId="23">
    <w:abstractNumId w:val="0"/>
  </w:num>
  <w:num w:numId="24">
    <w:abstractNumId w:val="41"/>
  </w:num>
  <w:num w:numId="25">
    <w:abstractNumId w:val="21"/>
  </w:num>
  <w:num w:numId="26">
    <w:abstractNumId w:val="9"/>
  </w:num>
  <w:num w:numId="27">
    <w:abstractNumId w:val="17"/>
  </w:num>
  <w:num w:numId="28">
    <w:abstractNumId w:val="13"/>
  </w:num>
  <w:num w:numId="29">
    <w:abstractNumId w:val="14"/>
  </w:num>
  <w:num w:numId="30">
    <w:abstractNumId w:val="4"/>
  </w:num>
  <w:num w:numId="31">
    <w:abstractNumId w:val="28"/>
  </w:num>
  <w:num w:numId="32">
    <w:abstractNumId w:val="30"/>
  </w:num>
  <w:num w:numId="33">
    <w:abstractNumId w:val="36"/>
  </w:num>
  <w:num w:numId="34">
    <w:abstractNumId w:val="26"/>
  </w:num>
  <w:num w:numId="35">
    <w:abstractNumId w:val="8"/>
  </w:num>
  <w:num w:numId="36">
    <w:abstractNumId w:val="29"/>
  </w:num>
  <w:num w:numId="37">
    <w:abstractNumId w:val="7"/>
  </w:num>
  <w:num w:numId="38">
    <w:abstractNumId w:val="35"/>
  </w:num>
  <w:num w:numId="39">
    <w:abstractNumId w:val="1"/>
  </w:num>
  <w:num w:numId="40">
    <w:abstractNumId w:val="31"/>
  </w:num>
  <w:num w:numId="41">
    <w:abstractNumId w:val="20"/>
  </w:num>
  <w:num w:numId="42">
    <w:abstractNumId w:val="5"/>
  </w:num>
  <w:num w:numId="43">
    <w:abstractNumId w:val="23"/>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2D0"/>
    <w:rsid w:val="00011D3C"/>
    <w:rsid w:val="00015CF7"/>
    <w:rsid w:val="0003006C"/>
    <w:rsid w:val="00042196"/>
    <w:rsid w:val="00057968"/>
    <w:rsid w:val="000628FD"/>
    <w:rsid w:val="000644BB"/>
    <w:rsid w:val="0008052B"/>
    <w:rsid w:val="000A01D2"/>
    <w:rsid w:val="000C1599"/>
    <w:rsid w:val="000C350A"/>
    <w:rsid w:val="000D1122"/>
    <w:rsid w:val="000D3AA8"/>
    <w:rsid w:val="000D61D0"/>
    <w:rsid w:val="000E2BD9"/>
    <w:rsid w:val="000F6254"/>
    <w:rsid w:val="00116256"/>
    <w:rsid w:val="00116AD2"/>
    <w:rsid w:val="001626D4"/>
    <w:rsid w:val="00163954"/>
    <w:rsid w:val="001675B9"/>
    <w:rsid w:val="001675E3"/>
    <w:rsid w:val="001810FE"/>
    <w:rsid w:val="00195C6B"/>
    <w:rsid w:val="001B010E"/>
    <w:rsid w:val="001B6274"/>
    <w:rsid w:val="001C1A58"/>
    <w:rsid w:val="001D3478"/>
    <w:rsid w:val="001F008B"/>
    <w:rsid w:val="001F0DD8"/>
    <w:rsid w:val="00230B8B"/>
    <w:rsid w:val="00235054"/>
    <w:rsid w:val="002359B1"/>
    <w:rsid w:val="00247DFF"/>
    <w:rsid w:val="002509DC"/>
    <w:rsid w:val="00252AEF"/>
    <w:rsid w:val="002560DF"/>
    <w:rsid w:val="00265E94"/>
    <w:rsid w:val="00282F47"/>
    <w:rsid w:val="0028748B"/>
    <w:rsid w:val="00290707"/>
    <w:rsid w:val="002975BE"/>
    <w:rsid w:val="002B4D8D"/>
    <w:rsid w:val="002E093D"/>
    <w:rsid w:val="002F6978"/>
    <w:rsid w:val="003054B1"/>
    <w:rsid w:val="003260AA"/>
    <w:rsid w:val="00334C49"/>
    <w:rsid w:val="0035411D"/>
    <w:rsid w:val="00384BC1"/>
    <w:rsid w:val="003B0CA8"/>
    <w:rsid w:val="003B6C68"/>
    <w:rsid w:val="003C23C5"/>
    <w:rsid w:val="003D4D69"/>
    <w:rsid w:val="003D6B55"/>
    <w:rsid w:val="003E7609"/>
    <w:rsid w:val="003F431B"/>
    <w:rsid w:val="00403EE6"/>
    <w:rsid w:val="0040504C"/>
    <w:rsid w:val="0046398A"/>
    <w:rsid w:val="004772D0"/>
    <w:rsid w:val="00481216"/>
    <w:rsid w:val="00490E5B"/>
    <w:rsid w:val="00494CCB"/>
    <w:rsid w:val="004B2B73"/>
    <w:rsid w:val="004B5804"/>
    <w:rsid w:val="004C76F5"/>
    <w:rsid w:val="004D0823"/>
    <w:rsid w:val="004D0FCF"/>
    <w:rsid w:val="004D2F89"/>
    <w:rsid w:val="004F2BA5"/>
    <w:rsid w:val="0050385D"/>
    <w:rsid w:val="00516C61"/>
    <w:rsid w:val="00527332"/>
    <w:rsid w:val="00570D63"/>
    <w:rsid w:val="0058327E"/>
    <w:rsid w:val="00591718"/>
    <w:rsid w:val="005F197C"/>
    <w:rsid w:val="005F679D"/>
    <w:rsid w:val="00603F7B"/>
    <w:rsid w:val="0067128E"/>
    <w:rsid w:val="00680F8C"/>
    <w:rsid w:val="00684A60"/>
    <w:rsid w:val="0068670B"/>
    <w:rsid w:val="0068735F"/>
    <w:rsid w:val="006A7406"/>
    <w:rsid w:val="006C0162"/>
    <w:rsid w:val="006D428D"/>
    <w:rsid w:val="006F1B83"/>
    <w:rsid w:val="006F4D71"/>
    <w:rsid w:val="00716F9D"/>
    <w:rsid w:val="007239D8"/>
    <w:rsid w:val="00734EC8"/>
    <w:rsid w:val="00735673"/>
    <w:rsid w:val="007570E4"/>
    <w:rsid w:val="00763616"/>
    <w:rsid w:val="00780974"/>
    <w:rsid w:val="00784BEC"/>
    <w:rsid w:val="007870DD"/>
    <w:rsid w:val="007A7BDE"/>
    <w:rsid w:val="007C6D26"/>
    <w:rsid w:val="007D488A"/>
    <w:rsid w:val="007E131A"/>
    <w:rsid w:val="007E7F28"/>
    <w:rsid w:val="007F069B"/>
    <w:rsid w:val="00807373"/>
    <w:rsid w:val="0081755E"/>
    <w:rsid w:val="0083386C"/>
    <w:rsid w:val="00846D02"/>
    <w:rsid w:val="00895EDF"/>
    <w:rsid w:val="00896614"/>
    <w:rsid w:val="008C6EAE"/>
    <w:rsid w:val="008F4A86"/>
    <w:rsid w:val="00914D10"/>
    <w:rsid w:val="00930B15"/>
    <w:rsid w:val="009346D7"/>
    <w:rsid w:val="009464BA"/>
    <w:rsid w:val="00956E87"/>
    <w:rsid w:val="00960E7B"/>
    <w:rsid w:val="00962215"/>
    <w:rsid w:val="00974A73"/>
    <w:rsid w:val="00991BDD"/>
    <w:rsid w:val="00991FA5"/>
    <w:rsid w:val="00995C87"/>
    <w:rsid w:val="00996B12"/>
    <w:rsid w:val="009A7473"/>
    <w:rsid w:val="009C5785"/>
    <w:rsid w:val="009F2786"/>
    <w:rsid w:val="00A110D1"/>
    <w:rsid w:val="00A134F7"/>
    <w:rsid w:val="00A156A8"/>
    <w:rsid w:val="00A20BC1"/>
    <w:rsid w:val="00A22091"/>
    <w:rsid w:val="00A23C38"/>
    <w:rsid w:val="00A24DC6"/>
    <w:rsid w:val="00A3117D"/>
    <w:rsid w:val="00A533EB"/>
    <w:rsid w:val="00A53601"/>
    <w:rsid w:val="00A64079"/>
    <w:rsid w:val="00A93A1A"/>
    <w:rsid w:val="00AB1F84"/>
    <w:rsid w:val="00AE74E5"/>
    <w:rsid w:val="00AF2B7D"/>
    <w:rsid w:val="00B00DD8"/>
    <w:rsid w:val="00B44706"/>
    <w:rsid w:val="00B467D6"/>
    <w:rsid w:val="00B50027"/>
    <w:rsid w:val="00B72630"/>
    <w:rsid w:val="00B771D8"/>
    <w:rsid w:val="00B92900"/>
    <w:rsid w:val="00B949AB"/>
    <w:rsid w:val="00B94FE2"/>
    <w:rsid w:val="00B972E0"/>
    <w:rsid w:val="00BA40AB"/>
    <w:rsid w:val="00BC3B90"/>
    <w:rsid w:val="00BC68FF"/>
    <w:rsid w:val="00BD0A9D"/>
    <w:rsid w:val="00BD1191"/>
    <w:rsid w:val="00BD661F"/>
    <w:rsid w:val="00BE4A51"/>
    <w:rsid w:val="00BF7CCF"/>
    <w:rsid w:val="00C01713"/>
    <w:rsid w:val="00C10F26"/>
    <w:rsid w:val="00C11E16"/>
    <w:rsid w:val="00C34280"/>
    <w:rsid w:val="00C447BA"/>
    <w:rsid w:val="00C64D46"/>
    <w:rsid w:val="00CE12BC"/>
    <w:rsid w:val="00CE7F93"/>
    <w:rsid w:val="00CF26C6"/>
    <w:rsid w:val="00CF3DB4"/>
    <w:rsid w:val="00D01574"/>
    <w:rsid w:val="00D0273C"/>
    <w:rsid w:val="00D0508D"/>
    <w:rsid w:val="00D0540E"/>
    <w:rsid w:val="00D12039"/>
    <w:rsid w:val="00D22467"/>
    <w:rsid w:val="00D35071"/>
    <w:rsid w:val="00D44497"/>
    <w:rsid w:val="00D63CA6"/>
    <w:rsid w:val="00D84E8B"/>
    <w:rsid w:val="00DA6A78"/>
    <w:rsid w:val="00DC02B5"/>
    <w:rsid w:val="00DC11CD"/>
    <w:rsid w:val="00DF09FE"/>
    <w:rsid w:val="00E004A7"/>
    <w:rsid w:val="00E179CC"/>
    <w:rsid w:val="00E2710B"/>
    <w:rsid w:val="00E33610"/>
    <w:rsid w:val="00E539F9"/>
    <w:rsid w:val="00E55457"/>
    <w:rsid w:val="00EA449E"/>
    <w:rsid w:val="00EA65AD"/>
    <w:rsid w:val="00EC113A"/>
    <w:rsid w:val="00ED15DA"/>
    <w:rsid w:val="00ED779E"/>
    <w:rsid w:val="00EE2A0E"/>
    <w:rsid w:val="00F01873"/>
    <w:rsid w:val="00F05D92"/>
    <w:rsid w:val="00F34596"/>
    <w:rsid w:val="00F409AC"/>
    <w:rsid w:val="00F521EE"/>
    <w:rsid w:val="00F53E43"/>
    <w:rsid w:val="00F57092"/>
    <w:rsid w:val="00F6240F"/>
    <w:rsid w:val="00F86E20"/>
    <w:rsid w:val="00FB00A8"/>
    <w:rsid w:val="00FB363B"/>
    <w:rsid w:val="00FD5D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901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560</Words>
  <Characters>2745</Characters>
  <Application>Microsoft Office Word</Application>
  <DocSecurity>0</DocSecurity>
  <Lines>22</Lines>
  <Paragraphs>6</Paragraphs>
  <ScaleCrop>false</ScaleCrop>
  <Company>University of Washington</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8</cp:revision>
  <cp:lastPrinted>2011-03-24T20:51:00Z</cp:lastPrinted>
  <dcterms:created xsi:type="dcterms:W3CDTF">2011-03-21T23:28:00Z</dcterms:created>
  <dcterms:modified xsi:type="dcterms:W3CDTF">2011-05-23T18:57:00Z</dcterms:modified>
</cp:coreProperties>
</file>