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40" w:rsidRDefault="00C20540" w:rsidP="003D07EA">
      <w:pPr>
        <w:jc w:val="center"/>
      </w:pPr>
      <w:r>
        <w:t>Transfusion Service Laboratory Staff Meeting Minutes</w:t>
      </w:r>
    </w:p>
    <w:p w:rsidR="00C20540" w:rsidRDefault="00974734" w:rsidP="006D01B8">
      <w:pPr>
        <w:spacing w:after="0" w:line="240" w:lineRule="auto"/>
        <w:rPr>
          <w:b/>
          <w:sz w:val="28"/>
          <w:szCs w:val="28"/>
        </w:rPr>
      </w:pPr>
      <w:r>
        <w:rPr>
          <w:b/>
          <w:sz w:val="28"/>
          <w:szCs w:val="28"/>
        </w:rPr>
        <w:t xml:space="preserve">April </w:t>
      </w:r>
      <w:bookmarkStart w:id="0" w:name="_GoBack"/>
      <w:bookmarkEnd w:id="0"/>
      <w:r w:rsidR="00C20540" w:rsidRPr="00C20540">
        <w:rPr>
          <w:b/>
          <w:sz w:val="28"/>
          <w:szCs w:val="28"/>
        </w:rPr>
        <w:t xml:space="preserve">Staff Meetings held at 1500 on </w:t>
      </w:r>
      <w:r w:rsidR="008F0A18">
        <w:rPr>
          <w:b/>
          <w:sz w:val="28"/>
          <w:szCs w:val="28"/>
        </w:rPr>
        <w:t>Tuesday</w:t>
      </w:r>
      <w:r w:rsidR="00C20540" w:rsidRPr="00C20540">
        <w:rPr>
          <w:b/>
          <w:sz w:val="28"/>
          <w:szCs w:val="28"/>
        </w:rPr>
        <w:t xml:space="preserve">, </w:t>
      </w:r>
      <w:r w:rsidR="008F0A18">
        <w:rPr>
          <w:b/>
          <w:sz w:val="28"/>
          <w:szCs w:val="28"/>
        </w:rPr>
        <w:t>April 30</w:t>
      </w:r>
      <w:r w:rsidR="008F0A18" w:rsidRPr="008F0A18">
        <w:rPr>
          <w:b/>
          <w:sz w:val="28"/>
          <w:szCs w:val="28"/>
          <w:vertAlign w:val="superscript"/>
        </w:rPr>
        <w:t>th</w:t>
      </w:r>
      <w:r w:rsidR="008F0A18">
        <w:rPr>
          <w:b/>
          <w:sz w:val="28"/>
          <w:szCs w:val="28"/>
        </w:rPr>
        <w:t xml:space="preserve"> and 0700 on Wednesday, May 1</w:t>
      </w:r>
      <w:r w:rsidR="008F0A18" w:rsidRPr="008F0A18">
        <w:rPr>
          <w:b/>
          <w:sz w:val="28"/>
          <w:szCs w:val="28"/>
          <w:vertAlign w:val="superscript"/>
        </w:rPr>
        <w:t>st</w:t>
      </w:r>
    </w:p>
    <w:p w:rsidR="008F0A18" w:rsidRPr="00C20540" w:rsidRDefault="008F0A18" w:rsidP="006D01B8">
      <w:pPr>
        <w:spacing w:after="0" w:line="240" w:lineRule="auto"/>
        <w:rPr>
          <w:b/>
          <w:sz w:val="28"/>
          <w:szCs w:val="28"/>
        </w:rPr>
      </w:pPr>
    </w:p>
    <w:p w:rsidR="00C20540" w:rsidRPr="003D07EA" w:rsidRDefault="003D07EA" w:rsidP="006D01B8">
      <w:pPr>
        <w:spacing w:after="0" w:line="240" w:lineRule="auto"/>
        <w:rPr>
          <w:b/>
          <w:u w:val="single"/>
        </w:rPr>
      </w:pPr>
      <w:r>
        <w:rPr>
          <w:b/>
          <w:u w:val="single"/>
        </w:rPr>
        <w:t>Agenda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88"/>
      </w:tblGrid>
      <w:tr w:rsidR="00C20540" w:rsidRPr="003D07EA" w:rsidTr="00974734">
        <w:tc>
          <w:tcPr>
            <w:tcW w:w="2088" w:type="dxa"/>
            <w:shd w:val="clear" w:color="auto" w:fill="C4BC96"/>
            <w:vAlign w:val="center"/>
          </w:tcPr>
          <w:p w:rsidR="00C20540" w:rsidRPr="005E3363" w:rsidRDefault="00C20540" w:rsidP="003D07EA">
            <w:pPr>
              <w:rPr>
                <w:b/>
                <w:sz w:val="24"/>
                <w:szCs w:val="24"/>
              </w:rPr>
            </w:pPr>
            <w:r w:rsidRPr="005E3363">
              <w:rPr>
                <w:b/>
                <w:sz w:val="24"/>
                <w:szCs w:val="24"/>
              </w:rPr>
              <w:t>Item</w:t>
            </w:r>
          </w:p>
        </w:tc>
        <w:tc>
          <w:tcPr>
            <w:tcW w:w="7488" w:type="dxa"/>
            <w:shd w:val="clear" w:color="auto" w:fill="C4BC96"/>
          </w:tcPr>
          <w:p w:rsidR="00C20540" w:rsidRPr="005E3363" w:rsidRDefault="00C20540" w:rsidP="00C20540">
            <w:pPr>
              <w:rPr>
                <w:b/>
                <w:sz w:val="24"/>
                <w:szCs w:val="24"/>
              </w:rPr>
            </w:pPr>
            <w:r w:rsidRPr="005E3363">
              <w:rPr>
                <w:b/>
                <w:sz w:val="24"/>
                <w:szCs w:val="24"/>
              </w:rPr>
              <w:t>Discussion</w:t>
            </w:r>
          </w:p>
        </w:tc>
      </w:tr>
      <w:tr w:rsidR="00C20540" w:rsidTr="005E3363">
        <w:tc>
          <w:tcPr>
            <w:tcW w:w="2088" w:type="dxa"/>
            <w:vAlign w:val="center"/>
          </w:tcPr>
          <w:p w:rsidR="00C20540" w:rsidRPr="005E3363" w:rsidRDefault="00C20540" w:rsidP="003D07EA">
            <w:pPr>
              <w:rPr>
                <w:b/>
                <w:sz w:val="20"/>
                <w:szCs w:val="20"/>
              </w:rPr>
            </w:pPr>
            <w:r w:rsidRPr="005E3363">
              <w:rPr>
                <w:b/>
                <w:sz w:val="20"/>
                <w:szCs w:val="20"/>
              </w:rPr>
              <w:t>Welcome</w:t>
            </w:r>
          </w:p>
        </w:tc>
        <w:tc>
          <w:tcPr>
            <w:tcW w:w="7488" w:type="dxa"/>
          </w:tcPr>
          <w:p w:rsidR="00C20540" w:rsidRPr="005E3363" w:rsidRDefault="00C20540" w:rsidP="00C20540">
            <w:pPr>
              <w:rPr>
                <w:sz w:val="20"/>
                <w:szCs w:val="20"/>
              </w:rPr>
            </w:pPr>
            <w:r w:rsidRPr="005E3363">
              <w:rPr>
                <w:sz w:val="20"/>
                <w:szCs w:val="20"/>
              </w:rPr>
              <w:t>Brenda Hayden, TSL Manager, welcomed staff.</w:t>
            </w:r>
          </w:p>
        </w:tc>
      </w:tr>
      <w:tr w:rsidR="00C20540" w:rsidTr="005E3363">
        <w:tc>
          <w:tcPr>
            <w:tcW w:w="2088" w:type="dxa"/>
            <w:vAlign w:val="center"/>
          </w:tcPr>
          <w:p w:rsidR="00C20540" w:rsidRPr="005E3363" w:rsidRDefault="008F0A18" w:rsidP="008F0A18">
            <w:pPr>
              <w:spacing w:after="0"/>
              <w:rPr>
                <w:b/>
                <w:sz w:val="20"/>
                <w:szCs w:val="20"/>
              </w:rPr>
            </w:pPr>
            <w:r>
              <w:rPr>
                <w:b/>
                <w:sz w:val="20"/>
                <w:szCs w:val="20"/>
              </w:rPr>
              <w:t>Sunquest Upgrade</w:t>
            </w:r>
          </w:p>
        </w:tc>
        <w:tc>
          <w:tcPr>
            <w:tcW w:w="7488" w:type="dxa"/>
          </w:tcPr>
          <w:p w:rsidR="00C20540" w:rsidRDefault="00EC6C38" w:rsidP="008F0A18">
            <w:pPr>
              <w:spacing w:after="0" w:line="240" w:lineRule="auto"/>
              <w:rPr>
                <w:sz w:val="20"/>
                <w:szCs w:val="20"/>
              </w:rPr>
            </w:pPr>
            <w:r>
              <w:rPr>
                <w:sz w:val="20"/>
                <w:szCs w:val="20"/>
              </w:rPr>
              <w:t>GO LIVE</w:t>
            </w:r>
            <w:r w:rsidR="008F0A18">
              <w:rPr>
                <w:sz w:val="20"/>
                <w:szCs w:val="20"/>
              </w:rPr>
              <w:t xml:space="preserve"> is June 30</w:t>
            </w:r>
            <w:r w:rsidR="008F0A18" w:rsidRPr="008F0A18">
              <w:rPr>
                <w:sz w:val="20"/>
                <w:szCs w:val="20"/>
                <w:vertAlign w:val="superscript"/>
              </w:rPr>
              <w:t>th</w:t>
            </w:r>
            <w:r w:rsidR="008F0A18">
              <w:rPr>
                <w:sz w:val="20"/>
                <w:szCs w:val="20"/>
              </w:rPr>
              <w:t>.</w:t>
            </w:r>
          </w:p>
          <w:p w:rsidR="008F0A18" w:rsidRDefault="008F0A18" w:rsidP="008F0A18">
            <w:pPr>
              <w:spacing w:after="0" w:line="240" w:lineRule="auto"/>
              <w:rPr>
                <w:sz w:val="20"/>
                <w:szCs w:val="20"/>
              </w:rPr>
            </w:pPr>
            <w:r>
              <w:rPr>
                <w:sz w:val="20"/>
                <w:szCs w:val="20"/>
              </w:rPr>
              <w:t>There will be numerous SOP changes in MTS.</w:t>
            </w:r>
          </w:p>
          <w:p w:rsidR="008F0A18" w:rsidRDefault="008F0A18" w:rsidP="008F0A18">
            <w:pPr>
              <w:spacing w:after="0" w:line="240" w:lineRule="auto"/>
              <w:rPr>
                <w:sz w:val="20"/>
                <w:szCs w:val="20"/>
              </w:rPr>
            </w:pPr>
            <w:r>
              <w:rPr>
                <w:sz w:val="20"/>
                <w:szCs w:val="20"/>
              </w:rPr>
              <w:t>Training will take place in June.</w:t>
            </w:r>
          </w:p>
          <w:p w:rsidR="008F0A18" w:rsidRDefault="008F0A18" w:rsidP="008F0A18">
            <w:pPr>
              <w:spacing w:after="0" w:line="240" w:lineRule="auto"/>
              <w:rPr>
                <w:sz w:val="20"/>
                <w:szCs w:val="20"/>
              </w:rPr>
            </w:pPr>
            <w:r>
              <w:rPr>
                <w:sz w:val="20"/>
                <w:szCs w:val="20"/>
              </w:rPr>
              <w:t>Computer</w:t>
            </w:r>
            <w:r w:rsidR="00EC6C38">
              <w:rPr>
                <w:sz w:val="20"/>
                <w:szCs w:val="20"/>
              </w:rPr>
              <w:t>s</w:t>
            </w:r>
            <w:r>
              <w:rPr>
                <w:sz w:val="20"/>
                <w:szCs w:val="20"/>
              </w:rPr>
              <w:t xml:space="preserve"> on lab back wall have the new version loaded to them.  There is no access to the current version of Sunquest at those two computers.</w:t>
            </w:r>
          </w:p>
          <w:p w:rsidR="008F0A18" w:rsidRPr="005E3363" w:rsidRDefault="008F0A18" w:rsidP="008F0A18">
            <w:pPr>
              <w:spacing w:after="0" w:line="240" w:lineRule="auto"/>
              <w:rPr>
                <w:sz w:val="20"/>
                <w:szCs w:val="20"/>
              </w:rPr>
            </w:pPr>
          </w:p>
        </w:tc>
      </w:tr>
      <w:tr w:rsidR="00C20540" w:rsidTr="005E3363">
        <w:tc>
          <w:tcPr>
            <w:tcW w:w="2088" w:type="dxa"/>
            <w:vAlign w:val="center"/>
          </w:tcPr>
          <w:p w:rsidR="00C20540" w:rsidRPr="005E3363" w:rsidRDefault="008F0A18" w:rsidP="003D07EA">
            <w:pPr>
              <w:rPr>
                <w:b/>
                <w:sz w:val="20"/>
                <w:szCs w:val="20"/>
              </w:rPr>
            </w:pPr>
            <w:r>
              <w:rPr>
                <w:b/>
                <w:sz w:val="20"/>
                <w:szCs w:val="20"/>
              </w:rPr>
              <w:t>CAP Inspection</w:t>
            </w:r>
          </w:p>
        </w:tc>
        <w:tc>
          <w:tcPr>
            <w:tcW w:w="7488" w:type="dxa"/>
          </w:tcPr>
          <w:p w:rsidR="00C20540" w:rsidRDefault="008F0A18" w:rsidP="00C20540">
            <w:pPr>
              <w:rPr>
                <w:sz w:val="20"/>
                <w:szCs w:val="20"/>
              </w:rPr>
            </w:pPr>
            <w:r>
              <w:rPr>
                <w:sz w:val="20"/>
                <w:szCs w:val="20"/>
              </w:rPr>
              <w:t>Our wi</w:t>
            </w:r>
            <w:r w:rsidR="00EC6C38">
              <w:rPr>
                <w:sz w:val="20"/>
                <w:szCs w:val="20"/>
              </w:rPr>
              <w:t xml:space="preserve">ndow for inspection is June, </w:t>
            </w:r>
            <w:r>
              <w:rPr>
                <w:sz w:val="20"/>
                <w:szCs w:val="20"/>
              </w:rPr>
              <w:t>July</w:t>
            </w:r>
            <w:r w:rsidR="00EC6C38">
              <w:rPr>
                <w:sz w:val="20"/>
                <w:szCs w:val="20"/>
              </w:rPr>
              <w:t>, and August</w:t>
            </w:r>
            <w:r>
              <w:rPr>
                <w:sz w:val="20"/>
                <w:szCs w:val="20"/>
              </w:rPr>
              <w:t>.  They could show up anytime during those months.  Stephanie is working with staff to complete the self-inspection, compile the documentation, and prepare a list of deficiencies to be addressed in May.  Beth is working on the safety portion of the CAP self-inspection list.</w:t>
            </w:r>
          </w:p>
          <w:p w:rsidR="008F0A18" w:rsidRPr="005E3363" w:rsidRDefault="008F0A18" w:rsidP="00EC6C38">
            <w:pPr>
              <w:rPr>
                <w:sz w:val="20"/>
                <w:szCs w:val="20"/>
              </w:rPr>
            </w:pPr>
            <w:r>
              <w:rPr>
                <w:sz w:val="20"/>
                <w:szCs w:val="20"/>
              </w:rPr>
              <w:t>Everyone must be prepared to answer the inspector’s questions, be observed by the inspector, and participate in the inspection.</w:t>
            </w:r>
            <w:r w:rsidR="00EC6C38">
              <w:rPr>
                <w:sz w:val="20"/>
                <w:szCs w:val="20"/>
              </w:rPr>
              <w:t xml:space="preserve"> </w:t>
            </w:r>
            <w:r>
              <w:rPr>
                <w:sz w:val="20"/>
                <w:szCs w:val="20"/>
              </w:rPr>
              <w:t xml:space="preserve">  When answering inspector’s questions, do not volunteer extra information.  Answer the question as clearly and succinctly as possible. </w:t>
            </w:r>
            <w:r w:rsidR="00EC6C38">
              <w:rPr>
                <w:sz w:val="20"/>
                <w:szCs w:val="20"/>
              </w:rPr>
              <w:t xml:space="preserve">Don’t be afraid to ask the inspector to explain or rephrase a question you don’t think is clearly </w:t>
            </w:r>
            <w:proofErr w:type="gramStart"/>
            <w:r w:rsidR="00EC6C38">
              <w:rPr>
                <w:sz w:val="20"/>
                <w:szCs w:val="20"/>
              </w:rPr>
              <w:t>state</w:t>
            </w:r>
            <w:proofErr w:type="gramEnd"/>
            <w:r w:rsidR="00EC6C38">
              <w:rPr>
                <w:sz w:val="20"/>
                <w:szCs w:val="20"/>
              </w:rPr>
              <w:t xml:space="preserve">. </w:t>
            </w:r>
            <w:r>
              <w:rPr>
                <w:sz w:val="20"/>
                <w:szCs w:val="20"/>
              </w:rPr>
              <w:t xml:space="preserve"> Inspections are a process improvement opportunity for us as the inspector brings a fresh prospective to our laboratory.</w:t>
            </w:r>
          </w:p>
        </w:tc>
      </w:tr>
      <w:tr w:rsidR="00C20540" w:rsidTr="005E3363">
        <w:tc>
          <w:tcPr>
            <w:tcW w:w="2088" w:type="dxa"/>
            <w:vAlign w:val="center"/>
          </w:tcPr>
          <w:p w:rsidR="00C20540" w:rsidRPr="005E3363" w:rsidRDefault="008F0A18" w:rsidP="003D07EA">
            <w:pPr>
              <w:rPr>
                <w:b/>
                <w:sz w:val="20"/>
                <w:szCs w:val="20"/>
              </w:rPr>
            </w:pPr>
            <w:r>
              <w:rPr>
                <w:b/>
                <w:sz w:val="20"/>
                <w:szCs w:val="20"/>
              </w:rPr>
              <w:t>Portable Refrigerator Logs</w:t>
            </w:r>
          </w:p>
        </w:tc>
        <w:tc>
          <w:tcPr>
            <w:tcW w:w="7488" w:type="dxa"/>
          </w:tcPr>
          <w:p w:rsidR="00C20540" w:rsidRDefault="008F0A18" w:rsidP="00C20540">
            <w:pPr>
              <w:rPr>
                <w:sz w:val="20"/>
                <w:szCs w:val="20"/>
              </w:rPr>
            </w:pPr>
            <w:r>
              <w:rPr>
                <w:sz w:val="20"/>
                <w:szCs w:val="20"/>
              </w:rPr>
              <w:t>Three issues here:</w:t>
            </w:r>
          </w:p>
          <w:p w:rsidR="008F0A18" w:rsidRDefault="008F0A18" w:rsidP="00C20540">
            <w:pPr>
              <w:rPr>
                <w:sz w:val="20"/>
                <w:szCs w:val="20"/>
              </w:rPr>
            </w:pPr>
            <w:r>
              <w:rPr>
                <w:sz w:val="20"/>
                <w:szCs w:val="20"/>
              </w:rPr>
              <w:t>First:  nursing education about completing the log when the refrigerator is left with them.  Roxann has prepared training materials and job aids.  Nursing education has yet to be scheduled so we don’t know how fast we will see improvement on the logs.</w:t>
            </w:r>
          </w:p>
          <w:p w:rsidR="008F0A18" w:rsidRDefault="008F0A18" w:rsidP="00C20540">
            <w:pPr>
              <w:rPr>
                <w:sz w:val="20"/>
                <w:szCs w:val="20"/>
              </w:rPr>
            </w:pPr>
            <w:r>
              <w:rPr>
                <w:sz w:val="20"/>
                <w:szCs w:val="20"/>
              </w:rPr>
              <w:t xml:space="preserve">Second:  revisions have been made to the PBR log and the Trauma logs. </w:t>
            </w:r>
          </w:p>
          <w:p w:rsidR="008F0A18" w:rsidRPr="005E3363" w:rsidRDefault="008F0A18" w:rsidP="00C20540">
            <w:pPr>
              <w:rPr>
                <w:sz w:val="20"/>
                <w:szCs w:val="20"/>
              </w:rPr>
            </w:pPr>
            <w:r>
              <w:rPr>
                <w:sz w:val="20"/>
                <w:szCs w:val="20"/>
              </w:rPr>
              <w:t xml:space="preserve">Third:  a process improvement was discussed allowing TSL to use the PBR log as the BPR when delivering blood to a bleeding patient.  There is no reason to have two pieces of paper with the same unit numbers.  The PBR log can be stamped, read-back recorded on the PBR </w:t>
            </w:r>
            <w:proofErr w:type="spellStart"/>
            <w:r>
              <w:rPr>
                <w:sz w:val="20"/>
                <w:szCs w:val="20"/>
              </w:rPr>
              <w:t>log</w:t>
            </w:r>
            <w:proofErr w:type="spellEnd"/>
            <w:r>
              <w:rPr>
                <w:sz w:val="20"/>
                <w:szCs w:val="20"/>
              </w:rPr>
              <w:t xml:space="preserve">, and a copy placed in the BPR folder.  Give it a try!  SOP changes will be coming out soon so give your feedback to Brenda. </w:t>
            </w:r>
          </w:p>
        </w:tc>
      </w:tr>
      <w:tr w:rsidR="003D07EA" w:rsidTr="005E3363">
        <w:tc>
          <w:tcPr>
            <w:tcW w:w="2088" w:type="dxa"/>
            <w:vAlign w:val="center"/>
          </w:tcPr>
          <w:p w:rsidR="003D07EA" w:rsidRPr="005E3363" w:rsidRDefault="008F0A18" w:rsidP="003D07EA">
            <w:pPr>
              <w:rPr>
                <w:b/>
                <w:sz w:val="20"/>
                <w:szCs w:val="20"/>
              </w:rPr>
            </w:pPr>
            <w:r>
              <w:rPr>
                <w:b/>
                <w:sz w:val="20"/>
                <w:szCs w:val="20"/>
              </w:rPr>
              <w:t>TANGO DOWN due to clotted samples</w:t>
            </w:r>
          </w:p>
        </w:tc>
        <w:tc>
          <w:tcPr>
            <w:tcW w:w="7488" w:type="dxa"/>
          </w:tcPr>
          <w:p w:rsidR="003D07EA" w:rsidRDefault="008F0A18" w:rsidP="00634BEB">
            <w:pPr>
              <w:rPr>
                <w:sz w:val="20"/>
                <w:szCs w:val="20"/>
              </w:rPr>
            </w:pPr>
            <w:r>
              <w:rPr>
                <w:sz w:val="20"/>
                <w:szCs w:val="20"/>
              </w:rPr>
              <w:t>Every patient sample must have wooden stir sticks run around the sample prior to spinning to insure that no clotted samples get placed on the TANGO.</w:t>
            </w:r>
          </w:p>
          <w:p w:rsidR="008F0A18" w:rsidRPr="005E3363" w:rsidRDefault="008F0A18" w:rsidP="00634BEB">
            <w:pPr>
              <w:rPr>
                <w:sz w:val="20"/>
                <w:szCs w:val="20"/>
              </w:rPr>
            </w:pPr>
            <w:r>
              <w:rPr>
                <w:sz w:val="20"/>
                <w:szCs w:val="20"/>
              </w:rPr>
              <w:t>This is also true for donor segments.</w:t>
            </w:r>
          </w:p>
        </w:tc>
      </w:tr>
      <w:tr w:rsidR="0091419E" w:rsidRPr="003D07EA" w:rsidTr="00C675B3">
        <w:tc>
          <w:tcPr>
            <w:tcW w:w="2088" w:type="dxa"/>
            <w:shd w:val="clear" w:color="auto" w:fill="C4BC96"/>
            <w:vAlign w:val="center"/>
          </w:tcPr>
          <w:p w:rsidR="0091419E" w:rsidRPr="005E3363" w:rsidRDefault="0091419E" w:rsidP="00C675B3">
            <w:pPr>
              <w:rPr>
                <w:b/>
                <w:sz w:val="24"/>
                <w:szCs w:val="24"/>
              </w:rPr>
            </w:pPr>
            <w:r w:rsidRPr="005E3363">
              <w:rPr>
                <w:b/>
                <w:sz w:val="24"/>
                <w:szCs w:val="24"/>
              </w:rPr>
              <w:lastRenderedPageBreak/>
              <w:t>Item</w:t>
            </w:r>
          </w:p>
        </w:tc>
        <w:tc>
          <w:tcPr>
            <w:tcW w:w="7488" w:type="dxa"/>
            <w:shd w:val="clear" w:color="auto" w:fill="C4BC96"/>
          </w:tcPr>
          <w:p w:rsidR="0091419E" w:rsidRPr="005E3363" w:rsidRDefault="0091419E" w:rsidP="00C675B3">
            <w:pPr>
              <w:rPr>
                <w:b/>
                <w:sz w:val="24"/>
                <w:szCs w:val="24"/>
              </w:rPr>
            </w:pPr>
            <w:r w:rsidRPr="005E3363">
              <w:rPr>
                <w:b/>
                <w:sz w:val="24"/>
                <w:szCs w:val="24"/>
              </w:rPr>
              <w:t>Discussion</w:t>
            </w:r>
          </w:p>
        </w:tc>
      </w:tr>
      <w:tr w:rsidR="003D07EA" w:rsidTr="005E3363">
        <w:tc>
          <w:tcPr>
            <w:tcW w:w="2088" w:type="dxa"/>
            <w:vAlign w:val="center"/>
          </w:tcPr>
          <w:p w:rsidR="003D07EA" w:rsidRPr="005E3363" w:rsidRDefault="0091419E" w:rsidP="003D07EA">
            <w:pPr>
              <w:rPr>
                <w:b/>
                <w:sz w:val="20"/>
                <w:szCs w:val="20"/>
              </w:rPr>
            </w:pPr>
            <w:r>
              <w:rPr>
                <w:b/>
                <w:sz w:val="20"/>
                <w:szCs w:val="20"/>
              </w:rPr>
              <w:t>Staffing Things</w:t>
            </w:r>
          </w:p>
        </w:tc>
        <w:tc>
          <w:tcPr>
            <w:tcW w:w="7488" w:type="dxa"/>
          </w:tcPr>
          <w:p w:rsidR="003D07EA" w:rsidRDefault="0091419E" w:rsidP="00C20540">
            <w:pPr>
              <w:rPr>
                <w:sz w:val="20"/>
                <w:szCs w:val="20"/>
              </w:rPr>
            </w:pPr>
            <w:r>
              <w:rPr>
                <w:sz w:val="20"/>
                <w:szCs w:val="20"/>
              </w:rPr>
              <w:t>Brennan hired to replace Jennifer Widge on dayshift.  He will be starting May 13</w:t>
            </w:r>
            <w:r w:rsidRPr="0091419E">
              <w:rPr>
                <w:sz w:val="20"/>
                <w:szCs w:val="20"/>
                <w:vertAlign w:val="superscript"/>
              </w:rPr>
              <w:t>th</w:t>
            </w:r>
            <w:r>
              <w:rPr>
                <w:sz w:val="20"/>
                <w:szCs w:val="20"/>
              </w:rPr>
              <w:t>.</w:t>
            </w:r>
          </w:p>
          <w:p w:rsidR="0091419E" w:rsidRPr="005E3363" w:rsidRDefault="0091419E" w:rsidP="00C20540">
            <w:pPr>
              <w:rPr>
                <w:sz w:val="20"/>
                <w:szCs w:val="20"/>
              </w:rPr>
            </w:pPr>
            <w:r>
              <w:rPr>
                <w:sz w:val="20"/>
                <w:szCs w:val="20"/>
              </w:rPr>
              <w:t>Vacations have been approved.</w:t>
            </w:r>
          </w:p>
        </w:tc>
      </w:tr>
      <w:tr w:rsidR="00FC3CF1" w:rsidTr="005E3363">
        <w:tc>
          <w:tcPr>
            <w:tcW w:w="2088" w:type="dxa"/>
            <w:vAlign w:val="center"/>
          </w:tcPr>
          <w:p w:rsidR="00FC3CF1" w:rsidRDefault="0091419E" w:rsidP="003D07EA">
            <w:pPr>
              <w:rPr>
                <w:b/>
                <w:sz w:val="20"/>
                <w:szCs w:val="20"/>
              </w:rPr>
            </w:pPr>
            <w:r>
              <w:rPr>
                <w:b/>
                <w:sz w:val="20"/>
                <w:szCs w:val="20"/>
              </w:rPr>
              <w:t>Refrigerators</w:t>
            </w:r>
          </w:p>
        </w:tc>
        <w:tc>
          <w:tcPr>
            <w:tcW w:w="7488" w:type="dxa"/>
          </w:tcPr>
          <w:p w:rsidR="00FC3CF1" w:rsidRDefault="0091419E" w:rsidP="00C20540">
            <w:pPr>
              <w:rPr>
                <w:sz w:val="20"/>
                <w:szCs w:val="20"/>
              </w:rPr>
            </w:pPr>
            <w:r>
              <w:rPr>
                <w:sz w:val="20"/>
                <w:szCs w:val="20"/>
              </w:rPr>
              <w:t>Charts should start where they stop.  Do not dial back to midnight.</w:t>
            </w:r>
          </w:p>
          <w:p w:rsidR="0091419E" w:rsidRDefault="0091419E" w:rsidP="00C20540">
            <w:pPr>
              <w:rPr>
                <w:sz w:val="20"/>
                <w:szCs w:val="20"/>
              </w:rPr>
            </w:pPr>
            <w:proofErr w:type="spellStart"/>
            <w:r>
              <w:rPr>
                <w:sz w:val="20"/>
                <w:szCs w:val="20"/>
              </w:rPr>
              <w:t>TempChek</w:t>
            </w:r>
            <w:proofErr w:type="spellEnd"/>
            <w:r>
              <w:rPr>
                <w:sz w:val="20"/>
                <w:szCs w:val="20"/>
              </w:rPr>
              <w:t xml:space="preserve"> is coming as soon as Brenda finds out why some units don’t have their monitoring device.</w:t>
            </w:r>
            <w:r w:rsidR="00EC6C38">
              <w:rPr>
                <w:sz w:val="20"/>
                <w:szCs w:val="20"/>
              </w:rPr>
              <w:t xml:space="preserve">  Gen Lab is doing </w:t>
            </w:r>
            <w:proofErr w:type="spellStart"/>
            <w:r w:rsidR="00EC6C38">
              <w:rPr>
                <w:sz w:val="20"/>
                <w:szCs w:val="20"/>
              </w:rPr>
              <w:t>TempCheck</w:t>
            </w:r>
            <w:proofErr w:type="spellEnd"/>
            <w:r w:rsidR="00EC6C38">
              <w:rPr>
                <w:sz w:val="20"/>
                <w:szCs w:val="20"/>
              </w:rPr>
              <w:t xml:space="preserve"> already so we will start with their SOP.</w:t>
            </w:r>
          </w:p>
        </w:tc>
      </w:tr>
      <w:tr w:rsidR="006D01B8" w:rsidTr="0051655F">
        <w:tc>
          <w:tcPr>
            <w:tcW w:w="2088" w:type="dxa"/>
            <w:vAlign w:val="center"/>
          </w:tcPr>
          <w:p w:rsidR="006D01B8" w:rsidRDefault="0091419E" w:rsidP="0051655F">
            <w:pPr>
              <w:rPr>
                <w:b/>
                <w:sz w:val="20"/>
                <w:szCs w:val="20"/>
              </w:rPr>
            </w:pPr>
            <w:r>
              <w:rPr>
                <w:b/>
                <w:sz w:val="20"/>
                <w:szCs w:val="20"/>
              </w:rPr>
              <w:t>Heads Up!</w:t>
            </w:r>
          </w:p>
        </w:tc>
        <w:tc>
          <w:tcPr>
            <w:tcW w:w="7488" w:type="dxa"/>
          </w:tcPr>
          <w:p w:rsidR="006D01B8" w:rsidRDefault="0091419E" w:rsidP="0051655F">
            <w:pPr>
              <w:rPr>
                <w:sz w:val="20"/>
                <w:szCs w:val="20"/>
              </w:rPr>
            </w:pPr>
            <w:r>
              <w:rPr>
                <w:sz w:val="20"/>
                <w:szCs w:val="20"/>
              </w:rPr>
              <w:t>Be realistic – the times on samples can differ by a few minutes.  The year can be added if the nursing staff comes down and adds “/13” to the sample label.</w:t>
            </w:r>
          </w:p>
          <w:p w:rsidR="0091419E" w:rsidRDefault="0091419E" w:rsidP="0051655F">
            <w:pPr>
              <w:rPr>
                <w:sz w:val="20"/>
                <w:szCs w:val="20"/>
              </w:rPr>
            </w:pPr>
            <w:r>
              <w:rPr>
                <w:sz w:val="20"/>
                <w:szCs w:val="20"/>
              </w:rPr>
              <w:t>Do not use PSN level 6.  A mislabeled sample is not grounds for a widespread alert.</w:t>
            </w:r>
          </w:p>
          <w:p w:rsidR="0091419E" w:rsidRDefault="0091419E" w:rsidP="0051655F">
            <w:pPr>
              <w:rPr>
                <w:sz w:val="20"/>
                <w:szCs w:val="20"/>
              </w:rPr>
            </w:pPr>
            <w:r>
              <w:rPr>
                <w:sz w:val="20"/>
                <w:szCs w:val="20"/>
              </w:rPr>
              <w:t>SCCA flag was missed on a patient and an inappropriate product was transfused.  If you don’t know what the SCCA flag is or how to find it, talk to a Lead.  It was pointed out that you see it when searching BBI or BOP by HID but you don’t see it if you use the Accession number!!!</w:t>
            </w:r>
          </w:p>
        </w:tc>
      </w:tr>
      <w:tr w:rsidR="003D07EA" w:rsidTr="005E3363">
        <w:tc>
          <w:tcPr>
            <w:tcW w:w="2088" w:type="dxa"/>
            <w:vAlign w:val="center"/>
          </w:tcPr>
          <w:p w:rsidR="003D07EA" w:rsidRPr="005E3363" w:rsidRDefault="0091419E" w:rsidP="003D07EA">
            <w:pPr>
              <w:rPr>
                <w:b/>
                <w:sz w:val="20"/>
                <w:szCs w:val="20"/>
              </w:rPr>
            </w:pPr>
            <w:r>
              <w:rPr>
                <w:b/>
                <w:sz w:val="20"/>
                <w:szCs w:val="20"/>
              </w:rPr>
              <w:t>CPOE</w:t>
            </w:r>
          </w:p>
        </w:tc>
        <w:tc>
          <w:tcPr>
            <w:tcW w:w="7488" w:type="dxa"/>
          </w:tcPr>
          <w:p w:rsidR="002515E9" w:rsidRDefault="0091419E" w:rsidP="00C20540">
            <w:pPr>
              <w:rPr>
                <w:sz w:val="20"/>
                <w:szCs w:val="20"/>
              </w:rPr>
            </w:pPr>
            <w:r>
              <w:rPr>
                <w:sz w:val="20"/>
                <w:szCs w:val="20"/>
              </w:rPr>
              <w:t xml:space="preserve">MTP </w:t>
            </w:r>
            <w:r w:rsidR="00EC6C38">
              <w:rPr>
                <w:sz w:val="20"/>
                <w:szCs w:val="20"/>
              </w:rPr>
              <w:t xml:space="preserve">orders in CPOE </w:t>
            </w:r>
            <w:r>
              <w:rPr>
                <w:sz w:val="20"/>
                <w:szCs w:val="20"/>
              </w:rPr>
              <w:t>still has cryo – maybe 2-3 more weeks before that is fixed.</w:t>
            </w:r>
          </w:p>
          <w:p w:rsidR="0091419E" w:rsidRDefault="0091419E" w:rsidP="00C20540">
            <w:pPr>
              <w:rPr>
                <w:sz w:val="20"/>
                <w:szCs w:val="20"/>
              </w:rPr>
            </w:pPr>
            <w:r>
              <w:rPr>
                <w:sz w:val="20"/>
                <w:szCs w:val="20"/>
              </w:rPr>
              <w:t>We are not to help clinical staff with CPOE entry.  We aren’t trained.  They need to talk to ORCA help.</w:t>
            </w:r>
          </w:p>
          <w:p w:rsidR="0091419E" w:rsidRPr="005E3363" w:rsidRDefault="0091419E" w:rsidP="00C20540">
            <w:pPr>
              <w:rPr>
                <w:sz w:val="20"/>
                <w:szCs w:val="20"/>
              </w:rPr>
            </w:pPr>
            <w:r>
              <w:rPr>
                <w:sz w:val="20"/>
                <w:szCs w:val="20"/>
              </w:rPr>
              <w:t xml:space="preserve">There will be some name changes coming to CPOE concerning the differences between “Platelet ORDER” and “TRANSFUSE Platelet”.  We will be getting the printout when the order to </w:t>
            </w:r>
            <w:r w:rsidRPr="00EC6C38">
              <w:rPr>
                <w:b/>
                <w:sz w:val="20"/>
                <w:szCs w:val="20"/>
              </w:rPr>
              <w:t>transfuse</w:t>
            </w:r>
            <w:r>
              <w:rPr>
                <w:sz w:val="20"/>
                <w:szCs w:val="20"/>
              </w:rPr>
              <w:t xml:space="preserve"> is placed.  We will be </w:t>
            </w:r>
            <w:r w:rsidRPr="00EC6C38">
              <w:rPr>
                <w:b/>
                <w:sz w:val="20"/>
                <w:szCs w:val="20"/>
              </w:rPr>
              <w:t>matching it with the BPR</w:t>
            </w:r>
            <w:r>
              <w:rPr>
                <w:sz w:val="20"/>
                <w:szCs w:val="20"/>
              </w:rPr>
              <w:t xml:space="preserve"> to make sure an order to have “on hand” </w:t>
            </w:r>
            <w:proofErr w:type="gramStart"/>
            <w:r>
              <w:rPr>
                <w:sz w:val="20"/>
                <w:szCs w:val="20"/>
              </w:rPr>
              <w:t>wasn’t</w:t>
            </w:r>
            <w:proofErr w:type="gramEnd"/>
            <w:r>
              <w:rPr>
                <w:sz w:val="20"/>
                <w:szCs w:val="20"/>
              </w:rPr>
              <w:t xml:space="preserve"> confused with a transfusion order.</w:t>
            </w:r>
          </w:p>
        </w:tc>
      </w:tr>
      <w:tr w:rsidR="003D07EA" w:rsidTr="005E3363">
        <w:tc>
          <w:tcPr>
            <w:tcW w:w="2088" w:type="dxa"/>
            <w:vAlign w:val="center"/>
          </w:tcPr>
          <w:p w:rsidR="003D07EA" w:rsidRPr="005E3363" w:rsidRDefault="003D07EA" w:rsidP="003D07EA">
            <w:pPr>
              <w:rPr>
                <w:b/>
                <w:sz w:val="20"/>
                <w:szCs w:val="20"/>
              </w:rPr>
            </w:pPr>
          </w:p>
        </w:tc>
        <w:tc>
          <w:tcPr>
            <w:tcW w:w="7488" w:type="dxa"/>
          </w:tcPr>
          <w:p w:rsidR="002515E9" w:rsidRPr="005E3363" w:rsidRDefault="002515E9" w:rsidP="00C20540">
            <w:pPr>
              <w:rPr>
                <w:sz w:val="20"/>
                <w:szCs w:val="20"/>
              </w:rPr>
            </w:pPr>
          </w:p>
        </w:tc>
      </w:tr>
      <w:tr w:rsidR="002515E9" w:rsidTr="005E3363">
        <w:tc>
          <w:tcPr>
            <w:tcW w:w="2088" w:type="dxa"/>
            <w:vAlign w:val="center"/>
          </w:tcPr>
          <w:p w:rsidR="002515E9" w:rsidRDefault="0091419E" w:rsidP="003D07EA">
            <w:pPr>
              <w:rPr>
                <w:b/>
                <w:sz w:val="20"/>
                <w:szCs w:val="20"/>
              </w:rPr>
            </w:pPr>
            <w:r>
              <w:rPr>
                <w:b/>
                <w:sz w:val="20"/>
                <w:szCs w:val="20"/>
              </w:rPr>
              <w:t>Attending 4/30</w:t>
            </w:r>
          </w:p>
        </w:tc>
        <w:tc>
          <w:tcPr>
            <w:tcW w:w="7488" w:type="dxa"/>
          </w:tcPr>
          <w:p w:rsidR="006D01B8" w:rsidRDefault="0091419E" w:rsidP="00C20540">
            <w:pPr>
              <w:rPr>
                <w:sz w:val="20"/>
                <w:szCs w:val="20"/>
              </w:rPr>
            </w:pPr>
            <w:r>
              <w:rPr>
                <w:sz w:val="20"/>
                <w:szCs w:val="20"/>
              </w:rPr>
              <w:t>Max, Roxann, Gie, Stephanie, Lauren, Sau-Seong, Kara, Beth, Geneva, Neila, Excel, Jimmy</w:t>
            </w:r>
          </w:p>
        </w:tc>
      </w:tr>
      <w:tr w:rsidR="00EC6C38" w:rsidTr="005E3363">
        <w:tc>
          <w:tcPr>
            <w:tcW w:w="2088" w:type="dxa"/>
            <w:vAlign w:val="center"/>
          </w:tcPr>
          <w:p w:rsidR="00EC6C38" w:rsidRDefault="00EC6C38" w:rsidP="003D07EA">
            <w:pPr>
              <w:rPr>
                <w:b/>
                <w:sz w:val="20"/>
                <w:szCs w:val="20"/>
              </w:rPr>
            </w:pPr>
            <w:r>
              <w:rPr>
                <w:b/>
                <w:sz w:val="20"/>
                <w:szCs w:val="20"/>
              </w:rPr>
              <w:t>Attending 5/1</w:t>
            </w:r>
          </w:p>
        </w:tc>
        <w:tc>
          <w:tcPr>
            <w:tcW w:w="7488" w:type="dxa"/>
          </w:tcPr>
          <w:p w:rsidR="00EC6C38" w:rsidRDefault="00EC6C38" w:rsidP="00C20540">
            <w:pPr>
              <w:rPr>
                <w:sz w:val="20"/>
                <w:szCs w:val="20"/>
              </w:rPr>
            </w:pPr>
            <w:r>
              <w:rPr>
                <w:sz w:val="20"/>
                <w:szCs w:val="20"/>
              </w:rPr>
              <w:t>Ed, Mike, Hieu, Erin, Nina, Sau-Seong, Geneva</w:t>
            </w:r>
          </w:p>
        </w:tc>
      </w:tr>
    </w:tbl>
    <w:p w:rsidR="00C20540" w:rsidRDefault="00C20540" w:rsidP="00C20540"/>
    <w:sectPr w:rsidR="00C20540" w:rsidSect="009706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63" w:rsidRDefault="005E3363">
      <w:r>
        <w:separator/>
      </w:r>
    </w:p>
  </w:endnote>
  <w:endnote w:type="continuationSeparator" w:id="0">
    <w:p w:rsidR="005E3363" w:rsidRDefault="005E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7B" w:rsidRDefault="00974734">
    <w:pPr>
      <w:pStyle w:val="Footer"/>
    </w:pPr>
    <w:r>
      <w:t>5/2</w:t>
    </w:r>
    <w:r w:rsidR="006D01B8">
      <w:t xml:space="preserve">/2013     </w:t>
    </w:r>
    <w:r w:rsidR="00A15E84">
      <w:t>rg</w:t>
    </w:r>
    <w:r>
      <w:tab/>
    </w:r>
    <w:r>
      <w:tab/>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63" w:rsidRDefault="005E3363">
      <w:r>
        <w:separator/>
      </w:r>
    </w:p>
  </w:footnote>
  <w:footnote w:type="continuationSeparator" w:id="0">
    <w:p w:rsidR="005E3363" w:rsidRDefault="005E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7B" w:rsidRDefault="00974734">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48.7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E62"/>
    <w:rsid w:val="00084428"/>
    <w:rsid w:val="00095E62"/>
    <w:rsid w:val="000F022E"/>
    <w:rsid w:val="001379DD"/>
    <w:rsid w:val="00177C6D"/>
    <w:rsid w:val="001B4F2A"/>
    <w:rsid w:val="001C5095"/>
    <w:rsid w:val="002515E9"/>
    <w:rsid w:val="002F228D"/>
    <w:rsid w:val="00302C36"/>
    <w:rsid w:val="003C1B92"/>
    <w:rsid w:val="003D07EA"/>
    <w:rsid w:val="003D5177"/>
    <w:rsid w:val="003D544A"/>
    <w:rsid w:val="00412C26"/>
    <w:rsid w:val="004D60AC"/>
    <w:rsid w:val="004E067B"/>
    <w:rsid w:val="005811EA"/>
    <w:rsid w:val="00583816"/>
    <w:rsid w:val="005C2C40"/>
    <w:rsid w:val="005C39D2"/>
    <w:rsid w:val="005E3363"/>
    <w:rsid w:val="00604E50"/>
    <w:rsid w:val="00634BEB"/>
    <w:rsid w:val="006412B8"/>
    <w:rsid w:val="00643DA5"/>
    <w:rsid w:val="00685821"/>
    <w:rsid w:val="00685845"/>
    <w:rsid w:val="006C4F3E"/>
    <w:rsid w:val="006D01B8"/>
    <w:rsid w:val="006D685D"/>
    <w:rsid w:val="007801E6"/>
    <w:rsid w:val="007A7C8A"/>
    <w:rsid w:val="007B2155"/>
    <w:rsid w:val="00833291"/>
    <w:rsid w:val="008F0A18"/>
    <w:rsid w:val="008F2DF9"/>
    <w:rsid w:val="0091419E"/>
    <w:rsid w:val="00970649"/>
    <w:rsid w:val="00974734"/>
    <w:rsid w:val="00985AC7"/>
    <w:rsid w:val="00A15E84"/>
    <w:rsid w:val="00A834B9"/>
    <w:rsid w:val="00AC1F7C"/>
    <w:rsid w:val="00B3442E"/>
    <w:rsid w:val="00B45DFB"/>
    <w:rsid w:val="00C20540"/>
    <w:rsid w:val="00C273E8"/>
    <w:rsid w:val="00C74258"/>
    <w:rsid w:val="00C94378"/>
    <w:rsid w:val="00CE1D0E"/>
    <w:rsid w:val="00EC6C38"/>
    <w:rsid w:val="00EE07F1"/>
    <w:rsid w:val="00F360FC"/>
    <w:rsid w:val="00F779AA"/>
    <w:rsid w:val="00FC3CF1"/>
    <w:rsid w:val="00FE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95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95E62"/>
    <w:rPr>
      <w:rFonts w:cs="Times New Roman"/>
      <w:color w:val="0000FF"/>
      <w:u w:val="single"/>
    </w:rPr>
  </w:style>
  <w:style w:type="paragraph" w:styleId="Header">
    <w:name w:val="header"/>
    <w:basedOn w:val="Normal"/>
    <w:link w:val="HeaderChar"/>
    <w:uiPriority w:val="99"/>
    <w:rsid w:val="00A834B9"/>
    <w:pPr>
      <w:tabs>
        <w:tab w:val="center" w:pos="4320"/>
        <w:tab w:val="right" w:pos="8640"/>
      </w:tabs>
    </w:pPr>
  </w:style>
  <w:style w:type="character" w:customStyle="1" w:styleId="HeaderChar">
    <w:name w:val="Header Char"/>
    <w:link w:val="Header"/>
    <w:uiPriority w:val="99"/>
    <w:semiHidden/>
    <w:locked/>
    <w:rsid w:val="00FE1DC9"/>
    <w:rPr>
      <w:rFonts w:cs="Times New Roman"/>
    </w:rPr>
  </w:style>
  <w:style w:type="paragraph" w:styleId="Footer">
    <w:name w:val="footer"/>
    <w:basedOn w:val="Normal"/>
    <w:link w:val="FooterChar"/>
    <w:uiPriority w:val="99"/>
    <w:rsid w:val="00A834B9"/>
    <w:pPr>
      <w:tabs>
        <w:tab w:val="center" w:pos="4320"/>
        <w:tab w:val="right" w:pos="8640"/>
      </w:tabs>
    </w:pPr>
  </w:style>
  <w:style w:type="character" w:customStyle="1" w:styleId="FooterChar">
    <w:name w:val="Footer Char"/>
    <w:link w:val="Footer"/>
    <w:uiPriority w:val="99"/>
    <w:semiHidden/>
    <w:locked/>
    <w:rsid w:val="00FE1DC9"/>
    <w:rPr>
      <w:rFonts w:cs="Times New Roman"/>
    </w:rPr>
  </w:style>
  <w:style w:type="paragraph" w:styleId="BalloonText">
    <w:name w:val="Balloon Text"/>
    <w:basedOn w:val="Normal"/>
    <w:link w:val="BalloonTextChar"/>
    <w:uiPriority w:val="99"/>
    <w:semiHidden/>
    <w:unhideWhenUsed/>
    <w:rsid w:val="003D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5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01/20/2011</vt:lpstr>
    </vt:vector>
  </TitlesOfParts>
  <Company>UWMC</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01/20/2011</dc:title>
  <dc:subject/>
  <dc:creator>rgary</dc:creator>
  <cp:keywords/>
  <dc:description/>
  <cp:lastModifiedBy>rgary</cp:lastModifiedBy>
  <cp:revision>6</cp:revision>
  <cp:lastPrinted>2012-09-14T20:17:00Z</cp:lastPrinted>
  <dcterms:created xsi:type="dcterms:W3CDTF">2013-02-04T17:25:00Z</dcterms:created>
  <dcterms:modified xsi:type="dcterms:W3CDTF">2013-05-02T18:13:00Z</dcterms:modified>
</cp:coreProperties>
</file>