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0" w:rsidRDefault="00C20540" w:rsidP="00C53778">
      <w:pPr>
        <w:spacing w:after="0" w:line="240" w:lineRule="auto"/>
        <w:jc w:val="center"/>
      </w:pPr>
      <w:r>
        <w:t>Transfusion Service Laboratory Staff Meeting Minutes</w:t>
      </w:r>
    </w:p>
    <w:p w:rsidR="008F0A18" w:rsidRPr="00F4170F" w:rsidRDefault="001500DB" w:rsidP="00F4170F">
      <w:pPr>
        <w:spacing w:after="0" w:line="240" w:lineRule="auto"/>
        <w:jc w:val="center"/>
        <w:rPr>
          <w:b/>
          <w:sz w:val="24"/>
          <w:szCs w:val="24"/>
        </w:rPr>
      </w:pPr>
      <w:r w:rsidRPr="00F4170F">
        <w:rPr>
          <w:b/>
          <w:sz w:val="24"/>
          <w:szCs w:val="24"/>
        </w:rPr>
        <w:t>July</w:t>
      </w:r>
      <w:r w:rsidR="00974734" w:rsidRPr="00F4170F">
        <w:rPr>
          <w:b/>
          <w:sz w:val="24"/>
          <w:szCs w:val="24"/>
        </w:rPr>
        <w:t xml:space="preserve"> </w:t>
      </w:r>
      <w:r w:rsidR="001353AE" w:rsidRPr="00F4170F">
        <w:rPr>
          <w:b/>
          <w:sz w:val="24"/>
          <w:szCs w:val="24"/>
        </w:rPr>
        <w:t>Staff Meetings held at 0700 and 14</w:t>
      </w:r>
      <w:r w:rsidR="00C20540" w:rsidRPr="00F4170F">
        <w:rPr>
          <w:b/>
          <w:sz w:val="24"/>
          <w:szCs w:val="24"/>
        </w:rPr>
        <w:t xml:space="preserve">00 on </w:t>
      </w:r>
      <w:r w:rsidR="001353AE" w:rsidRPr="00F4170F">
        <w:rPr>
          <w:b/>
          <w:sz w:val="24"/>
          <w:szCs w:val="24"/>
        </w:rPr>
        <w:t>Thursday</w:t>
      </w:r>
      <w:r w:rsidR="00C20540" w:rsidRPr="00F4170F">
        <w:rPr>
          <w:b/>
          <w:sz w:val="24"/>
          <w:szCs w:val="24"/>
        </w:rPr>
        <w:t xml:space="preserve">, </w:t>
      </w:r>
      <w:r w:rsidRPr="00F4170F">
        <w:rPr>
          <w:b/>
          <w:sz w:val="24"/>
          <w:szCs w:val="24"/>
        </w:rPr>
        <w:t>July 25</w:t>
      </w:r>
      <w:r w:rsidR="001353AE" w:rsidRPr="00F4170F">
        <w:rPr>
          <w:b/>
          <w:sz w:val="24"/>
          <w:szCs w:val="24"/>
          <w:vertAlign w:val="superscript"/>
        </w:rPr>
        <w:t>th</w:t>
      </w:r>
    </w:p>
    <w:p w:rsidR="001353AE" w:rsidRPr="00F4170F" w:rsidRDefault="001353AE" w:rsidP="00C53778">
      <w:pPr>
        <w:spacing w:after="0" w:line="240" w:lineRule="auto"/>
        <w:rPr>
          <w:b/>
          <w:sz w:val="16"/>
          <w:szCs w:val="16"/>
        </w:rPr>
      </w:pPr>
    </w:p>
    <w:p w:rsidR="00C20540" w:rsidRPr="003D07EA" w:rsidRDefault="00C20540" w:rsidP="006D01B8">
      <w:pPr>
        <w:spacing w:after="0" w:line="240" w:lineRule="auto"/>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C20540" w:rsidRPr="003D07EA" w:rsidTr="00F4170F">
        <w:trPr>
          <w:trHeight w:val="728"/>
        </w:trPr>
        <w:tc>
          <w:tcPr>
            <w:tcW w:w="1278" w:type="dxa"/>
            <w:shd w:val="clear" w:color="auto" w:fill="C4BC96"/>
            <w:vAlign w:val="center"/>
          </w:tcPr>
          <w:p w:rsidR="00C20540" w:rsidRPr="001500DB" w:rsidRDefault="00F4170F" w:rsidP="00F4170F">
            <w:pPr>
              <w:spacing w:after="0" w:line="240" w:lineRule="auto"/>
              <w:jc w:val="center"/>
              <w:rPr>
                <w:b/>
                <w:sz w:val="24"/>
                <w:szCs w:val="24"/>
              </w:rPr>
            </w:pPr>
            <w:r>
              <w:rPr>
                <w:b/>
                <w:sz w:val="24"/>
                <w:szCs w:val="24"/>
              </w:rPr>
              <w:t xml:space="preserve">Agenda </w:t>
            </w:r>
            <w:r w:rsidR="00C20540" w:rsidRPr="001500DB">
              <w:rPr>
                <w:b/>
                <w:sz w:val="24"/>
                <w:szCs w:val="24"/>
              </w:rPr>
              <w:t>Item</w:t>
            </w:r>
          </w:p>
        </w:tc>
        <w:tc>
          <w:tcPr>
            <w:tcW w:w="8298" w:type="dxa"/>
            <w:shd w:val="clear" w:color="auto" w:fill="C4BC96"/>
            <w:vAlign w:val="center"/>
          </w:tcPr>
          <w:p w:rsidR="00C20540" w:rsidRPr="005E3363" w:rsidRDefault="00C20540" w:rsidP="00F4170F">
            <w:pPr>
              <w:spacing w:after="0" w:line="240" w:lineRule="auto"/>
              <w:jc w:val="center"/>
              <w:rPr>
                <w:b/>
                <w:sz w:val="24"/>
                <w:szCs w:val="24"/>
              </w:rPr>
            </w:pPr>
            <w:r w:rsidRPr="005E3363">
              <w:rPr>
                <w:b/>
                <w:sz w:val="24"/>
                <w:szCs w:val="24"/>
              </w:rPr>
              <w:t>Discussion</w:t>
            </w:r>
          </w:p>
        </w:tc>
      </w:tr>
      <w:tr w:rsidR="00C20540" w:rsidTr="00F4170F">
        <w:tc>
          <w:tcPr>
            <w:tcW w:w="1278" w:type="dxa"/>
            <w:vAlign w:val="center"/>
          </w:tcPr>
          <w:p w:rsidR="00C20540" w:rsidRPr="001500DB" w:rsidRDefault="00C20540" w:rsidP="00F4170F">
            <w:pPr>
              <w:spacing w:after="0" w:line="240" w:lineRule="auto"/>
              <w:rPr>
                <w:b/>
                <w:sz w:val="20"/>
                <w:szCs w:val="20"/>
              </w:rPr>
            </w:pPr>
            <w:r w:rsidRPr="001500DB">
              <w:rPr>
                <w:b/>
                <w:sz w:val="20"/>
                <w:szCs w:val="20"/>
              </w:rPr>
              <w:t>Welcome</w:t>
            </w:r>
          </w:p>
        </w:tc>
        <w:tc>
          <w:tcPr>
            <w:tcW w:w="8298" w:type="dxa"/>
          </w:tcPr>
          <w:p w:rsidR="00C20540" w:rsidRPr="005E3363" w:rsidRDefault="00C20540" w:rsidP="00F4170F">
            <w:pPr>
              <w:spacing w:after="0" w:line="240" w:lineRule="auto"/>
              <w:rPr>
                <w:sz w:val="20"/>
                <w:szCs w:val="20"/>
              </w:rPr>
            </w:pPr>
            <w:r w:rsidRPr="005E3363">
              <w:rPr>
                <w:sz w:val="20"/>
                <w:szCs w:val="20"/>
              </w:rPr>
              <w:t>Brenda Hayden, TSL Manager, welcomed staff.</w:t>
            </w:r>
          </w:p>
        </w:tc>
      </w:tr>
      <w:tr w:rsidR="00C20540" w:rsidTr="00F4170F">
        <w:tc>
          <w:tcPr>
            <w:tcW w:w="1278" w:type="dxa"/>
            <w:vAlign w:val="center"/>
          </w:tcPr>
          <w:p w:rsidR="00C20540" w:rsidRPr="001500DB" w:rsidRDefault="001500DB" w:rsidP="008F0A18">
            <w:pPr>
              <w:spacing w:after="0"/>
              <w:rPr>
                <w:b/>
                <w:sz w:val="20"/>
                <w:szCs w:val="20"/>
              </w:rPr>
            </w:pPr>
            <w:r w:rsidRPr="001500DB">
              <w:rPr>
                <w:b/>
                <w:sz w:val="20"/>
                <w:szCs w:val="20"/>
              </w:rPr>
              <w:t>Schedule Issues</w:t>
            </w:r>
          </w:p>
        </w:tc>
        <w:tc>
          <w:tcPr>
            <w:tcW w:w="8298" w:type="dxa"/>
          </w:tcPr>
          <w:p w:rsidR="001353AE" w:rsidRPr="001500DB" w:rsidRDefault="001500DB" w:rsidP="001353AE">
            <w:pPr>
              <w:spacing w:after="0" w:line="240" w:lineRule="auto"/>
              <w:rPr>
                <w:b/>
                <w:sz w:val="20"/>
                <w:szCs w:val="20"/>
              </w:rPr>
            </w:pPr>
            <w:r w:rsidRPr="001500DB">
              <w:rPr>
                <w:b/>
                <w:sz w:val="20"/>
                <w:szCs w:val="20"/>
              </w:rPr>
              <w:t>Changes effective immediately:</w:t>
            </w:r>
          </w:p>
          <w:p w:rsidR="001500DB" w:rsidRDefault="001500DB" w:rsidP="001500DB">
            <w:pPr>
              <w:numPr>
                <w:ilvl w:val="0"/>
                <w:numId w:val="1"/>
              </w:numPr>
              <w:spacing w:after="0" w:line="240" w:lineRule="auto"/>
              <w:rPr>
                <w:sz w:val="20"/>
                <w:szCs w:val="20"/>
              </w:rPr>
            </w:pPr>
            <w:r>
              <w:rPr>
                <w:sz w:val="20"/>
                <w:szCs w:val="20"/>
              </w:rPr>
              <w:t>Time stamp KRONOS exception reports and Short Notice Attendance forms before leaving them for Brenda or Gie.</w:t>
            </w:r>
          </w:p>
          <w:p w:rsidR="001500DB" w:rsidRDefault="001500DB" w:rsidP="001500DB">
            <w:pPr>
              <w:numPr>
                <w:ilvl w:val="0"/>
                <w:numId w:val="1"/>
              </w:numPr>
              <w:spacing w:after="0" w:line="240" w:lineRule="auto"/>
              <w:rPr>
                <w:sz w:val="20"/>
                <w:szCs w:val="20"/>
              </w:rPr>
            </w:pPr>
            <w:r>
              <w:rPr>
                <w:sz w:val="20"/>
                <w:szCs w:val="20"/>
              </w:rPr>
              <w:t>A KRONOS Exception Report form is required for ALL exceptions to your scheduled time – early or late clock-ins, missed clock-in or outs.</w:t>
            </w:r>
          </w:p>
          <w:p w:rsidR="001500DB" w:rsidRDefault="001500DB" w:rsidP="001500DB">
            <w:pPr>
              <w:numPr>
                <w:ilvl w:val="0"/>
                <w:numId w:val="1"/>
              </w:numPr>
              <w:spacing w:after="0" w:line="240" w:lineRule="auto"/>
              <w:rPr>
                <w:sz w:val="20"/>
                <w:szCs w:val="20"/>
              </w:rPr>
            </w:pPr>
            <w:r>
              <w:rPr>
                <w:sz w:val="20"/>
                <w:szCs w:val="20"/>
              </w:rPr>
              <w:t>All overtime must be approved by the TS Manager or a Lead.  If neither is working, right overtime justification on the KRONOS Exception Report and leave in Brenda’s box for her review.</w:t>
            </w:r>
          </w:p>
          <w:p w:rsidR="001500DB" w:rsidRDefault="001500DB" w:rsidP="001500DB">
            <w:pPr>
              <w:numPr>
                <w:ilvl w:val="0"/>
                <w:numId w:val="1"/>
              </w:numPr>
              <w:spacing w:after="0" w:line="240" w:lineRule="auto"/>
              <w:rPr>
                <w:sz w:val="20"/>
                <w:szCs w:val="20"/>
              </w:rPr>
            </w:pPr>
            <w:r>
              <w:rPr>
                <w:sz w:val="20"/>
                <w:szCs w:val="20"/>
              </w:rPr>
              <w:t xml:space="preserve">If you want a day off, submit a vacation request.  The practice of asking Erin to switch around work days to keep from using vacation is ended.  </w:t>
            </w:r>
          </w:p>
          <w:p w:rsidR="001500DB" w:rsidRDefault="001500DB" w:rsidP="001500DB">
            <w:pPr>
              <w:numPr>
                <w:ilvl w:val="0"/>
                <w:numId w:val="1"/>
              </w:numPr>
              <w:spacing w:after="0" w:line="240" w:lineRule="auto"/>
              <w:rPr>
                <w:sz w:val="20"/>
                <w:szCs w:val="20"/>
              </w:rPr>
            </w:pPr>
            <w:r>
              <w:rPr>
                <w:sz w:val="20"/>
                <w:szCs w:val="20"/>
              </w:rPr>
              <w:t>Once the schedule is posted, requests for time off must be accomplished by trading.  Exceptions are illness, bereavement leave</w:t>
            </w:r>
          </w:p>
          <w:p w:rsidR="00F4170F" w:rsidRDefault="001500DB" w:rsidP="001500DB">
            <w:pPr>
              <w:numPr>
                <w:ilvl w:val="0"/>
                <w:numId w:val="1"/>
              </w:numPr>
              <w:spacing w:after="0" w:line="240" w:lineRule="auto"/>
              <w:rPr>
                <w:sz w:val="20"/>
                <w:szCs w:val="20"/>
              </w:rPr>
            </w:pPr>
            <w:r>
              <w:rPr>
                <w:sz w:val="20"/>
                <w:szCs w:val="20"/>
              </w:rPr>
              <w:t xml:space="preserve">When extra staff is needed to cover Transfusion Services, the departmental expectation is that you have provided a valid contact number and will return the call as soon as possible.  YES or NO are the expected answer with no explanation necessary.  Sick call, high volume, </w:t>
            </w:r>
            <w:r w:rsidR="002227F4">
              <w:rPr>
                <w:sz w:val="20"/>
                <w:szCs w:val="20"/>
              </w:rPr>
              <w:t xml:space="preserve">unexpected computer down, and disaster are all reasons for needing staff to come in on a day off or change their start time. </w:t>
            </w:r>
          </w:p>
          <w:p w:rsidR="001500DB" w:rsidRPr="00F4170F" w:rsidRDefault="00F4170F" w:rsidP="001353AE">
            <w:pPr>
              <w:numPr>
                <w:ilvl w:val="0"/>
                <w:numId w:val="1"/>
              </w:numPr>
              <w:spacing w:after="0" w:line="240" w:lineRule="auto"/>
              <w:rPr>
                <w:sz w:val="20"/>
                <w:szCs w:val="20"/>
              </w:rPr>
            </w:pPr>
            <w:r>
              <w:rPr>
                <w:sz w:val="20"/>
                <w:szCs w:val="20"/>
              </w:rPr>
              <w:t xml:space="preserve">Submit a QIM every time </w:t>
            </w:r>
            <w:proofErr w:type="gramStart"/>
            <w:r>
              <w:rPr>
                <w:sz w:val="20"/>
                <w:szCs w:val="20"/>
              </w:rPr>
              <w:t>staff are</w:t>
            </w:r>
            <w:proofErr w:type="gramEnd"/>
            <w:r>
              <w:rPr>
                <w:sz w:val="20"/>
                <w:szCs w:val="20"/>
              </w:rPr>
              <w:t xml:space="preserve"> contacted to come in.  Brenda needs a record of the incident and response when asking for additional staffing to cover workload.  Management likes numbers!</w:t>
            </w:r>
            <w:r w:rsidR="002227F4">
              <w:rPr>
                <w:sz w:val="20"/>
                <w:szCs w:val="20"/>
              </w:rPr>
              <w:t xml:space="preserve"> </w:t>
            </w:r>
          </w:p>
        </w:tc>
      </w:tr>
      <w:tr w:rsidR="002227F4" w:rsidTr="00F4170F">
        <w:tc>
          <w:tcPr>
            <w:tcW w:w="1278" w:type="dxa"/>
            <w:vAlign w:val="center"/>
          </w:tcPr>
          <w:p w:rsidR="002227F4" w:rsidRPr="001500DB" w:rsidRDefault="002227F4" w:rsidP="008F0A18">
            <w:pPr>
              <w:spacing w:after="0"/>
              <w:rPr>
                <w:b/>
                <w:sz w:val="20"/>
                <w:szCs w:val="20"/>
              </w:rPr>
            </w:pPr>
            <w:r>
              <w:rPr>
                <w:b/>
                <w:sz w:val="20"/>
                <w:szCs w:val="20"/>
              </w:rPr>
              <w:t>Monthly Stats</w:t>
            </w:r>
          </w:p>
        </w:tc>
        <w:tc>
          <w:tcPr>
            <w:tcW w:w="8298" w:type="dxa"/>
          </w:tcPr>
          <w:p w:rsidR="002227F4" w:rsidRPr="00264C5B" w:rsidRDefault="002227F4" w:rsidP="001353AE">
            <w:pPr>
              <w:spacing w:after="0" w:line="240" w:lineRule="auto"/>
              <w:rPr>
                <w:sz w:val="20"/>
                <w:szCs w:val="20"/>
              </w:rPr>
            </w:pPr>
            <w:r w:rsidRPr="00264C5B">
              <w:rPr>
                <w:sz w:val="20"/>
                <w:szCs w:val="20"/>
              </w:rPr>
              <w:t>June was a low volume month.</w:t>
            </w:r>
          </w:p>
          <w:p w:rsidR="002227F4" w:rsidRPr="00264C5B" w:rsidRDefault="002227F4" w:rsidP="00F4170F">
            <w:pPr>
              <w:numPr>
                <w:ilvl w:val="0"/>
                <w:numId w:val="2"/>
              </w:numPr>
              <w:spacing w:after="0" w:line="240" w:lineRule="auto"/>
              <w:rPr>
                <w:sz w:val="20"/>
                <w:szCs w:val="20"/>
              </w:rPr>
            </w:pPr>
            <w:r w:rsidRPr="00264C5B">
              <w:rPr>
                <w:sz w:val="20"/>
                <w:szCs w:val="20"/>
              </w:rPr>
              <w:t>RBCs:  784 crossmatched, 644 transfused:  1.2 C/T ratio</w:t>
            </w:r>
          </w:p>
          <w:p w:rsidR="002227F4" w:rsidRPr="00264C5B" w:rsidRDefault="002227F4" w:rsidP="00F4170F">
            <w:pPr>
              <w:numPr>
                <w:ilvl w:val="0"/>
                <w:numId w:val="2"/>
              </w:numPr>
              <w:spacing w:after="0" w:line="240" w:lineRule="auto"/>
              <w:rPr>
                <w:sz w:val="20"/>
                <w:szCs w:val="20"/>
              </w:rPr>
            </w:pPr>
            <w:r w:rsidRPr="00264C5B">
              <w:rPr>
                <w:sz w:val="20"/>
                <w:szCs w:val="20"/>
              </w:rPr>
              <w:t>Platelets:  124 transfused; 7 outdated</w:t>
            </w:r>
          </w:p>
          <w:p w:rsidR="002227F4" w:rsidRPr="00264C5B" w:rsidRDefault="002227F4" w:rsidP="00F4170F">
            <w:pPr>
              <w:numPr>
                <w:ilvl w:val="0"/>
                <w:numId w:val="2"/>
              </w:numPr>
              <w:spacing w:after="0" w:line="240" w:lineRule="auto"/>
              <w:rPr>
                <w:sz w:val="20"/>
                <w:szCs w:val="20"/>
              </w:rPr>
            </w:pPr>
            <w:r w:rsidRPr="00264C5B">
              <w:rPr>
                <w:sz w:val="20"/>
                <w:szCs w:val="20"/>
              </w:rPr>
              <w:t>Plasma:  286 transfused</w:t>
            </w:r>
          </w:p>
        </w:tc>
      </w:tr>
      <w:tr w:rsidR="002227F4" w:rsidTr="00F4170F">
        <w:tc>
          <w:tcPr>
            <w:tcW w:w="1278" w:type="dxa"/>
            <w:vAlign w:val="center"/>
          </w:tcPr>
          <w:p w:rsidR="002227F4" w:rsidRDefault="002227F4" w:rsidP="008F0A18">
            <w:pPr>
              <w:spacing w:after="0"/>
              <w:rPr>
                <w:b/>
                <w:sz w:val="20"/>
                <w:szCs w:val="20"/>
              </w:rPr>
            </w:pPr>
            <w:r>
              <w:rPr>
                <w:b/>
                <w:sz w:val="20"/>
                <w:szCs w:val="20"/>
              </w:rPr>
              <w:t>Safety Update</w:t>
            </w:r>
          </w:p>
        </w:tc>
        <w:tc>
          <w:tcPr>
            <w:tcW w:w="8298" w:type="dxa"/>
          </w:tcPr>
          <w:p w:rsidR="002227F4" w:rsidRPr="00264C5B" w:rsidRDefault="00A5023A" w:rsidP="001353AE">
            <w:pPr>
              <w:spacing w:after="0" w:line="240" w:lineRule="auto"/>
              <w:rPr>
                <w:sz w:val="20"/>
                <w:szCs w:val="20"/>
              </w:rPr>
            </w:pPr>
            <w:r w:rsidRPr="00264C5B">
              <w:rPr>
                <w:sz w:val="20"/>
                <w:szCs w:val="20"/>
              </w:rPr>
              <w:t xml:space="preserve">Beth is our Safety Officer.  This month she has asked us </w:t>
            </w:r>
            <w:r w:rsidR="009E5267" w:rsidRPr="00264C5B">
              <w:rPr>
                <w:sz w:val="20"/>
                <w:szCs w:val="20"/>
              </w:rPr>
              <w:t>to update our contact information.  The list is posted by the tube station.  Please check and revise or indicate OK.</w:t>
            </w:r>
          </w:p>
          <w:p w:rsidR="009E5267" w:rsidRPr="00264C5B" w:rsidRDefault="009E5267" w:rsidP="001353AE">
            <w:pPr>
              <w:spacing w:after="0" w:line="240" w:lineRule="auto"/>
              <w:rPr>
                <w:sz w:val="20"/>
                <w:szCs w:val="20"/>
              </w:rPr>
            </w:pPr>
            <w:r w:rsidRPr="00264C5B">
              <w:rPr>
                <w:sz w:val="20"/>
                <w:szCs w:val="20"/>
              </w:rPr>
              <w:t>If you didn’t get your Emergency Response Card or Stroke Card for your badge, see Beth.</w:t>
            </w:r>
          </w:p>
          <w:p w:rsidR="009E5267" w:rsidRPr="00264C5B" w:rsidRDefault="009E5267" w:rsidP="001353AE">
            <w:pPr>
              <w:spacing w:after="0" w:line="240" w:lineRule="auto"/>
              <w:rPr>
                <w:sz w:val="20"/>
                <w:szCs w:val="20"/>
              </w:rPr>
            </w:pPr>
            <w:r w:rsidRPr="00264C5B">
              <w:rPr>
                <w:sz w:val="20"/>
                <w:szCs w:val="20"/>
              </w:rPr>
              <w:t>TSL must attend the monthly Safety Committee Meetings.  If Beth is unable to attend, she will be asking for a volunteer.  Please help her out if asked.</w:t>
            </w:r>
          </w:p>
        </w:tc>
      </w:tr>
      <w:tr w:rsidR="009E5267" w:rsidTr="00F4170F">
        <w:tc>
          <w:tcPr>
            <w:tcW w:w="1278" w:type="dxa"/>
            <w:vAlign w:val="center"/>
          </w:tcPr>
          <w:p w:rsidR="009E5267" w:rsidRDefault="009E5267" w:rsidP="008F0A18">
            <w:pPr>
              <w:spacing w:after="0"/>
              <w:rPr>
                <w:b/>
                <w:sz w:val="20"/>
                <w:szCs w:val="20"/>
              </w:rPr>
            </w:pPr>
            <w:r>
              <w:rPr>
                <w:b/>
                <w:sz w:val="20"/>
                <w:szCs w:val="20"/>
              </w:rPr>
              <w:t>Inspections</w:t>
            </w:r>
          </w:p>
        </w:tc>
        <w:tc>
          <w:tcPr>
            <w:tcW w:w="8298" w:type="dxa"/>
          </w:tcPr>
          <w:p w:rsidR="009E5267" w:rsidRPr="00264C5B" w:rsidRDefault="009E5267" w:rsidP="001353AE">
            <w:pPr>
              <w:spacing w:after="0" w:line="240" w:lineRule="auto"/>
              <w:rPr>
                <w:sz w:val="20"/>
                <w:szCs w:val="20"/>
              </w:rPr>
            </w:pPr>
            <w:r w:rsidRPr="00264C5B">
              <w:rPr>
                <w:sz w:val="20"/>
                <w:szCs w:val="20"/>
              </w:rPr>
              <w:t>CAP is on the way, this being the open period.</w:t>
            </w:r>
          </w:p>
          <w:p w:rsidR="009E5267" w:rsidRPr="00264C5B" w:rsidRDefault="009E5267" w:rsidP="001353AE">
            <w:pPr>
              <w:spacing w:after="0" w:line="240" w:lineRule="auto"/>
              <w:rPr>
                <w:sz w:val="20"/>
                <w:szCs w:val="20"/>
              </w:rPr>
            </w:pPr>
            <w:r w:rsidRPr="00264C5B">
              <w:rPr>
                <w:sz w:val="20"/>
                <w:szCs w:val="20"/>
              </w:rPr>
              <w:t>AABB has received our application but have not yet contacted Brenda to select an inspection window.  Brenda expects AABB will inspect us before the end of the year.</w:t>
            </w:r>
          </w:p>
          <w:p w:rsidR="00F4170F" w:rsidRPr="00264C5B" w:rsidRDefault="00F4170F" w:rsidP="00F4170F">
            <w:pPr>
              <w:spacing w:after="0" w:line="240" w:lineRule="auto"/>
              <w:rPr>
                <w:sz w:val="20"/>
                <w:szCs w:val="20"/>
              </w:rPr>
            </w:pPr>
            <w:r w:rsidRPr="00264C5B">
              <w:rPr>
                <w:sz w:val="20"/>
                <w:szCs w:val="20"/>
              </w:rPr>
              <w:t xml:space="preserve">Nina, Brenda, and Gie attended a recent AABB audio-conference about common citations.  We have some work still to do </w:t>
            </w:r>
            <w:proofErr w:type="gramStart"/>
            <w:r w:rsidRPr="00264C5B">
              <w:rPr>
                <w:sz w:val="20"/>
                <w:szCs w:val="20"/>
              </w:rPr>
              <w:t>based</w:t>
            </w:r>
            <w:proofErr w:type="gramEnd"/>
            <w:r w:rsidRPr="00264C5B">
              <w:rPr>
                <w:sz w:val="20"/>
                <w:szCs w:val="20"/>
              </w:rPr>
              <w:t xml:space="preserve"> on this information.</w:t>
            </w:r>
          </w:p>
        </w:tc>
      </w:tr>
      <w:tr w:rsidR="009E5267" w:rsidTr="00F4170F">
        <w:tc>
          <w:tcPr>
            <w:tcW w:w="1278" w:type="dxa"/>
            <w:vAlign w:val="center"/>
          </w:tcPr>
          <w:p w:rsidR="009E5267" w:rsidRDefault="009E5267" w:rsidP="008F0A18">
            <w:pPr>
              <w:spacing w:after="0"/>
              <w:rPr>
                <w:b/>
                <w:sz w:val="20"/>
                <w:szCs w:val="20"/>
              </w:rPr>
            </w:pPr>
            <w:r>
              <w:rPr>
                <w:b/>
                <w:sz w:val="20"/>
                <w:szCs w:val="20"/>
              </w:rPr>
              <w:t>Continuing Education and Training</w:t>
            </w:r>
          </w:p>
        </w:tc>
        <w:tc>
          <w:tcPr>
            <w:tcW w:w="8298" w:type="dxa"/>
          </w:tcPr>
          <w:p w:rsidR="009E5267" w:rsidRPr="00264C5B" w:rsidRDefault="009E5267" w:rsidP="001353AE">
            <w:pPr>
              <w:spacing w:after="0" w:line="240" w:lineRule="auto"/>
              <w:rPr>
                <w:sz w:val="20"/>
                <w:szCs w:val="20"/>
              </w:rPr>
            </w:pPr>
            <w:r w:rsidRPr="00264C5B">
              <w:rPr>
                <w:sz w:val="20"/>
                <w:szCs w:val="20"/>
              </w:rPr>
              <w:t>Lots of SOPs and training materials in MTS right now.  Some are related to the upcoming CAP inspection, some are procedural changes requested by Dr. Hess.  Please request time away from the phones and the bench to complete your MTS assignments.</w:t>
            </w:r>
          </w:p>
          <w:p w:rsidR="009E5267" w:rsidRPr="00264C5B" w:rsidRDefault="009E5267" w:rsidP="001353AE">
            <w:pPr>
              <w:spacing w:after="0" w:line="240" w:lineRule="auto"/>
              <w:rPr>
                <w:sz w:val="20"/>
                <w:szCs w:val="20"/>
              </w:rPr>
            </w:pPr>
            <w:r w:rsidRPr="00264C5B">
              <w:rPr>
                <w:sz w:val="20"/>
                <w:szCs w:val="20"/>
              </w:rPr>
              <w:t>Each staff member is required to take 12 hours of CE each year.  Lab Med has developed a CE form for each employee to record their CE participation.  This form will be turned into the TS Manager and kept in your permanent record by calendar year.</w:t>
            </w:r>
          </w:p>
          <w:p w:rsidR="009E5267" w:rsidRPr="00264C5B" w:rsidRDefault="009E5267" w:rsidP="009E5267">
            <w:pPr>
              <w:spacing w:after="0" w:line="240" w:lineRule="auto"/>
              <w:rPr>
                <w:sz w:val="20"/>
                <w:szCs w:val="20"/>
              </w:rPr>
            </w:pPr>
            <w:r w:rsidRPr="00264C5B">
              <w:rPr>
                <w:sz w:val="20"/>
                <w:szCs w:val="20"/>
              </w:rPr>
              <w:t>Some MTS modules qualify for CE credit so if you are interested, let Roxann or Gie know and we will assign them for you.</w:t>
            </w:r>
          </w:p>
        </w:tc>
      </w:tr>
    </w:tbl>
    <w:p w:rsidR="00264C5B" w:rsidRDefault="00264C5B" w:rsidP="00264C5B">
      <w:pPr>
        <w:spacing w:after="0" w:line="240" w:lineRule="auto"/>
        <w:jc w:val="center"/>
      </w:pPr>
      <w:r>
        <w:lastRenderedPageBreak/>
        <w:t>Transfusion Service Laboratory Staff Meeting Minutes</w:t>
      </w:r>
    </w:p>
    <w:p w:rsidR="0039426B" w:rsidRPr="00264C5B" w:rsidRDefault="00264C5B" w:rsidP="00264C5B">
      <w:pPr>
        <w:spacing w:after="0" w:line="240" w:lineRule="auto"/>
        <w:jc w:val="center"/>
        <w:rPr>
          <w:b/>
          <w:sz w:val="24"/>
          <w:szCs w:val="24"/>
        </w:rPr>
      </w:pPr>
      <w:r w:rsidRPr="00F4170F">
        <w:rPr>
          <w:b/>
          <w:sz w:val="24"/>
          <w:szCs w:val="24"/>
        </w:rPr>
        <w:t>July Staff Meetings held at 0700 and 1400 on Thursday, July 25</w:t>
      </w:r>
      <w:r w:rsidRPr="00F4170F">
        <w:rPr>
          <w:b/>
          <w:sz w:val="24"/>
          <w:szCs w:val="24"/>
          <w:vertAlign w:val="superscript"/>
        </w:rPr>
        <w:t>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028"/>
      </w:tblGrid>
      <w:tr w:rsidR="0039426B" w:rsidRPr="003D07EA" w:rsidTr="0039426B">
        <w:tc>
          <w:tcPr>
            <w:tcW w:w="1548" w:type="dxa"/>
            <w:tcBorders>
              <w:top w:val="single" w:sz="4" w:space="0" w:color="auto"/>
              <w:left w:val="single" w:sz="4" w:space="0" w:color="auto"/>
              <w:bottom w:val="single" w:sz="4" w:space="0" w:color="auto"/>
              <w:right w:val="single" w:sz="4" w:space="0" w:color="auto"/>
            </w:tcBorders>
            <w:shd w:val="clear" w:color="auto" w:fill="C4BC96"/>
            <w:vAlign w:val="center"/>
          </w:tcPr>
          <w:p w:rsidR="0039426B" w:rsidRPr="0039426B" w:rsidRDefault="0039426B" w:rsidP="0039426B">
            <w:pPr>
              <w:spacing w:after="0"/>
              <w:rPr>
                <w:b/>
                <w:sz w:val="20"/>
                <w:szCs w:val="20"/>
              </w:rPr>
            </w:pPr>
            <w:r w:rsidRPr="0039426B">
              <w:rPr>
                <w:b/>
                <w:sz w:val="20"/>
                <w:szCs w:val="20"/>
              </w:rPr>
              <w:t>Item</w:t>
            </w:r>
          </w:p>
        </w:tc>
        <w:tc>
          <w:tcPr>
            <w:tcW w:w="8028" w:type="dxa"/>
            <w:tcBorders>
              <w:top w:val="single" w:sz="4" w:space="0" w:color="auto"/>
              <w:left w:val="single" w:sz="4" w:space="0" w:color="auto"/>
              <w:bottom w:val="single" w:sz="4" w:space="0" w:color="auto"/>
              <w:right w:val="single" w:sz="4" w:space="0" w:color="auto"/>
            </w:tcBorders>
            <w:shd w:val="clear" w:color="auto" w:fill="C4BC96"/>
          </w:tcPr>
          <w:p w:rsidR="0039426B" w:rsidRPr="0039426B" w:rsidRDefault="0039426B" w:rsidP="0039426B">
            <w:pPr>
              <w:spacing w:after="0" w:line="240" w:lineRule="auto"/>
              <w:rPr>
                <w:b/>
                <w:sz w:val="20"/>
                <w:szCs w:val="20"/>
              </w:rPr>
            </w:pPr>
            <w:r w:rsidRPr="0039426B">
              <w:rPr>
                <w:b/>
                <w:sz w:val="20"/>
                <w:szCs w:val="20"/>
              </w:rPr>
              <w:t>Discussion</w:t>
            </w:r>
          </w:p>
        </w:tc>
      </w:tr>
      <w:tr w:rsidR="009E5267" w:rsidTr="001500DB">
        <w:tc>
          <w:tcPr>
            <w:tcW w:w="1548" w:type="dxa"/>
            <w:vAlign w:val="center"/>
          </w:tcPr>
          <w:p w:rsidR="009E5267" w:rsidRDefault="009E5267" w:rsidP="008F0A18">
            <w:pPr>
              <w:spacing w:after="0"/>
              <w:rPr>
                <w:b/>
                <w:sz w:val="20"/>
                <w:szCs w:val="20"/>
              </w:rPr>
            </w:pPr>
            <w:r>
              <w:rPr>
                <w:b/>
                <w:sz w:val="20"/>
                <w:szCs w:val="20"/>
              </w:rPr>
              <w:t>Computer Upgrade</w:t>
            </w:r>
          </w:p>
        </w:tc>
        <w:tc>
          <w:tcPr>
            <w:tcW w:w="8028" w:type="dxa"/>
          </w:tcPr>
          <w:p w:rsidR="009E5267" w:rsidRPr="00264C5B" w:rsidRDefault="009E5267" w:rsidP="001353AE">
            <w:pPr>
              <w:spacing w:after="0" w:line="240" w:lineRule="auto"/>
              <w:rPr>
                <w:sz w:val="20"/>
                <w:szCs w:val="20"/>
              </w:rPr>
            </w:pPr>
            <w:r w:rsidRPr="00264C5B">
              <w:rPr>
                <w:sz w:val="20"/>
                <w:szCs w:val="20"/>
              </w:rPr>
              <w:t>Thanks to everyone for successful training and implementation.  Kudos came from management about how smoothly everything went.</w:t>
            </w:r>
          </w:p>
          <w:p w:rsidR="009E5267" w:rsidRPr="00264C5B" w:rsidRDefault="009E5267" w:rsidP="001353AE">
            <w:pPr>
              <w:spacing w:after="0" w:line="240" w:lineRule="auto"/>
              <w:rPr>
                <w:sz w:val="20"/>
                <w:szCs w:val="20"/>
              </w:rPr>
            </w:pPr>
            <w:r w:rsidRPr="00264C5B">
              <w:rPr>
                <w:sz w:val="20"/>
                <w:szCs w:val="20"/>
              </w:rPr>
              <w:t>Two issues:</w:t>
            </w:r>
          </w:p>
          <w:p w:rsidR="009E5267" w:rsidRPr="00264C5B" w:rsidRDefault="009E5267" w:rsidP="001353AE">
            <w:pPr>
              <w:spacing w:after="0" w:line="240" w:lineRule="auto"/>
              <w:rPr>
                <w:sz w:val="20"/>
                <w:szCs w:val="20"/>
              </w:rPr>
            </w:pPr>
            <w:r w:rsidRPr="00264C5B">
              <w:rPr>
                <w:sz w:val="20"/>
                <w:szCs w:val="20"/>
              </w:rPr>
              <w:t>SQ 7.1 has a display bug.  Brenda wrote an SOP about the incomplete display of some names.  Please sign off as soon as possible.</w:t>
            </w:r>
          </w:p>
          <w:p w:rsidR="009E5267" w:rsidRPr="00264C5B" w:rsidRDefault="009E5267" w:rsidP="001353AE">
            <w:pPr>
              <w:spacing w:after="0" w:line="240" w:lineRule="auto"/>
              <w:rPr>
                <w:sz w:val="20"/>
                <w:szCs w:val="20"/>
              </w:rPr>
            </w:pPr>
            <w:r w:rsidRPr="00264C5B">
              <w:rPr>
                <w:sz w:val="20"/>
                <w:szCs w:val="20"/>
              </w:rPr>
              <w:t>CMV testing, if present on the ISBT product label, must be entered into SQ in BPE.  5 barcodes to scan instead of 4!  When this is not entered, the Transfusion Tag does not match the product label and product issue is delayed while the error is corrected.  If the error is not caught prior to issue, this is FDA reportable.  Questions?  Please talk with Brenda.</w:t>
            </w:r>
          </w:p>
        </w:tc>
      </w:tr>
      <w:tr w:rsidR="009E5267" w:rsidTr="001500DB">
        <w:tc>
          <w:tcPr>
            <w:tcW w:w="1548" w:type="dxa"/>
            <w:vAlign w:val="center"/>
          </w:tcPr>
          <w:p w:rsidR="009E5267" w:rsidRDefault="0039426B" w:rsidP="008F0A18">
            <w:pPr>
              <w:spacing w:after="0"/>
              <w:rPr>
                <w:b/>
                <w:sz w:val="20"/>
                <w:szCs w:val="20"/>
              </w:rPr>
            </w:pPr>
            <w:r>
              <w:rPr>
                <w:b/>
                <w:sz w:val="20"/>
                <w:szCs w:val="20"/>
              </w:rPr>
              <w:t>TANGO Reagent Error</w:t>
            </w:r>
          </w:p>
        </w:tc>
        <w:tc>
          <w:tcPr>
            <w:tcW w:w="8028" w:type="dxa"/>
          </w:tcPr>
          <w:p w:rsidR="009E5267" w:rsidRPr="00264C5B" w:rsidRDefault="0039426B" w:rsidP="001353AE">
            <w:pPr>
              <w:spacing w:after="0" w:line="240" w:lineRule="auto"/>
              <w:rPr>
                <w:sz w:val="20"/>
                <w:szCs w:val="20"/>
              </w:rPr>
            </w:pPr>
            <w:r w:rsidRPr="00264C5B">
              <w:rPr>
                <w:sz w:val="20"/>
                <w:szCs w:val="20"/>
              </w:rPr>
              <w:t>45 units were reported to the FDA as part of the TANGO reagent issue.  SOPs have been revised and posted to MTS.  The change in checking the reagent outdates manually every day takes effect August 1</w:t>
            </w:r>
            <w:r w:rsidRPr="00264C5B">
              <w:rPr>
                <w:sz w:val="20"/>
                <w:szCs w:val="20"/>
                <w:vertAlign w:val="superscript"/>
              </w:rPr>
              <w:t>st</w:t>
            </w:r>
            <w:r w:rsidRPr="00264C5B">
              <w:rPr>
                <w:sz w:val="20"/>
                <w:szCs w:val="20"/>
              </w:rPr>
              <w:t>.</w:t>
            </w:r>
          </w:p>
        </w:tc>
      </w:tr>
      <w:tr w:rsidR="0039426B" w:rsidTr="001500DB">
        <w:tc>
          <w:tcPr>
            <w:tcW w:w="1548" w:type="dxa"/>
            <w:vAlign w:val="center"/>
          </w:tcPr>
          <w:p w:rsidR="0039426B" w:rsidRDefault="0039426B" w:rsidP="008F0A18">
            <w:pPr>
              <w:spacing w:after="0"/>
              <w:rPr>
                <w:b/>
                <w:sz w:val="20"/>
                <w:szCs w:val="20"/>
              </w:rPr>
            </w:pPr>
            <w:r>
              <w:rPr>
                <w:b/>
                <w:sz w:val="20"/>
                <w:szCs w:val="20"/>
              </w:rPr>
              <w:t>TRRX and TRALI</w:t>
            </w:r>
          </w:p>
        </w:tc>
        <w:tc>
          <w:tcPr>
            <w:tcW w:w="8028" w:type="dxa"/>
          </w:tcPr>
          <w:p w:rsidR="0039426B" w:rsidRPr="00264C5B" w:rsidRDefault="0039426B" w:rsidP="001353AE">
            <w:pPr>
              <w:spacing w:after="0" w:line="240" w:lineRule="auto"/>
              <w:rPr>
                <w:sz w:val="20"/>
                <w:szCs w:val="20"/>
              </w:rPr>
            </w:pPr>
            <w:r w:rsidRPr="00264C5B">
              <w:rPr>
                <w:sz w:val="20"/>
                <w:szCs w:val="20"/>
              </w:rPr>
              <w:t>Dr. Hess has requested several corrections and improvements to the Transfusion Reaction Investigation SOP and Form.  Posted to MTS and effective August 1</w:t>
            </w:r>
            <w:r w:rsidRPr="00264C5B">
              <w:rPr>
                <w:sz w:val="20"/>
                <w:szCs w:val="20"/>
                <w:vertAlign w:val="superscript"/>
              </w:rPr>
              <w:t>st</w:t>
            </w:r>
            <w:r w:rsidRPr="00264C5B">
              <w:rPr>
                <w:sz w:val="20"/>
                <w:szCs w:val="20"/>
              </w:rPr>
              <w:t>.  The changes have been summarized on the Go Live Summary at the TANGO table and in the communication book.</w:t>
            </w:r>
          </w:p>
        </w:tc>
      </w:tr>
      <w:tr w:rsidR="0039426B" w:rsidTr="001500DB">
        <w:tc>
          <w:tcPr>
            <w:tcW w:w="1548" w:type="dxa"/>
            <w:vAlign w:val="center"/>
          </w:tcPr>
          <w:p w:rsidR="0039426B" w:rsidRDefault="0039426B" w:rsidP="008F0A18">
            <w:pPr>
              <w:spacing w:after="0"/>
              <w:rPr>
                <w:b/>
                <w:sz w:val="20"/>
                <w:szCs w:val="20"/>
              </w:rPr>
            </w:pPr>
            <w:r>
              <w:rPr>
                <w:b/>
                <w:sz w:val="20"/>
                <w:szCs w:val="20"/>
              </w:rPr>
              <w:t>Blood Management</w:t>
            </w:r>
          </w:p>
        </w:tc>
        <w:tc>
          <w:tcPr>
            <w:tcW w:w="8028" w:type="dxa"/>
          </w:tcPr>
          <w:p w:rsidR="0039426B" w:rsidRPr="00264C5B" w:rsidRDefault="0039426B" w:rsidP="001353AE">
            <w:pPr>
              <w:spacing w:after="0" w:line="240" w:lineRule="auto"/>
              <w:rPr>
                <w:sz w:val="20"/>
                <w:szCs w:val="20"/>
              </w:rPr>
            </w:pPr>
            <w:r w:rsidRPr="00264C5B">
              <w:rPr>
                <w:sz w:val="20"/>
                <w:szCs w:val="20"/>
              </w:rPr>
              <w:t>Dr. Hess is starting a blood management focus with HMC clinical care staff.  He will be meeting first with the neurosurgeons and ortho/spine surgeons.</w:t>
            </w:r>
          </w:p>
        </w:tc>
      </w:tr>
      <w:tr w:rsidR="0039426B" w:rsidTr="001500DB">
        <w:tc>
          <w:tcPr>
            <w:tcW w:w="1548" w:type="dxa"/>
            <w:vAlign w:val="center"/>
          </w:tcPr>
          <w:p w:rsidR="0039426B" w:rsidRDefault="0039426B" w:rsidP="008F0A18">
            <w:pPr>
              <w:spacing w:after="0"/>
              <w:rPr>
                <w:b/>
                <w:sz w:val="20"/>
                <w:szCs w:val="20"/>
              </w:rPr>
            </w:pPr>
            <w:r>
              <w:rPr>
                <w:b/>
                <w:sz w:val="20"/>
                <w:szCs w:val="20"/>
              </w:rPr>
              <w:t>Competency Committee</w:t>
            </w:r>
          </w:p>
        </w:tc>
        <w:tc>
          <w:tcPr>
            <w:tcW w:w="8028" w:type="dxa"/>
          </w:tcPr>
          <w:p w:rsidR="0039426B" w:rsidRPr="00264C5B" w:rsidRDefault="0039426B" w:rsidP="001353AE">
            <w:pPr>
              <w:spacing w:after="0" w:line="240" w:lineRule="auto"/>
              <w:rPr>
                <w:sz w:val="20"/>
                <w:szCs w:val="20"/>
              </w:rPr>
            </w:pPr>
            <w:r w:rsidRPr="00264C5B">
              <w:rPr>
                <w:sz w:val="20"/>
                <w:szCs w:val="20"/>
              </w:rPr>
              <w:t xml:space="preserve">TSL will be forming a Competency Committee to prepare, administer, and review competency testing.  The committee will be 3 staff, both CT and CLT.  One member will serve 2 years to provide continuity.  Never prepared a competency?  No problem.  We all have taken plenty of them which </w:t>
            </w:r>
            <w:proofErr w:type="gramStart"/>
            <w:r w:rsidRPr="00264C5B">
              <w:rPr>
                <w:sz w:val="20"/>
                <w:szCs w:val="20"/>
              </w:rPr>
              <w:t>makes</w:t>
            </w:r>
            <w:proofErr w:type="gramEnd"/>
            <w:r w:rsidRPr="00264C5B">
              <w:rPr>
                <w:sz w:val="20"/>
                <w:szCs w:val="20"/>
              </w:rPr>
              <w:t xml:space="preserve"> us all experts.  More info and an SOP to follow.</w:t>
            </w:r>
          </w:p>
        </w:tc>
      </w:tr>
      <w:tr w:rsidR="0039426B" w:rsidTr="001500DB">
        <w:tc>
          <w:tcPr>
            <w:tcW w:w="1548" w:type="dxa"/>
            <w:vAlign w:val="center"/>
          </w:tcPr>
          <w:p w:rsidR="0039426B" w:rsidRDefault="0039426B" w:rsidP="008F0A18">
            <w:pPr>
              <w:spacing w:after="0"/>
              <w:rPr>
                <w:b/>
                <w:sz w:val="20"/>
                <w:szCs w:val="20"/>
              </w:rPr>
            </w:pPr>
            <w:r>
              <w:rPr>
                <w:b/>
                <w:sz w:val="20"/>
                <w:szCs w:val="20"/>
              </w:rPr>
              <w:t>IH study</w:t>
            </w:r>
          </w:p>
        </w:tc>
        <w:tc>
          <w:tcPr>
            <w:tcW w:w="8028" w:type="dxa"/>
          </w:tcPr>
          <w:p w:rsidR="0039426B" w:rsidRPr="00264C5B" w:rsidRDefault="0039426B" w:rsidP="001353AE">
            <w:pPr>
              <w:spacing w:after="0" w:line="240" w:lineRule="auto"/>
              <w:rPr>
                <w:sz w:val="20"/>
                <w:szCs w:val="20"/>
              </w:rPr>
            </w:pPr>
            <w:r w:rsidRPr="00264C5B">
              <w:rPr>
                <w:sz w:val="20"/>
                <w:szCs w:val="20"/>
              </w:rPr>
              <w:t>We are down to weak D, e, antibodies and crossmatch of antibody patients.  Doesn’t sound like much but we are down to the harder things to find.</w:t>
            </w:r>
          </w:p>
        </w:tc>
      </w:tr>
      <w:tr w:rsidR="0039426B" w:rsidTr="001500DB">
        <w:tc>
          <w:tcPr>
            <w:tcW w:w="1548" w:type="dxa"/>
            <w:vAlign w:val="center"/>
          </w:tcPr>
          <w:p w:rsidR="0039426B" w:rsidRDefault="0039426B" w:rsidP="008F0A18">
            <w:pPr>
              <w:spacing w:after="0"/>
              <w:rPr>
                <w:b/>
                <w:sz w:val="20"/>
                <w:szCs w:val="20"/>
              </w:rPr>
            </w:pPr>
            <w:r>
              <w:rPr>
                <w:b/>
                <w:sz w:val="20"/>
                <w:szCs w:val="20"/>
              </w:rPr>
              <w:t>Proficiency Testing Coordinator</w:t>
            </w:r>
          </w:p>
        </w:tc>
        <w:tc>
          <w:tcPr>
            <w:tcW w:w="8028" w:type="dxa"/>
          </w:tcPr>
          <w:p w:rsidR="0039426B" w:rsidRPr="00264C5B" w:rsidRDefault="0039426B" w:rsidP="001353AE">
            <w:pPr>
              <w:spacing w:after="0" w:line="240" w:lineRule="auto"/>
              <w:rPr>
                <w:sz w:val="20"/>
                <w:szCs w:val="20"/>
              </w:rPr>
            </w:pPr>
            <w:r w:rsidRPr="00264C5B">
              <w:rPr>
                <w:sz w:val="20"/>
                <w:szCs w:val="20"/>
              </w:rPr>
              <w:t>Currently, Roxann is the designated Proficiency Testing Coordinator with Erin providing back-up.  Brenda would like to open the position up to interested CT staff.  Not sure what the responsibilities are?  The Proficiency Testing SOP lists the responsibilities and Roxann or Erin can answer questions.  Let Brenda know if you are interested.</w:t>
            </w:r>
          </w:p>
        </w:tc>
      </w:tr>
      <w:tr w:rsidR="0039426B" w:rsidTr="001500DB">
        <w:tc>
          <w:tcPr>
            <w:tcW w:w="1548" w:type="dxa"/>
            <w:vAlign w:val="center"/>
          </w:tcPr>
          <w:p w:rsidR="0039426B" w:rsidRDefault="0039426B" w:rsidP="008F0A18">
            <w:pPr>
              <w:spacing w:after="0"/>
              <w:rPr>
                <w:b/>
                <w:sz w:val="20"/>
                <w:szCs w:val="20"/>
              </w:rPr>
            </w:pPr>
            <w:r>
              <w:rPr>
                <w:b/>
                <w:sz w:val="20"/>
                <w:szCs w:val="20"/>
              </w:rPr>
              <w:t>2</w:t>
            </w:r>
            <w:r w:rsidRPr="0039426B">
              <w:rPr>
                <w:b/>
                <w:sz w:val="20"/>
                <w:szCs w:val="20"/>
                <w:vertAlign w:val="superscript"/>
              </w:rPr>
              <w:t>nd</w:t>
            </w:r>
            <w:r>
              <w:rPr>
                <w:b/>
                <w:sz w:val="20"/>
                <w:szCs w:val="20"/>
              </w:rPr>
              <w:t xml:space="preserve"> Tube Pilot Study</w:t>
            </w:r>
          </w:p>
        </w:tc>
        <w:tc>
          <w:tcPr>
            <w:tcW w:w="8028" w:type="dxa"/>
          </w:tcPr>
          <w:p w:rsidR="0039426B" w:rsidRPr="00264C5B" w:rsidRDefault="0039426B" w:rsidP="001353AE">
            <w:pPr>
              <w:spacing w:after="0" w:line="240" w:lineRule="auto"/>
              <w:rPr>
                <w:sz w:val="20"/>
                <w:szCs w:val="20"/>
              </w:rPr>
            </w:pPr>
            <w:r w:rsidRPr="00264C5B">
              <w:rPr>
                <w:sz w:val="20"/>
                <w:szCs w:val="20"/>
              </w:rPr>
              <w:t>Erin talked about the pilot study starting August 5</w:t>
            </w:r>
            <w:r w:rsidRPr="00264C5B">
              <w:rPr>
                <w:sz w:val="20"/>
                <w:szCs w:val="20"/>
                <w:vertAlign w:val="superscript"/>
              </w:rPr>
              <w:t>th</w:t>
            </w:r>
            <w:r w:rsidRPr="00264C5B">
              <w:rPr>
                <w:sz w:val="20"/>
                <w:szCs w:val="20"/>
              </w:rPr>
              <w:t xml:space="preserve"> with 9MA and 9MB.  A PowerPoint, flow charts and Blood Request have been posted to MTS.  Erin will be rounding with staff to discuss the pilot project.  The stickers may be small but the potential for improving patient safety is HUGE!</w:t>
            </w:r>
          </w:p>
        </w:tc>
      </w:tr>
      <w:tr w:rsidR="00FA156F" w:rsidTr="00FA156F">
        <w:trPr>
          <w:trHeight w:val="602"/>
        </w:trPr>
        <w:tc>
          <w:tcPr>
            <w:tcW w:w="1548" w:type="dxa"/>
            <w:vAlign w:val="center"/>
          </w:tcPr>
          <w:p w:rsidR="00FA156F" w:rsidRPr="00264C5B" w:rsidRDefault="00FA156F" w:rsidP="00FA156F">
            <w:pPr>
              <w:rPr>
                <w:b/>
                <w:sz w:val="20"/>
                <w:szCs w:val="20"/>
              </w:rPr>
            </w:pPr>
            <w:r w:rsidRPr="00264C5B">
              <w:rPr>
                <w:b/>
                <w:sz w:val="20"/>
                <w:szCs w:val="20"/>
              </w:rPr>
              <w:t xml:space="preserve">TSL Internal Audit </w:t>
            </w:r>
          </w:p>
        </w:tc>
        <w:tc>
          <w:tcPr>
            <w:tcW w:w="8028" w:type="dxa"/>
          </w:tcPr>
          <w:p w:rsidR="00FA156F" w:rsidRPr="00264C5B" w:rsidRDefault="00FA156F" w:rsidP="00FA156F">
            <w:pPr>
              <w:spacing w:after="0" w:line="240" w:lineRule="auto"/>
              <w:rPr>
                <w:b/>
                <w:sz w:val="20"/>
                <w:szCs w:val="20"/>
              </w:rPr>
            </w:pPr>
            <w:r w:rsidRPr="00264C5B">
              <w:rPr>
                <w:b/>
                <w:sz w:val="20"/>
                <w:szCs w:val="20"/>
              </w:rPr>
              <w:t>January to June Audits for the following are c</w:t>
            </w:r>
            <w:r w:rsidR="00996BD5" w:rsidRPr="00264C5B">
              <w:rPr>
                <w:b/>
                <w:sz w:val="20"/>
                <w:szCs w:val="20"/>
              </w:rPr>
              <w:t xml:space="preserve">ompleted: </w:t>
            </w:r>
          </w:p>
          <w:p w:rsidR="00996BD5" w:rsidRPr="00264C5B" w:rsidRDefault="00996BD5" w:rsidP="00FA156F">
            <w:pPr>
              <w:spacing w:after="0" w:line="240" w:lineRule="auto"/>
              <w:rPr>
                <w:sz w:val="20"/>
                <w:szCs w:val="20"/>
              </w:rPr>
            </w:pPr>
            <w:r w:rsidRPr="00264C5B">
              <w:rPr>
                <w:b/>
                <w:sz w:val="20"/>
                <w:szCs w:val="20"/>
              </w:rPr>
              <w:t>Segments</w:t>
            </w:r>
            <w:r w:rsidRPr="00264C5B">
              <w:rPr>
                <w:sz w:val="20"/>
                <w:szCs w:val="20"/>
              </w:rPr>
              <w:t xml:space="preserve"> – good outcome</w:t>
            </w:r>
          </w:p>
          <w:p w:rsidR="00FA156F" w:rsidRPr="00264C5B" w:rsidRDefault="00FA156F" w:rsidP="00FA156F">
            <w:pPr>
              <w:spacing w:after="0" w:line="240" w:lineRule="auto"/>
              <w:rPr>
                <w:sz w:val="20"/>
                <w:szCs w:val="20"/>
              </w:rPr>
            </w:pPr>
            <w:r w:rsidRPr="00264C5B">
              <w:rPr>
                <w:b/>
                <w:sz w:val="20"/>
                <w:szCs w:val="20"/>
              </w:rPr>
              <w:t xml:space="preserve">Tracer </w:t>
            </w:r>
            <w:r w:rsidRPr="00264C5B">
              <w:rPr>
                <w:sz w:val="20"/>
                <w:szCs w:val="20"/>
              </w:rPr>
              <w:t xml:space="preserve">(process, performance and document control). – good </w:t>
            </w:r>
            <w:r w:rsidR="00996BD5" w:rsidRPr="00264C5B">
              <w:rPr>
                <w:sz w:val="20"/>
                <w:szCs w:val="20"/>
              </w:rPr>
              <w:t>rating</w:t>
            </w:r>
          </w:p>
          <w:p w:rsidR="00996BD5" w:rsidRPr="00264C5B" w:rsidRDefault="00996BD5" w:rsidP="00FA156F">
            <w:pPr>
              <w:spacing w:after="0" w:line="240" w:lineRule="auto"/>
              <w:rPr>
                <w:sz w:val="20"/>
                <w:szCs w:val="20"/>
              </w:rPr>
            </w:pPr>
            <w:r w:rsidRPr="00264C5B">
              <w:rPr>
                <w:b/>
                <w:sz w:val="20"/>
                <w:szCs w:val="20"/>
              </w:rPr>
              <w:t>Blood Component Storage</w:t>
            </w:r>
            <w:r w:rsidRPr="00264C5B">
              <w:rPr>
                <w:sz w:val="20"/>
                <w:szCs w:val="20"/>
              </w:rPr>
              <w:t xml:space="preserve"> – good rating</w:t>
            </w:r>
          </w:p>
          <w:p w:rsidR="00996BD5" w:rsidRPr="00264C5B" w:rsidRDefault="00996BD5" w:rsidP="00FA156F">
            <w:pPr>
              <w:spacing w:after="0" w:line="240" w:lineRule="auto"/>
              <w:rPr>
                <w:sz w:val="20"/>
                <w:szCs w:val="20"/>
              </w:rPr>
            </w:pPr>
            <w:r w:rsidRPr="00264C5B">
              <w:rPr>
                <w:b/>
                <w:sz w:val="20"/>
                <w:szCs w:val="20"/>
              </w:rPr>
              <w:t>TSL QI monitoring on BPI and BPU</w:t>
            </w:r>
            <w:r w:rsidRPr="00264C5B">
              <w:rPr>
                <w:sz w:val="20"/>
                <w:szCs w:val="20"/>
              </w:rPr>
              <w:t xml:space="preserve"> process- high incidence of incomplete BPR </w:t>
            </w:r>
          </w:p>
          <w:p w:rsidR="00FA156F" w:rsidRPr="00264C5B" w:rsidRDefault="00FA156F" w:rsidP="00996BD5">
            <w:pPr>
              <w:spacing w:after="0" w:line="240" w:lineRule="auto"/>
              <w:rPr>
                <w:sz w:val="20"/>
                <w:szCs w:val="20"/>
              </w:rPr>
            </w:pPr>
            <w:r w:rsidRPr="00264C5B">
              <w:rPr>
                <w:b/>
                <w:sz w:val="20"/>
                <w:szCs w:val="20"/>
              </w:rPr>
              <w:t>Trauma Log Audit-</w:t>
            </w:r>
            <w:r w:rsidRPr="00264C5B">
              <w:rPr>
                <w:sz w:val="20"/>
                <w:szCs w:val="20"/>
              </w:rPr>
              <w:t xml:space="preserve"> needs improvement; 60% overall compliance rating</w:t>
            </w:r>
            <w:r w:rsidR="00996BD5" w:rsidRPr="00264C5B">
              <w:rPr>
                <w:sz w:val="20"/>
                <w:szCs w:val="20"/>
              </w:rPr>
              <w:t xml:space="preserve"> due to incomplete logs.</w:t>
            </w:r>
          </w:p>
        </w:tc>
      </w:tr>
      <w:tr w:rsidR="002515E9" w:rsidTr="001500DB">
        <w:tc>
          <w:tcPr>
            <w:tcW w:w="1548" w:type="dxa"/>
            <w:vAlign w:val="center"/>
          </w:tcPr>
          <w:p w:rsidR="002515E9" w:rsidRPr="001500DB" w:rsidRDefault="0091419E" w:rsidP="00F4170F">
            <w:pPr>
              <w:rPr>
                <w:b/>
                <w:sz w:val="20"/>
                <w:szCs w:val="20"/>
              </w:rPr>
            </w:pPr>
            <w:r w:rsidRPr="001500DB">
              <w:rPr>
                <w:b/>
                <w:sz w:val="20"/>
                <w:szCs w:val="20"/>
              </w:rPr>
              <w:t xml:space="preserve">Attending </w:t>
            </w:r>
            <w:r w:rsidR="001353AE" w:rsidRPr="001500DB">
              <w:rPr>
                <w:b/>
                <w:sz w:val="20"/>
                <w:szCs w:val="20"/>
              </w:rPr>
              <w:t xml:space="preserve">0700, </w:t>
            </w:r>
            <w:r w:rsidR="00F4170F">
              <w:rPr>
                <w:b/>
                <w:sz w:val="20"/>
                <w:szCs w:val="20"/>
              </w:rPr>
              <w:t>7/25</w:t>
            </w:r>
          </w:p>
        </w:tc>
        <w:tc>
          <w:tcPr>
            <w:tcW w:w="8028" w:type="dxa"/>
          </w:tcPr>
          <w:p w:rsidR="006D01B8" w:rsidRDefault="001500DB" w:rsidP="001353AE">
            <w:pPr>
              <w:rPr>
                <w:sz w:val="20"/>
                <w:szCs w:val="20"/>
              </w:rPr>
            </w:pPr>
            <w:r>
              <w:rPr>
                <w:sz w:val="20"/>
                <w:szCs w:val="20"/>
              </w:rPr>
              <w:t>Roxann,</w:t>
            </w:r>
            <w:r w:rsidR="0091419E">
              <w:rPr>
                <w:sz w:val="20"/>
                <w:szCs w:val="20"/>
              </w:rPr>
              <w:t xml:space="preserve"> </w:t>
            </w:r>
            <w:r w:rsidR="001353AE">
              <w:rPr>
                <w:sz w:val="20"/>
                <w:szCs w:val="20"/>
              </w:rPr>
              <w:t>Mike, Ed, Hieu, Nina</w:t>
            </w:r>
            <w:r w:rsidR="00F4170F">
              <w:rPr>
                <w:sz w:val="20"/>
                <w:szCs w:val="20"/>
              </w:rPr>
              <w:t>, Brenda, Brennan</w:t>
            </w:r>
          </w:p>
        </w:tc>
      </w:tr>
      <w:tr w:rsidR="00EC6C38" w:rsidTr="001500DB">
        <w:tc>
          <w:tcPr>
            <w:tcW w:w="1548" w:type="dxa"/>
            <w:vAlign w:val="center"/>
          </w:tcPr>
          <w:p w:rsidR="00EC6C38" w:rsidRPr="001500DB" w:rsidRDefault="00EC6C38" w:rsidP="00F4170F">
            <w:pPr>
              <w:rPr>
                <w:b/>
                <w:sz w:val="20"/>
                <w:szCs w:val="20"/>
              </w:rPr>
            </w:pPr>
            <w:r w:rsidRPr="001500DB">
              <w:rPr>
                <w:b/>
                <w:sz w:val="20"/>
                <w:szCs w:val="20"/>
              </w:rPr>
              <w:t xml:space="preserve">Attending </w:t>
            </w:r>
            <w:r w:rsidR="001353AE" w:rsidRPr="001500DB">
              <w:rPr>
                <w:b/>
                <w:sz w:val="20"/>
                <w:szCs w:val="20"/>
              </w:rPr>
              <w:t xml:space="preserve">1400, </w:t>
            </w:r>
            <w:r w:rsidR="00F4170F">
              <w:rPr>
                <w:b/>
                <w:sz w:val="20"/>
                <w:szCs w:val="20"/>
              </w:rPr>
              <w:t>7/25</w:t>
            </w:r>
          </w:p>
        </w:tc>
        <w:tc>
          <w:tcPr>
            <w:tcW w:w="8028" w:type="dxa"/>
          </w:tcPr>
          <w:p w:rsidR="00EC6C38" w:rsidRDefault="00F4170F" w:rsidP="00C20540">
            <w:pPr>
              <w:rPr>
                <w:sz w:val="20"/>
                <w:szCs w:val="20"/>
              </w:rPr>
            </w:pPr>
            <w:r>
              <w:rPr>
                <w:sz w:val="20"/>
                <w:szCs w:val="20"/>
              </w:rPr>
              <w:t xml:space="preserve">Stephanie, </w:t>
            </w:r>
            <w:r w:rsidR="001500DB">
              <w:rPr>
                <w:sz w:val="20"/>
                <w:szCs w:val="20"/>
              </w:rPr>
              <w:t xml:space="preserve">Sau-Seong, Beth, </w:t>
            </w:r>
            <w:r w:rsidR="00CA2F39">
              <w:rPr>
                <w:sz w:val="20"/>
                <w:szCs w:val="20"/>
              </w:rPr>
              <w:t>Abe</w:t>
            </w:r>
            <w:r>
              <w:rPr>
                <w:sz w:val="20"/>
                <w:szCs w:val="20"/>
              </w:rPr>
              <w:t>, Gie</w:t>
            </w:r>
          </w:p>
        </w:tc>
      </w:tr>
    </w:tbl>
    <w:p w:rsidR="00FA156F" w:rsidRDefault="00FA156F" w:rsidP="00C20540"/>
    <w:p w:rsidR="00C20540" w:rsidRDefault="00C20540" w:rsidP="00264C5B">
      <w:bookmarkStart w:id="0" w:name="_GoBack"/>
      <w:bookmarkEnd w:id="0"/>
    </w:p>
    <w:sectPr w:rsidR="00C20540" w:rsidSect="009706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1D" w:rsidRDefault="009D691D">
      <w:r>
        <w:separator/>
      </w:r>
    </w:p>
  </w:endnote>
  <w:endnote w:type="continuationSeparator" w:id="0">
    <w:p w:rsidR="009D691D" w:rsidRDefault="009D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F4170F">
    <w:pPr>
      <w:pStyle w:val="Footer"/>
    </w:pPr>
    <w:r>
      <w:t>7/26</w:t>
    </w:r>
    <w:r w:rsidR="006D01B8">
      <w:t xml:space="preserve">/2013     </w:t>
    </w:r>
    <w:r w:rsidR="00A15E84">
      <w:t>rg</w:t>
    </w:r>
    <w:r w:rsidR="00974734">
      <w:tab/>
    </w:r>
    <w:r w:rsidR="00974734">
      <w:tab/>
      <w:t xml:space="preserve">Page </w:t>
    </w:r>
    <w:r w:rsidR="00974734">
      <w:rPr>
        <w:b/>
      </w:rPr>
      <w:fldChar w:fldCharType="begin"/>
    </w:r>
    <w:r w:rsidR="00974734">
      <w:rPr>
        <w:b/>
      </w:rPr>
      <w:instrText xml:space="preserve"> PAGE  \* Arabic  \* MERGEFORMAT </w:instrText>
    </w:r>
    <w:r w:rsidR="00974734">
      <w:rPr>
        <w:b/>
      </w:rPr>
      <w:fldChar w:fldCharType="separate"/>
    </w:r>
    <w:r w:rsidR="00264C5B">
      <w:rPr>
        <w:b/>
        <w:noProof/>
      </w:rPr>
      <w:t>2</w:t>
    </w:r>
    <w:r w:rsidR="00974734">
      <w:rPr>
        <w:b/>
      </w:rPr>
      <w:fldChar w:fldCharType="end"/>
    </w:r>
    <w:r w:rsidR="00974734">
      <w:t xml:space="preserve"> of </w:t>
    </w:r>
    <w:r w:rsidR="00974734">
      <w:rPr>
        <w:b/>
      </w:rPr>
      <w:fldChar w:fldCharType="begin"/>
    </w:r>
    <w:r w:rsidR="00974734">
      <w:rPr>
        <w:b/>
      </w:rPr>
      <w:instrText xml:space="preserve"> NUMPAGES  \* Arabic  \* MERGEFORMAT </w:instrText>
    </w:r>
    <w:r w:rsidR="00974734">
      <w:rPr>
        <w:b/>
      </w:rPr>
      <w:fldChar w:fldCharType="separate"/>
    </w:r>
    <w:r w:rsidR="00264C5B">
      <w:rPr>
        <w:b/>
        <w:noProof/>
      </w:rPr>
      <w:t>2</w:t>
    </w:r>
    <w:r w:rsidR="00974734">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1D" w:rsidRDefault="009D691D">
      <w:r>
        <w:separator/>
      </w:r>
    </w:p>
  </w:footnote>
  <w:footnote w:type="continuationSeparator" w:id="0">
    <w:p w:rsidR="009D691D" w:rsidRDefault="009D6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996BD5">
    <w:pPr>
      <w:pStyle w:val="Header"/>
    </w:pPr>
    <w:r>
      <w:rPr>
        <w:noProof/>
      </w:rPr>
      <w:drawing>
        <wp:inline distT="0" distB="0" distL="0" distR="0">
          <wp:extent cx="6543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42A"/>
    <w:multiLevelType w:val="hybridMultilevel"/>
    <w:tmpl w:val="BF5CA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59923BC"/>
    <w:multiLevelType w:val="hybridMultilevel"/>
    <w:tmpl w:val="2D5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62"/>
    <w:rsid w:val="00084428"/>
    <w:rsid w:val="00095E62"/>
    <w:rsid w:val="000F022E"/>
    <w:rsid w:val="001353AE"/>
    <w:rsid w:val="001379DD"/>
    <w:rsid w:val="001500DB"/>
    <w:rsid w:val="00177C6D"/>
    <w:rsid w:val="001B4F2A"/>
    <w:rsid w:val="001C5095"/>
    <w:rsid w:val="002227F4"/>
    <w:rsid w:val="002515E9"/>
    <w:rsid w:val="00264C5B"/>
    <w:rsid w:val="002C527C"/>
    <w:rsid w:val="002F228D"/>
    <w:rsid w:val="00302C36"/>
    <w:rsid w:val="0039426B"/>
    <w:rsid w:val="003C1B92"/>
    <w:rsid w:val="003D07EA"/>
    <w:rsid w:val="003D5177"/>
    <w:rsid w:val="003D544A"/>
    <w:rsid w:val="00412C26"/>
    <w:rsid w:val="004D60AC"/>
    <w:rsid w:val="004E067B"/>
    <w:rsid w:val="005811EA"/>
    <w:rsid w:val="00583816"/>
    <w:rsid w:val="005C2C40"/>
    <w:rsid w:val="005C39D2"/>
    <w:rsid w:val="005E3363"/>
    <w:rsid w:val="00604E50"/>
    <w:rsid w:val="00634BEB"/>
    <w:rsid w:val="006412B8"/>
    <w:rsid w:val="00643DA5"/>
    <w:rsid w:val="00685821"/>
    <w:rsid w:val="00685845"/>
    <w:rsid w:val="006C4F3E"/>
    <w:rsid w:val="006D01B8"/>
    <w:rsid w:val="006D685D"/>
    <w:rsid w:val="007801E6"/>
    <w:rsid w:val="007A7C8A"/>
    <w:rsid w:val="007B2155"/>
    <w:rsid w:val="00833291"/>
    <w:rsid w:val="008E7013"/>
    <w:rsid w:val="008F0A18"/>
    <w:rsid w:val="008F2DF9"/>
    <w:rsid w:val="0091419E"/>
    <w:rsid w:val="00970649"/>
    <w:rsid w:val="00974734"/>
    <w:rsid w:val="00985AC7"/>
    <w:rsid w:val="00996BD5"/>
    <w:rsid w:val="009D691D"/>
    <w:rsid w:val="009E5267"/>
    <w:rsid w:val="00A15E84"/>
    <w:rsid w:val="00A5023A"/>
    <w:rsid w:val="00A834B9"/>
    <w:rsid w:val="00AC1F7C"/>
    <w:rsid w:val="00B3442E"/>
    <w:rsid w:val="00B45DFB"/>
    <w:rsid w:val="00BF3014"/>
    <w:rsid w:val="00C20540"/>
    <w:rsid w:val="00C273E8"/>
    <w:rsid w:val="00C53778"/>
    <w:rsid w:val="00C74258"/>
    <w:rsid w:val="00C94378"/>
    <w:rsid w:val="00CA2F39"/>
    <w:rsid w:val="00CE1D0E"/>
    <w:rsid w:val="00EC6C38"/>
    <w:rsid w:val="00EE07F1"/>
    <w:rsid w:val="00F360FC"/>
    <w:rsid w:val="00F4170F"/>
    <w:rsid w:val="00F779AA"/>
    <w:rsid w:val="00FA156F"/>
    <w:rsid w:val="00FC3CF1"/>
    <w:rsid w:val="00FC4D66"/>
    <w:rsid w:val="00FE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95E62"/>
    <w:rPr>
      <w:rFonts w:cs="Times New Roman"/>
      <w:color w:val="0000FF"/>
      <w:u w:val="single"/>
    </w:rPr>
  </w:style>
  <w:style w:type="paragraph" w:styleId="Header">
    <w:name w:val="header"/>
    <w:basedOn w:val="Normal"/>
    <w:link w:val="HeaderChar"/>
    <w:uiPriority w:val="99"/>
    <w:rsid w:val="00A834B9"/>
    <w:pPr>
      <w:tabs>
        <w:tab w:val="center" w:pos="4320"/>
        <w:tab w:val="right" w:pos="8640"/>
      </w:tabs>
    </w:pPr>
  </w:style>
  <w:style w:type="character" w:customStyle="1" w:styleId="HeaderChar">
    <w:name w:val="Header Char"/>
    <w:link w:val="Header"/>
    <w:uiPriority w:val="99"/>
    <w:semiHidden/>
    <w:locked/>
    <w:rsid w:val="00FE1DC9"/>
    <w:rPr>
      <w:rFonts w:cs="Times New Roman"/>
    </w:rPr>
  </w:style>
  <w:style w:type="paragraph" w:styleId="Footer">
    <w:name w:val="footer"/>
    <w:basedOn w:val="Normal"/>
    <w:link w:val="FooterChar"/>
    <w:uiPriority w:val="99"/>
    <w:rsid w:val="00A834B9"/>
    <w:pPr>
      <w:tabs>
        <w:tab w:val="center" w:pos="4320"/>
        <w:tab w:val="right" w:pos="8640"/>
      </w:tabs>
    </w:pPr>
  </w:style>
  <w:style w:type="character" w:customStyle="1" w:styleId="FooterChar">
    <w:name w:val="Footer Char"/>
    <w:link w:val="Footer"/>
    <w:uiPriority w:val="99"/>
    <w:semiHidden/>
    <w:locked/>
    <w:rsid w:val="00FE1DC9"/>
    <w:rPr>
      <w:rFonts w:cs="Times New Roman"/>
    </w:rPr>
  </w:style>
  <w:style w:type="paragraph" w:styleId="BalloonText">
    <w:name w:val="Balloon Text"/>
    <w:basedOn w:val="Normal"/>
    <w:link w:val="BalloonTextChar"/>
    <w:uiPriority w:val="99"/>
    <w:semiHidden/>
    <w:unhideWhenUsed/>
    <w:rsid w:val="003D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5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95E62"/>
    <w:rPr>
      <w:rFonts w:cs="Times New Roman"/>
      <w:color w:val="0000FF"/>
      <w:u w:val="single"/>
    </w:rPr>
  </w:style>
  <w:style w:type="paragraph" w:styleId="Header">
    <w:name w:val="header"/>
    <w:basedOn w:val="Normal"/>
    <w:link w:val="HeaderChar"/>
    <w:uiPriority w:val="99"/>
    <w:rsid w:val="00A834B9"/>
    <w:pPr>
      <w:tabs>
        <w:tab w:val="center" w:pos="4320"/>
        <w:tab w:val="right" w:pos="8640"/>
      </w:tabs>
    </w:pPr>
  </w:style>
  <w:style w:type="character" w:customStyle="1" w:styleId="HeaderChar">
    <w:name w:val="Header Char"/>
    <w:link w:val="Header"/>
    <w:uiPriority w:val="99"/>
    <w:semiHidden/>
    <w:locked/>
    <w:rsid w:val="00FE1DC9"/>
    <w:rPr>
      <w:rFonts w:cs="Times New Roman"/>
    </w:rPr>
  </w:style>
  <w:style w:type="paragraph" w:styleId="Footer">
    <w:name w:val="footer"/>
    <w:basedOn w:val="Normal"/>
    <w:link w:val="FooterChar"/>
    <w:uiPriority w:val="99"/>
    <w:rsid w:val="00A834B9"/>
    <w:pPr>
      <w:tabs>
        <w:tab w:val="center" w:pos="4320"/>
        <w:tab w:val="right" w:pos="8640"/>
      </w:tabs>
    </w:pPr>
  </w:style>
  <w:style w:type="character" w:customStyle="1" w:styleId="FooterChar">
    <w:name w:val="Footer Char"/>
    <w:link w:val="Footer"/>
    <w:uiPriority w:val="99"/>
    <w:semiHidden/>
    <w:locked/>
    <w:rsid w:val="00FE1DC9"/>
    <w:rPr>
      <w:rFonts w:cs="Times New Roman"/>
    </w:rPr>
  </w:style>
  <w:style w:type="paragraph" w:styleId="BalloonText">
    <w:name w:val="Balloon Text"/>
    <w:basedOn w:val="Normal"/>
    <w:link w:val="BalloonTextChar"/>
    <w:uiPriority w:val="99"/>
    <w:semiHidden/>
    <w:unhideWhenUsed/>
    <w:rsid w:val="003D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5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1035</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01/20/2011</vt:lpstr>
    </vt:vector>
  </TitlesOfParts>
  <Company>UWMC</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01/20/2011</dc:title>
  <dc:subject/>
  <dc:creator>rgary</dc:creator>
  <cp:keywords/>
  <dc:description/>
  <cp:lastModifiedBy>rgary</cp:lastModifiedBy>
  <cp:revision>6</cp:revision>
  <cp:lastPrinted>2012-09-14T20:17:00Z</cp:lastPrinted>
  <dcterms:created xsi:type="dcterms:W3CDTF">2013-07-26T21:34:00Z</dcterms:created>
  <dcterms:modified xsi:type="dcterms:W3CDTF">2013-07-26T22:15:00Z</dcterms:modified>
</cp:coreProperties>
</file>