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AA28A4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705E">
              <w:rPr>
                <w:rFonts w:ascii="Arial" w:hAnsi="Arial" w:cs="Arial"/>
                <w:b/>
                <w:sz w:val="22"/>
                <w:szCs w:val="22"/>
              </w:rPr>
              <w:t>August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A7705E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1900-</w:t>
            </w:r>
            <w:r w:rsidR="007B000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7B0001" w:rsidRDefault="007B0001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8/15/13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2354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F05BAF" w:rsidRPr="00FE2354" w:rsidRDefault="00FE2354" w:rsidP="00FE2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D87E0D" w:rsidRDefault="00F05BAF" w:rsidP="0064249A">
            <w:pPr>
              <w:rPr>
                <w:rFonts w:ascii="Arial" w:hAnsi="Arial" w:cs="Arial"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A7705E" w:rsidRPr="00D87E0D">
              <w:rPr>
                <w:rFonts w:ascii="Arial" w:hAnsi="Arial" w:cs="Arial"/>
                <w:sz w:val="28"/>
                <w:szCs w:val="28"/>
              </w:rPr>
              <w:t>QSE:  Process Improvement</w:t>
            </w:r>
          </w:p>
          <w:p w:rsidR="00A7705E" w:rsidRPr="00A7705E" w:rsidRDefault="00A7705E" w:rsidP="00FE23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7E0D">
              <w:rPr>
                <w:rFonts w:ascii="Arial" w:hAnsi="Arial" w:cs="Arial"/>
                <w:sz w:val="28"/>
                <w:szCs w:val="28"/>
              </w:rPr>
              <w:t xml:space="preserve">           Quality Policy:  Process Improvement</w:t>
            </w:r>
          </w:p>
        </w:tc>
      </w:tr>
    </w:tbl>
    <w:p w:rsidR="008F00AD" w:rsidRDefault="008F00AD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74A2A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Policy:  </w:t>
      </w:r>
    </w:p>
    <w:p w:rsidR="00A7705E" w:rsidRDefault="00A7705E" w:rsidP="00FE2354">
      <w:pPr>
        <w:tabs>
          <w:tab w:val="left" w:pos="930"/>
        </w:tabs>
        <w:jc w:val="right"/>
        <w:rPr>
          <w:rFonts w:ascii="Arial" w:hAnsi="Arial" w:cs="Arial"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D16EC4">
        <w:rPr>
          <w:rFonts w:ascii="Arial" w:hAnsi="Arial" w:cs="Arial"/>
          <w:sz w:val="22"/>
          <w:szCs w:val="22"/>
        </w:rPr>
        <w:t>collects and analyzes data including near miss events, to determine where preventive and corrective actions are needed, and follow up on implementing the necessary preventive or corrective actions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A7705E">
        <w:rPr>
          <w:rFonts w:ascii="Arial" w:hAnsi="Arial" w:cs="Arial"/>
          <w:b/>
          <w:sz w:val="22"/>
          <w:szCs w:val="22"/>
        </w:rPr>
        <w:t>Purpose: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direction for the processes and procedures </w:t>
      </w:r>
      <w:r w:rsidR="008F00AD">
        <w:rPr>
          <w:rFonts w:ascii="Arial" w:hAnsi="Arial" w:cs="Arial"/>
          <w:sz w:val="22"/>
          <w:szCs w:val="22"/>
        </w:rPr>
        <w:t>for identification and development of preventive actions for anticipated quality problems and corrective actions for identified opportunities for improvement.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210"/>
        <w:gridCol w:w="2268"/>
      </w:tblGrid>
      <w:tr w:rsidR="00AA28A4" w:rsidTr="00AA28A4">
        <w:tc>
          <w:tcPr>
            <w:tcW w:w="1998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210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268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A28A4" w:rsidTr="00AA28A4">
        <w:tc>
          <w:tcPr>
            <w:tcW w:w="1998" w:type="dxa"/>
          </w:tcPr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0" w:type="dxa"/>
          </w:tcPr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policy decisions regarding quality indicators and data collection methods.</w:t>
            </w:r>
          </w:p>
          <w:p w:rsidR="002616C2" w:rsidRDefault="002616C2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regulatory requirements for data collection, such as transfusion practice review.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approve processes and procedures.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decisions about corrective action.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A28A4">
              <w:rPr>
                <w:rFonts w:ascii="Arial" w:hAnsi="Arial" w:cs="Arial"/>
                <w:sz w:val="22"/>
                <w:szCs w:val="22"/>
              </w:rPr>
              <w:t>Review and approve corrective action results.</w:t>
            </w:r>
          </w:p>
          <w:p w:rsidR="00AA28A4" w:rsidRPr="008F00AD" w:rsidRDefault="002616C2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improvement teams.</w:t>
            </w:r>
          </w:p>
        </w:tc>
        <w:tc>
          <w:tcPr>
            <w:tcW w:w="2268" w:type="dxa"/>
          </w:tcPr>
          <w:p w:rsidR="00AA28A4" w:rsidRDefault="002616C2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Practice Committee Minutes</w:t>
            </w:r>
          </w:p>
        </w:tc>
      </w:tr>
      <w:tr w:rsidR="00AA28A4" w:rsidTr="00AA28A4">
        <w:tc>
          <w:tcPr>
            <w:tcW w:w="1998" w:type="dxa"/>
          </w:tcPr>
          <w:p w:rsidR="00AA28A4" w:rsidRDefault="00AA28A4" w:rsidP="00B425F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Manager</w:t>
            </w:r>
            <w:r w:rsidR="00B42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</w:tcPr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policy decisions regarding quality indicators and data collection methods.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implement new processes and procedures.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decisions about corrective action.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implement</w:t>
            </w:r>
            <w:r w:rsidRPr="00AA28A4">
              <w:rPr>
                <w:rFonts w:ascii="Arial" w:hAnsi="Arial" w:cs="Arial"/>
                <w:sz w:val="22"/>
                <w:szCs w:val="22"/>
              </w:rPr>
              <w:t xml:space="preserve"> corrective action results.</w:t>
            </w:r>
          </w:p>
          <w:p w:rsidR="002616C2" w:rsidRDefault="00AA28A4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data collection</w:t>
            </w:r>
          </w:p>
          <w:p w:rsidR="00B425FA" w:rsidRDefault="00B425FA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Quality Coordinator to design audit plan</w:t>
            </w:r>
          </w:p>
          <w:p w:rsidR="00AA28A4" w:rsidRDefault="00B425FA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Quality Coordinator to prepare annual quality report.</w:t>
            </w:r>
          </w:p>
        </w:tc>
        <w:tc>
          <w:tcPr>
            <w:tcW w:w="2268" w:type="dxa"/>
          </w:tcPr>
          <w:p w:rsidR="00AA28A4" w:rsidRPr="002616C2" w:rsidRDefault="002616C2" w:rsidP="002616C2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616C2">
              <w:rPr>
                <w:rFonts w:ascii="Arial" w:hAnsi="Arial" w:cs="Arial"/>
                <w:sz w:val="22"/>
                <w:szCs w:val="22"/>
              </w:rPr>
              <w:t>SQ Operations Reports</w:t>
            </w:r>
          </w:p>
        </w:tc>
      </w:tr>
      <w:tr w:rsidR="00B425FA" w:rsidTr="00AA28A4">
        <w:tc>
          <w:tcPr>
            <w:tcW w:w="1998" w:type="dxa"/>
          </w:tcPr>
          <w:p w:rsidR="00B425FA" w:rsidRDefault="00B425FA" w:rsidP="00B425F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</w:t>
            </w:r>
          </w:p>
          <w:p w:rsidR="00B425FA" w:rsidRDefault="00B425FA" w:rsidP="00B425F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Coordinator</w:t>
            </w:r>
          </w:p>
        </w:tc>
        <w:tc>
          <w:tcPr>
            <w:tcW w:w="6210" w:type="dxa"/>
          </w:tcPr>
          <w:p w:rsidR="00B425FA" w:rsidRPr="00295AC3" w:rsidRDefault="00B425FA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5AC3">
              <w:rPr>
                <w:rFonts w:ascii="Arial" w:hAnsi="Arial" w:cs="Arial"/>
                <w:sz w:val="22"/>
                <w:szCs w:val="22"/>
                <w:highlight w:val="yellow"/>
              </w:rPr>
              <w:t>Prepare quarterly reports for Transfusion Practice Committee.</w:t>
            </w:r>
          </w:p>
          <w:p w:rsidR="00B425FA" w:rsidRPr="00295AC3" w:rsidRDefault="00B425FA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5AC3">
              <w:rPr>
                <w:rFonts w:ascii="Arial" w:hAnsi="Arial" w:cs="Arial"/>
                <w:sz w:val="22"/>
                <w:szCs w:val="22"/>
                <w:highlight w:val="yellow"/>
              </w:rPr>
              <w:t>Use data and information about operational processes and performance, as well as occurrence management to identify opportunities for quality improvement.</w:t>
            </w:r>
          </w:p>
          <w:p w:rsidR="00B425FA" w:rsidRPr="00295AC3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5AC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Lead quality </w:t>
            </w:r>
            <w:r w:rsidRPr="00295AC3">
              <w:rPr>
                <w:rFonts w:ascii="Arial" w:hAnsi="Arial" w:cs="Arial"/>
                <w:sz w:val="22"/>
                <w:szCs w:val="22"/>
                <w:highlight w:val="yellow"/>
              </w:rPr>
              <w:t>improvement teams</w:t>
            </w:r>
          </w:p>
          <w:p w:rsidR="00B425FA" w:rsidRPr="00295AC3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5AC3">
              <w:rPr>
                <w:rFonts w:ascii="Arial" w:hAnsi="Arial" w:cs="Arial"/>
                <w:sz w:val="22"/>
                <w:szCs w:val="22"/>
                <w:highlight w:val="yellow"/>
              </w:rPr>
              <w:t>Work with Lab manager to design audit plans.</w:t>
            </w:r>
          </w:p>
          <w:p w:rsidR="00B425FA" w:rsidRPr="00295AC3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5AC3">
              <w:rPr>
                <w:rFonts w:ascii="Arial" w:hAnsi="Arial" w:cs="Arial"/>
                <w:sz w:val="22"/>
                <w:szCs w:val="22"/>
                <w:highlight w:val="yellow"/>
              </w:rPr>
              <w:t>Responsible for implementation and maintenance of audit plan.</w:t>
            </w:r>
          </w:p>
          <w:p w:rsidR="00B425FA" w:rsidRPr="00295AC3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5AC3">
              <w:rPr>
                <w:rFonts w:ascii="Arial" w:hAnsi="Arial" w:cs="Arial"/>
                <w:sz w:val="22"/>
                <w:szCs w:val="22"/>
                <w:highlight w:val="yellow"/>
              </w:rPr>
              <w:t>Prepare audit reports.</w:t>
            </w:r>
          </w:p>
          <w:p w:rsidR="00B425FA" w:rsidRPr="007B0001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95AC3">
              <w:rPr>
                <w:rFonts w:ascii="Arial" w:hAnsi="Arial" w:cs="Arial"/>
                <w:sz w:val="22"/>
                <w:szCs w:val="22"/>
                <w:highlight w:val="yellow"/>
              </w:rPr>
              <w:t>Work with manager t</w:t>
            </w:r>
            <w:r w:rsidR="007B0001" w:rsidRPr="00295AC3">
              <w:rPr>
                <w:rFonts w:ascii="Arial" w:hAnsi="Arial" w:cs="Arial"/>
                <w:sz w:val="22"/>
                <w:szCs w:val="22"/>
                <w:highlight w:val="yellow"/>
              </w:rPr>
              <w:t>o prepare annual quality reports.</w:t>
            </w:r>
          </w:p>
        </w:tc>
        <w:tc>
          <w:tcPr>
            <w:tcW w:w="2268" w:type="dxa"/>
          </w:tcPr>
          <w:p w:rsidR="00B425FA" w:rsidRPr="002616C2" w:rsidRDefault="00B425FA" w:rsidP="00295AC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B0001" w:rsidTr="00AA28A4">
        <w:tc>
          <w:tcPr>
            <w:tcW w:w="1998" w:type="dxa"/>
          </w:tcPr>
          <w:p w:rsidR="007B0001" w:rsidRPr="00AA28A4" w:rsidRDefault="007B0001" w:rsidP="005376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210" w:type="dxa"/>
          </w:tcPr>
          <w:p w:rsidR="007B0001" w:rsidRPr="00AA28A4" w:rsidRDefault="007B0001" w:rsidP="005376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268" w:type="dxa"/>
          </w:tcPr>
          <w:p w:rsidR="007B0001" w:rsidRPr="00AA28A4" w:rsidRDefault="007B0001" w:rsidP="005376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B0001" w:rsidTr="00AA28A4">
        <w:tc>
          <w:tcPr>
            <w:tcW w:w="1998" w:type="dxa"/>
          </w:tcPr>
          <w:p w:rsidR="007B0001" w:rsidRDefault="007B0001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Staff</w:t>
            </w:r>
          </w:p>
        </w:tc>
        <w:tc>
          <w:tcPr>
            <w:tcW w:w="6210" w:type="dxa"/>
          </w:tcPr>
          <w:p w:rsidR="007B0001" w:rsidRDefault="007B0001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improvement teams when asked.</w:t>
            </w:r>
          </w:p>
          <w:p w:rsidR="007B0001" w:rsidRDefault="007B0001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 with data collection when assigned.</w:t>
            </w:r>
          </w:p>
          <w:p w:rsidR="007B0001" w:rsidRPr="002616C2" w:rsidRDefault="007B0001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opportunities for quality improvement observed through operational processes.</w:t>
            </w:r>
          </w:p>
        </w:tc>
        <w:tc>
          <w:tcPr>
            <w:tcW w:w="2268" w:type="dxa"/>
          </w:tcPr>
          <w:p w:rsidR="007B0001" w:rsidRPr="007B0001" w:rsidRDefault="007B000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001" w:rsidTr="00A1088A">
        <w:tc>
          <w:tcPr>
            <w:tcW w:w="1998" w:type="dxa"/>
          </w:tcPr>
          <w:p w:rsidR="007B0001" w:rsidRPr="007B0001" w:rsidRDefault="007B000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7B0001">
              <w:rPr>
                <w:rFonts w:ascii="Arial" w:hAnsi="Arial" w:cs="Arial"/>
                <w:b/>
                <w:sz w:val="22"/>
                <w:szCs w:val="22"/>
              </w:rPr>
              <w:t xml:space="preserve"> Element</w:t>
            </w:r>
          </w:p>
        </w:tc>
        <w:tc>
          <w:tcPr>
            <w:tcW w:w="6210" w:type="dxa"/>
          </w:tcPr>
          <w:p w:rsidR="007B0001" w:rsidRPr="007B0001" w:rsidRDefault="007B0001" w:rsidP="00A17E2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B000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</w:tcPr>
          <w:p w:rsidR="007B0001" w:rsidRPr="007B0001" w:rsidRDefault="007B0001" w:rsidP="007B0001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B000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1088A" w:rsidTr="00A1088A">
        <w:tc>
          <w:tcPr>
            <w:tcW w:w="1998" w:type="dxa"/>
          </w:tcPr>
          <w:p w:rsid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Continual Improvement</w:t>
            </w:r>
          </w:p>
        </w:tc>
        <w:tc>
          <w:tcPr>
            <w:tcW w:w="6210" w:type="dxa"/>
          </w:tcPr>
          <w:p w:rsidR="00A17E24" w:rsidRDefault="00A1088A" w:rsidP="00A17E2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HMC Transfusion Service has a defined, systematic approach for continual improvement of operational processes and the quality management system that includes the </w:t>
            </w:r>
            <w:r w:rsidR="00A17E24">
              <w:rPr>
                <w:rFonts w:ascii="Arial" w:hAnsi="Arial" w:cs="Arial"/>
                <w:sz w:val="22"/>
                <w:szCs w:val="22"/>
              </w:rPr>
              <w:t>review of the following:</w:t>
            </w:r>
          </w:p>
          <w:p w:rsidR="00A1088A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Results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 Results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Proficiency Testing Results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 Records and Review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Quality Assurance Report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Indicator Data</w:t>
            </w:r>
          </w:p>
          <w:p w:rsidR="00A17E24" w:rsidRPr="00A17E24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088A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QIM Form</w:t>
            </w:r>
          </w:p>
          <w:p w:rsidR="008F00AD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SQ Operations Report</w:t>
            </w:r>
          </w:p>
          <w:p w:rsidR="008F00AD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Monthly Data Collection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Audit Plan</w:t>
            </w:r>
          </w:p>
          <w:p w:rsidR="008F00AD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Evaluation Process</w:t>
            </w:r>
          </w:p>
        </w:tc>
      </w:tr>
      <w:tr w:rsidR="00A1088A" w:rsidTr="00A1088A">
        <w:tc>
          <w:tcPr>
            <w:tcW w:w="1998" w:type="dxa"/>
          </w:tcPr>
          <w:p w:rsidR="00A1088A" w:rsidRDefault="008F00A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Implementing Corrective Actions and Preventive Actions</w:t>
            </w:r>
          </w:p>
        </w:tc>
        <w:tc>
          <w:tcPr>
            <w:tcW w:w="6210" w:type="dxa"/>
          </w:tcPr>
          <w:p w:rsidR="00A1088A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 is taken when actual nonconformances, deviations, complaints, and process failures occur.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 will address the root causes of such events to reduce or eliminate their recurrence.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Preventive action is taken when data analysis or trends indicate the potential for a nonconforming product or service.  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Preventive action will eliminate the root causes of potential nonconformances in order to prevent their occurrence.</w:t>
            </w:r>
          </w:p>
          <w:p w:rsidR="00A17E24" w:rsidRDefault="00A17E24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actions and preventive actions will be appropriate to the level of risk and potential for serious adverse outcomes associated with the issue being addressed.</w:t>
            </w:r>
          </w:p>
          <w:p w:rsidR="00A17E24" w:rsidRPr="008F00AD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088A" w:rsidRDefault="00A17E24" w:rsidP="00A17E24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Occurrence Management Policy</w:t>
            </w:r>
          </w:p>
          <w:p w:rsidR="00A17E24" w:rsidRPr="00A17E24" w:rsidRDefault="00A17E24" w:rsidP="00A17E24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</w:tc>
      </w:tr>
      <w:tr w:rsidR="00A1088A" w:rsidTr="00A1088A">
        <w:tc>
          <w:tcPr>
            <w:tcW w:w="1998" w:type="dxa"/>
          </w:tcPr>
          <w:p w:rsidR="00A1088A" w:rsidRDefault="00A17E2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</w:t>
            </w:r>
          </w:p>
        </w:tc>
        <w:tc>
          <w:tcPr>
            <w:tcW w:w="6210" w:type="dxa"/>
          </w:tcPr>
          <w:p w:rsidR="00A17E24" w:rsidRDefault="00A17E24" w:rsidP="00A17E2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17E24">
              <w:rPr>
                <w:rFonts w:ascii="Arial" w:hAnsi="Arial" w:cs="Arial"/>
                <w:sz w:val="22"/>
                <w:szCs w:val="22"/>
              </w:rPr>
              <w:t xml:space="preserve">Corrective actions and preventive actions are monitored to verify successful implementation.  </w:t>
            </w:r>
          </w:p>
          <w:p w:rsidR="00A1088A" w:rsidRDefault="00A17E24" w:rsidP="00A17E2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17E24">
              <w:rPr>
                <w:rFonts w:ascii="Arial" w:hAnsi="Arial" w:cs="Arial"/>
                <w:sz w:val="22"/>
                <w:szCs w:val="22"/>
              </w:rPr>
              <w:t>The results are reviewed by the Medical Director.</w:t>
            </w:r>
          </w:p>
          <w:p w:rsidR="00A17E24" w:rsidRPr="00A17E24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B0001" w:rsidRPr="007B0001" w:rsidRDefault="007B0001" w:rsidP="007B0001">
            <w:pPr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B0001">
              <w:rPr>
                <w:rFonts w:ascii="Arial" w:hAnsi="Arial" w:cs="Arial"/>
                <w:sz w:val="22"/>
                <w:szCs w:val="22"/>
              </w:rPr>
              <w:t>Occurrence Management Policy</w:t>
            </w:r>
          </w:p>
          <w:p w:rsidR="00A1088A" w:rsidRPr="007B0001" w:rsidRDefault="007B0001" w:rsidP="007B0001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B0001"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</w:tc>
      </w:tr>
      <w:tr w:rsidR="00A1088A" w:rsidTr="00A1088A">
        <w:tc>
          <w:tcPr>
            <w:tcW w:w="1998" w:type="dxa"/>
          </w:tcPr>
          <w:p w:rsidR="00A1088A" w:rsidRDefault="00A17E2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Follow-up</w:t>
            </w:r>
          </w:p>
        </w:tc>
        <w:tc>
          <w:tcPr>
            <w:tcW w:w="6210" w:type="dxa"/>
          </w:tcPr>
          <w:p w:rsidR="00A1088A" w:rsidRDefault="00FE2354" w:rsidP="00FE235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after Corrective Action will be reviewed.</w:t>
            </w:r>
          </w:p>
          <w:p w:rsidR="00FE2354" w:rsidRPr="00FE2354" w:rsidRDefault="00FE2354" w:rsidP="00FE235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Executive Leadership will determine whether any additional action is needed.</w:t>
            </w:r>
          </w:p>
        </w:tc>
        <w:tc>
          <w:tcPr>
            <w:tcW w:w="2268" w:type="dxa"/>
          </w:tcPr>
          <w:p w:rsid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16C2" w:rsidRDefault="002616C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A7705E" w:rsidRPr="00FE2354" w:rsidRDefault="00FE235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FE2354">
        <w:rPr>
          <w:rFonts w:ascii="Arial" w:hAnsi="Arial" w:cs="Arial"/>
          <w:b/>
          <w:sz w:val="22"/>
          <w:szCs w:val="22"/>
        </w:rPr>
        <w:t>References</w:t>
      </w:r>
    </w:p>
    <w:p w:rsidR="00FE2354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FE2354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p w:rsidR="00FE2354" w:rsidRPr="00A7705E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Quality Manual Preparation for Blood Banking, Lucia </w:t>
      </w:r>
      <w:proofErr w:type="spellStart"/>
      <w:r>
        <w:rPr>
          <w:rFonts w:ascii="Arial" w:hAnsi="Arial" w:cs="Arial"/>
          <w:sz w:val="22"/>
          <w:szCs w:val="22"/>
        </w:rPr>
        <w:t>Berte</w:t>
      </w:r>
      <w:proofErr w:type="spellEnd"/>
      <w:r>
        <w:rPr>
          <w:rFonts w:ascii="Arial" w:hAnsi="Arial" w:cs="Arial"/>
          <w:sz w:val="22"/>
          <w:szCs w:val="22"/>
        </w:rPr>
        <w:t>, AABB Press, 2</w:t>
      </w:r>
      <w:r w:rsidRPr="00FE2354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Edition.</w:t>
      </w:r>
      <w:proofErr w:type="gramEnd"/>
    </w:p>
    <w:p w:rsidR="00A7705E" w:rsidRDefault="00A7705E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7705E" w:rsidRP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sectPr w:rsidR="00A7705E" w:rsidRPr="00A7705E" w:rsidSect="008F00A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42" w:rsidRDefault="00250342" w:rsidP="00A7705E">
      <w:r>
        <w:separator/>
      </w:r>
    </w:p>
  </w:endnote>
  <w:endnote w:type="continuationSeparator" w:id="0">
    <w:p w:rsidR="00250342" w:rsidRDefault="00250342" w:rsidP="00A7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7459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50342" w:rsidRDefault="00250342">
            <w:pPr>
              <w:pStyle w:val="Footer"/>
              <w:jc w:val="right"/>
            </w:pPr>
            <w:r>
              <w:t xml:space="preserve">Page </w:t>
            </w:r>
            <w:r w:rsidR="008376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692">
              <w:rPr>
                <w:b/>
                <w:szCs w:val="24"/>
              </w:rPr>
              <w:fldChar w:fldCharType="separate"/>
            </w:r>
            <w:r w:rsidR="00295AC3">
              <w:rPr>
                <w:b/>
                <w:noProof/>
              </w:rPr>
              <w:t>2</w:t>
            </w:r>
            <w:r w:rsidR="00837692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376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7692">
              <w:rPr>
                <w:b/>
                <w:szCs w:val="24"/>
              </w:rPr>
              <w:fldChar w:fldCharType="separate"/>
            </w:r>
            <w:r w:rsidR="00295AC3">
              <w:rPr>
                <w:b/>
                <w:noProof/>
              </w:rPr>
              <w:t>2</w:t>
            </w:r>
            <w:r w:rsidR="00837692">
              <w:rPr>
                <w:b/>
                <w:szCs w:val="24"/>
              </w:rPr>
              <w:fldChar w:fldCharType="end"/>
            </w:r>
          </w:p>
        </w:sdtContent>
      </w:sdt>
    </w:sdtContent>
  </w:sdt>
  <w:p w:rsidR="00250342" w:rsidRDefault="0025034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250342" w:rsidRPr="00FE2354" w:rsidRDefault="0025034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42" w:rsidRDefault="00250342" w:rsidP="00A7705E">
      <w:r>
        <w:separator/>
      </w:r>
    </w:p>
  </w:footnote>
  <w:footnote w:type="continuationSeparator" w:id="0">
    <w:p w:rsidR="00250342" w:rsidRDefault="00250342" w:rsidP="00A7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42" w:rsidRDefault="0025034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Quality Policy:  Quality Improvement</w:t>
    </w:r>
  </w:p>
  <w:p w:rsidR="00E57CAF" w:rsidRPr="002616C2" w:rsidRDefault="00E57CAF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CBB"/>
    <w:multiLevelType w:val="hybridMultilevel"/>
    <w:tmpl w:val="54AE1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726AF"/>
    <w:multiLevelType w:val="hybridMultilevel"/>
    <w:tmpl w:val="7096C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835382"/>
    <w:multiLevelType w:val="hybridMultilevel"/>
    <w:tmpl w:val="D7B84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732A5"/>
    <w:multiLevelType w:val="hybridMultilevel"/>
    <w:tmpl w:val="1C36A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156B92"/>
    <w:multiLevelType w:val="hybridMultilevel"/>
    <w:tmpl w:val="EAD82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17FDC"/>
    <w:multiLevelType w:val="hybridMultilevel"/>
    <w:tmpl w:val="B9242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81E3C"/>
    <w:multiLevelType w:val="hybridMultilevel"/>
    <w:tmpl w:val="40346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250342"/>
    <w:rsid w:val="002616C2"/>
    <w:rsid w:val="00295AC3"/>
    <w:rsid w:val="003C4983"/>
    <w:rsid w:val="00521E25"/>
    <w:rsid w:val="00574A2A"/>
    <w:rsid w:val="005E1960"/>
    <w:rsid w:val="0064249A"/>
    <w:rsid w:val="007B0001"/>
    <w:rsid w:val="00837692"/>
    <w:rsid w:val="008F00AD"/>
    <w:rsid w:val="00A1088A"/>
    <w:rsid w:val="00A17E24"/>
    <w:rsid w:val="00A7705E"/>
    <w:rsid w:val="00A91BC5"/>
    <w:rsid w:val="00AA28A4"/>
    <w:rsid w:val="00B425FA"/>
    <w:rsid w:val="00BF12B3"/>
    <w:rsid w:val="00C82C04"/>
    <w:rsid w:val="00C854C8"/>
    <w:rsid w:val="00D16EC4"/>
    <w:rsid w:val="00D87E0D"/>
    <w:rsid w:val="00E57CAF"/>
    <w:rsid w:val="00F05BAF"/>
    <w:rsid w:val="00F5541A"/>
    <w:rsid w:val="00F754C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001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05E"/>
    <w:rPr>
      <w:sz w:val="24"/>
    </w:rPr>
  </w:style>
  <w:style w:type="paragraph" w:styleId="Footer">
    <w:name w:val="footer"/>
    <w:basedOn w:val="Normal"/>
    <w:link w:val="FooterChar"/>
    <w:uiPriority w:val="99"/>
    <w:rsid w:val="00A7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5E"/>
    <w:rPr>
      <w:sz w:val="24"/>
    </w:rPr>
  </w:style>
  <w:style w:type="table" w:styleId="TableGrid">
    <w:name w:val="Table Grid"/>
    <w:basedOn w:val="TableNormal"/>
    <w:rsid w:val="00AA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6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2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001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05E"/>
    <w:rPr>
      <w:sz w:val="24"/>
    </w:rPr>
  </w:style>
  <w:style w:type="paragraph" w:styleId="Footer">
    <w:name w:val="footer"/>
    <w:basedOn w:val="Normal"/>
    <w:link w:val="FooterChar"/>
    <w:uiPriority w:val="99"/>
    <w:rsid w:val="00A7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5E"/>
    <w:rPr>
      <w:sz w:val="24"/>
    </w:rPr>
  </w:style>
  <w:style w:type="table" w:styleId="TableGrid">
    <w:name w:val="Table Grid"/>
    <w:basedOn w:val="TableNormal"/>
    <w:rsid w:val="00AA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6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2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4167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2013-07-30T20:15:00Z</cp:lastPrinted>
  <dcterms:created xsi:type="dcterms:W3CDTF">2013-07-30T20:16:00Z</dcterms:created>
  <dcterms:modified xsi:type="dcterms:W3CDTF">2013-07-30T20:16:00Z</dcterms:modified>
</cp:coreProperties>
</file>