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5" w:rsidRPr="00D172C2" w:rsidRDefault="00B26075">
      <w:pPr>
        <w:rPr>
          <w:sz w:val="16"/>
          <w:szCs w:val="16"/>
        </w:rPr>
      </w:pPr>
    </w:p>
    <w:p w:rsidR="00D172C2" w:rsidRPr="00D172C2" w:rsidRDefault="009C3657" w:rsidP="00B26075">
      <w:pPr>
        <w:rPr>
          <w:rFonts w:ascii="Verdana" w:hAnsi="Verdana"/>
          <w:noProof/>
          <w:color w:val="0082D9"/>
          <w:sz w:val="17"/>
          <w:szCs w:val="17"/>
        </w:rPr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8915400" cy="73914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4140"/>
        <w:gridCol w:w="3420"/>
      </w:tblGrid>
      <w:tr w:rsidR="009B6E46" w:rsidTr="009B6E46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48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28429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B77B28">
              <w:rPr>
                <w:rFonts w:ascii="Arial" w:hAnsi="Arial" w:cs="Arial"/>
                <w:b/>
                <w:sz w:val="22"/>
                <w:szCs w:val="22"/>
              </w:rPr>
              <w:t xml:space="preserve"> Ave. Seattle, WA, </w:t>
            </w:r>
            <w:r w:rsidRPr="0028429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414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B26075" w:rsidRPr="00AE46DB" w:rsidRDefault="00B26075" w:rsidP="00B77B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46DB">
              <w:rPr>
                <w:rFonts w:ascii="Arial" w:hAnsi="Arial" w:cs="Arial"/>
                <w:sz w:val="22"/>
                <w:szCs w:val="22"/>
              </w:rPr>
              <w:t>September 2, 2013</w:t>
            </w: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nil"/>
            </w:tcBorders>
          </w:tcPr>
          <w:p w:rsidR="00B26075" w:rsidRPr="00AE46DB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  <w:r w:rsidR="00AE46DB">
              <w:rPr>
                <w:rFonts w:ascii="Arial" w:hAnsi="Arial" w:cs="Arial"/>
                <w:b/>
                <w:sz w:val="22"/>
                <w:szCs w:val="22"/>
              </w:rPr>
              <w:t>C5007-1</w:t>
            </w:r>
          </w:p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E46" w:rsidTr="009B6E46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64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6075" w:rsidRPr="00284299" w:rsidRDefault="00B26075" w:rsidP="00B260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B26075" w:rsidRPr="00284299" w:rsidRDefault="00B26075" w:rsidP="00B260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6075" w:rsidRPr="00D035B0" w:rsidRDefault="00B26075" w:rsidP="000474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84299">
              <w:rPr>
                <w:rFonts w:ascii="Arial" w:hAnsi="Arial" w:cs="Arial"/>
                <w:b/>
                <w:sz w:val="22"/>
                <w:szCs w:val="22"/>
              </w:rPr>
              <w:t>Pages:</w:t>
            </w:r>
            <w:r w:rsidR="00047465" w:rsidRPr="00D035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</w:t>
            </w:r>
          </w:p>
        </w:tc>
      </w:tr>
      <w:tr w:rsidR="00B26075" w:rsidTr="00D172C2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4040" w:type="dxa"/>
            <w:gridSpan w:val="3"/>
            <w:tcBorders>
              <w:top w:val="nil"/>
            </w:tcBorders>
            <w:vAlign w:val="center"/>
          </w:tcPr>
          <w:p w:rsidR="00B26075" w:rsidRPr="00284299" w:rsidRDefault="00B26075" w:rsidP="00A4521D">
            <w:pPr>
              <w:rPr>
                <w:rFonts w:ascii="Arial" w:hAnsi="Arial" w:cs="Arial"/>
                <w:sz w:val="28"/>
                <w:szCs w:val="28"/>
              </w:rPr>
            </w:pPr>
            <w:r w:rsidRPr="00284299">
              <w:rPr>
                <w:rFonts w:ascii="Arial" w:hAnsi="Arial" w:cs="Arial"/>
                <w:sz w:val="28"/>
                <w:szCs w:val="28"/>
              </w:rPr>
              <w:t xml:space="preserve">TITLE:  </w:t>
            </w:r>
            <w:r w:rsidR="00A4521D">
              <w:rPr>
                <w:rFonts w:ascii="Arial" w:hAnsi="Arial" w:cs="Arial"/>
                <w:sz w:val="28"/>
                <w:szCs w:val="28"/>
              </w:rPr>
              <w:t>Storage and Release</w:t>
            </w:r>
            <w:r w:rsidRPr="00284299">
              <w:rPr>
                <w:rFonts w:ascii="Arial" w:hAnsi="Arial" w:cs="Arial"/>
                <w:sz w:val="28"/>
                <w:szCs w:val="28"/>
              </w:rPr>
              <w:t xml:space="preserve"> of Non-Conforming Autologous </w:t>
            </w:r>
            <w:r w:rsidR="00B77B28">
              <w:rPr>
                <w:rFonts w:ascii="Arial" w:hAnsi="Arial" w:cs="Arial"/>
                <w:sz w:val="28"/>
                <w:szCs w:val="28"/>
              </w:rPr>
              <w:t xml:space="preserve">Cranial </w:t>
            </w:r>
            <w:r w:rsidRPr="00284299">
              <w:rPr>
                <w:rFonts w:ascii="Arial" w:hAnsi="Arial" w:cs="Arial"/>
                <w:sz w:val="28"/>
                <w:szCs w:val="28"/>
              </w:rPr>
              <w:t>Bone</w:t>
            </w:r>
            <w:r w:rsidR="00B77B28">
              <w:rPr>
                <w:rFonts w:ascii="Arial" w:hAnsi="Arial" w:cs="Arial"/>
                <w:sz w:val="28"/>
                <w:szCs w:val="28"/>
              </w:rPr>
              <w:t xml:space="preserve"> Flaps</w:t>
            </w:r>
            <w:r w:rsidR="00CB542C" w:rsidRPr="0028429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B26075" w:rsidRDefault="00B26075"/>
    <w:p w:rsidR="00B26075" w:rsidRPr="009C3657" w:rsidRDefault="00284299" w:rsidP="00B26075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Purpose:</w:t>
      </w:r>
      <w:r w:rsidR="00B26075" w:rsidRPr="009C3657">
        <w:rPr>
          <w:rFonts w:ascii="Arial" w:hAnsi="Arial" w:cs="Arial"/>
          <w:b/>
          <w:sz w:val="22"/>
          <w:szCs w:val="22"/>
        </w:rPr>
        <w:t xml:space="preserve"> </w:t>
      </w:r>
    </w:p>
    <w:p w:rsidR="00B26075" w:rsidRPr="009C3657" w:rsidRDefault="00B26075" w:rsidP="00B26075">
      <w:pPr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sz w:val="22"/>
          <w:szCs w:val="22"/>
        </w:rPr>
        <w:t>To define non-conforming autologous bone, and describe the policy and procedure for storage and distribution of non-conforming autologous bone “flaps.”</w:t>
      </w:r>
    </w:p>
    <w:p w:rsidR="00B26075" w:rsidRPr="009C3657" w:rsidRDefault="00B26075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B26075" w:rsidRPr="009C3657" w:rsidRDefault="00284299" w:rsidP="00B26075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Policy:</w:t>
      </w:r>
    </w:p>
    <w:p w:rsidR="00B26075" w:rsidRPr="009C3657" w:rsidRDefault="00B26075" w:rsidP="00B26075">
      <w:pPr>
        <w:rPr>
          <w:rFonts w:ascii="Arial" w:hAnsi="Arial" w:cs="Arial"/>
          <w:sz w:val="22"/>
          <w:szCs w:val="22"/>
        </w:rPr>
      </w:pPr>
      <w:r w:rsidRPr="009C3657">
        <w:rPr>
          <w:rFonts w:ascii="Arial" w:hAnsi="Arial" w:cs="Arial"/>
          <w:sz w:val="22"/>
          <w:szCs w:val="22"/>
        </w:rPr>
        <w:t xml:space="preserve">Transfusion Services adheres to current good tissue practices (cGTP) for the acceptance, storage and distribution of autologous </w:t>
      </w:r>
      <w:r w:rsidR="00B77B28" w:rsidRPr="009C3657">
        <w:rPr>
          <w:rFonts w:ascii="Arial" w:hAnsi="Arial" w:cs="Arial"/>
          <w:sz w:val="22"/>
          <w:szCs w:val="22"/>
        </w:rPr>
        <w:t>cranial bone flaps.</w:t>
      </w:r>
      <w:r w:rsidRPr="009C3657">
        <w:rPr>
          <w:rFonts w:ascii="Arial" w:hAnsi="Arial" w:cs="Arial"/>
          <w:sz w:val="22"/>
          <w:szCs w:val="22"/>
        </w:rPr>
        <w:t xml:space="preserve"> These include defining conditions that must be met for a product to be </w:t>
      </w:r>
      <w:r w:rsidR="00B77B28" w:rsidRPr="009C3657">
        <w:rPr>
          <w:rFonts w:ascii="Arial" w:hAnsi="Arial" w:cs="Arial"/>
          <w:sz w:val="22"/>
          <w:szCs w:val="22"/>
        </w:rPr>
        <w:t xml:space="preserve">accepted, </w:t>
      </w:r>
      <w:r w:rsidRPr="009C3657">
        <w:rPr>
          <w:rFonts w:ascii="Arial" w:hAnsi="Arial" w:cs="Arial"/>
          <w:sz w:val="22"/>
          <w:szCs w:val="22"/>
        </w:rPr>
        <w:t xml:space="preserve">stored and </w:t>
      </w:r>
      <w:r w:rsidR="00D172C2" w:rsidRPr="009C3657">
        <w:rPr>
          <w:rFonts w:ascii="Arial" w:hAnsi="Arial" w:cs="Arial"/>
          <w:sz w:val="22"/>
          <w:szCs w:val="22"/>
        </w:rPr>
        <w:t>released</w:t>
      </w:r>
      <w:r w:rsidRPr="009C3657">
        <w:rPr>
          <w:rFonts w:ascii="Arial" w:hAnsi="Arial" w:cs="Arial"/>
          <w:sz w:val="22"/>
          <w:szCs w:val="22"/>
        </w:rPr>
        <w:t>.</w:t>
      </w:r>
      <w:r w:rsidR="00B77B28" w:rsidRPr="009C3657">
        <w:rPr>
          <w:rFonts w:ascii="Arial" w:hAnsi="Arial" w:cs="Arial"/>
          <w:sz w:val="22"/>
          <w:szCs w:val="22"/>
        </w:rPr>
        <w:t xml:space="preserve"> Because </w:t>
      </w:r>
      <w:r w:rsidR="00D172C2" w:rsidRPr="009C3657">
        <w:rPr>
          <w:rFonts w:ascii="Arial" w:hAnsi="Arial" w:cs="Arial"/>
          <w:sz w:val="22"/>
          <w:szCs w:val="22"/>
        </w:rPr>
        <w:t>these</w:t>
      </w:r>
      <w:r w:rsidRPr="009C3657">
        <w:rPr>
          <w:rFonts w:ascii="Arial" w:hAnsi="Arial" w:cs="Arial"/>
          <w:sz w:val="22"/>
          <w:szCs w:val="22"/>
        </w:rPr>
        <w:t xml:space="preserve"> are irreplaceable specimens, under rare circumstances, with the approval of the Medical Director of Transfusion Services, Medical Director of Neurosurgery</w:t>
      </w:r>
      <w:r w:rsidR="00B77B28" w:rsidRPr="009C3657">
        <w:rPr>
          <w:rFonts w:ascii="Arial" w:hAnsi="Arial" w:cs="Arial"/>
          <w:sz w:val="22"/>
          <w:szCs w:val="22"/>
        </w:rPr>
        <w:t xml:space="preserve"> (or designee)</w:t>
      </w:r>
      <w:r w:rsidRPr="009C3657">
        <w:rPr>
          <w:rFonts w:ascii="Arial" w:hAnsi="Arial" w:cs="Arial"/>
          <w:sz w:val="22"/>
          <w:szCs w:val="22"/>
        </w:rPr>
        <w:t xml:space="preserve">, </w:t>
      </w:r>
      <w:r w:rsidR="00B77B28" w:rsidRPr="009C3657">
        <w:rPr>
          <w:rFonts w:ascii="Arial" w:hAnsi="Arial" w:cs="Arial"/>
          <w:sz w:val="22"/>
          <w:szCs w:val="22"/>
        </w:rPr>
        <w:t xml:space="preserve">and </w:t>
      </w:r>
      <w:r w:rsidRPr="009C3657">
        <w:rPr>
          <w:rFonts w:ascii="Arial" w:hAnsi="Arial" w:cs="Arial"/>
          <w:sz w:val="22"/>
          <w:szCs w:val="22"/>
        </w:rPr>
        <w:t>the patient’s physician, a product may be accepted</w:t>
      </w:r>
      <w:r w:rsidR="00D172C2" w:rsidRPr="009C3657">
        <w:rPr>
          <w:rFonts w:ascii="Arial" w:hAnsi="Arial" w:cs="Arial"/>
          <w:sz w:val="22"/>
          <w:szCs w:val="22"/>
        </w:rPr>
        <w:t>,</w:t>
      </w:r>
      <w:r w:rsidRPr="009C3657">
        <w:rPr>
          <w:rFonts w:ascii="Arial" w:hAnsi="Arial" w:cs="Arial"/>
          <w:sz w:val="22"/>
          <w:szCs w:val="22"/>
        </w:rPr>
        <w:t xml:space="preserve"> stored</w:t>
      </w:r>
      <w:r w:rsidR="00D172C2" w:rsidRPr="009C3657">
        <w:rPr>
          <w:rFonts w:ascii="Arial" w:hAnsi="Arial" w:cs="Arial"/>
          <w:sz w:val="22"/>
          <w:szCs w:val="22"/>
        </w:rPr>
        <w:t>, and released</w:t>
      </w:r>
      <w:r w:rsidRPr="009C3657">
        <w:rPr>
          <w:rFonts w:ascii="Arial" w:hAnsi="Arial" w:cs="Arial"/>
          <w:sz w:val="22"/>
          <w:szCs w:val="22"/>
        </w:rPr>
        <w:t xml:space="preserve"> when these criteria are not all met</w:t>
      </w:r>
      <w:r w:rsidR="00B77B28" w:rsidRPr="009C3657">
        <w:rPr>
          <w:rFonts w:ascii="Arial" w:hAnsi="Arial" w:cs="Arial"/>
          <w:sz w:val="22"/>
          <w:szCs w:val="22"/>
        </w:rPr>
        <w:t xml:space="preserve"> provided appropriate documentation is completed</w:t>
      </w:r>
      <w:r w:rsidRPr="009C3657">
        <w:rPr>
          <w:rFonts w:ascii="Arial" w:hAnsi="Arial" w:cs="Arial"/>
          <w:sz w:val="22"/>
          <w:szCs w:val="22"/>
        </w:rPr>
        <w:t xml:space="preserve">.  </w:t>
      </w:r>
    </w:p>
    <w:p w:rsidR="00B26075" w:rsidRPr="009C3657" w:rsidRDefault="00B26075" w:rsidP="00B26075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C138CB" w:rsidRPr="009C3657" w:rsidRDefault="00284299" w:rsidP="00D172C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Procedure:</w:t>
      </w:r>
    </w:p>
    <w:tbl>
      <w:tblPr>
        <w:tblpPr w:leftFromText="180" w:rightFromText="180" w:vertAnchor="text" w:horzAnchor="page" w:tblpX="973" w:tblpY="84"/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710"/>
        <w:gridCol w:w="6570"/>
        <w:gridCol w:w="2726"/>
      </w:tblGrid>
      <w:tr w:rsidR="00D172C2" w:rsidRPr="009C3657" w:rsidTr="00AE46DB">
        <w:tc>
          <w:tcPr>
            <w:tcW w:w="3078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6570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26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C138CB" w:rsidRPr="009C3657" w:rsidRDefault="00C138CB" w:rsidP="00C138CB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Determine if the Autologous Cranial Bone Flap is a Non-Conforming Product.</w:t>
            </w: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C138CB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C138CB" w:rsidRPr="009C3657" w:rsidRDefault="00C138CB" w:rsidP="00C138CB">
            <w:p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The Autologous Cranial Bone Flap is Non-Conforming if: </w:t>
            </w:r>
          </w:p>
          <w:p w:rsidR="00C138CB" w:rsidRPr="009C3657" w:rsidRDefault="00C138CB" w:rsidP="00C138CB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The product is to be released prior to completion of microbial cultures</w:t>
            </w:r>
          </w:p>
          <w:p w:rsidR="00C138CB" w:rsidRPr="009C3657" w:rsidRDefault="00C138CB" w:rsidP="00C138CB">
            <w:pPr>
              <w:numPr>
                <w:ilvl w:val="3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i/>
                <w:sz w:val="22"/>
                <w:szCs w:val="22"/>
              </w:rPr>
              <w:t>OR</w:t>
            </w:r>
          </w:p>
          <w:p w:rsidR="00C138CB" w:rsidRPr="009C3657" w:rsidRDefault="00C138CB" w:rsidP="00C138CB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It is removed from temperature monitored freezer storage for longer than 20 minutes with no intent to re-implant at that time.  </w:t>
            </w:r>
          </w:p>
          <w:p w:rsidR="00D172C2" w:rsidRPr="009C3657" w:rsidRDefault="00D172C2" w:rsidP="00A4521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:rsidR="000F4042" w:rsidRPr="009C3657" w:rsidRDefault="00D564E5" w:rsidP="00D172C2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Receiving Autologous Bone Flaps into Storage for Re-implantation</w:t>
            </w:r>
          </w:p>
          <w:p w:rsidR="00D172C2" w:rsidRPr="009C3657" w:rsidRDefault="00D172C2" w:rsidP="000F4042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Performing Visual Inspection of </w:t>
            </w:r>
            <w:r w:rsidR="00047465" w:rsidRPr="009C3657">
              <w:rPr>
                <w:rFonts w:ascii="Arial" w:hAnsi="Arial" w:cs="Arial"/>
                <w:sz w:val="22"/>
                <w:szCs w:val="22"/>
              </w:rPr>
              <w:t>A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utologous </w:t>
            </w:r>
            <w:r w:rsidR="00047465" w:rsidRPr="009C3657">
              <w:rPr>
                <w:rFonts w:ascii="Arial" w:hAnsi="Arial" w:cs="Arial"/>
                <w:sz w:val="22"/>
                <w:szCs w:val="22"/>
              </w:rPr>
              <w:t xml:space="preserve">Cranial </w:t>
            </w:r>
            <w:r w:rsidRPr="009C3657">
              <w:rPr>
                <w:rFonts w:ascii="Arial" w:hAnsi="Arial" w:cs="Arial"/>
                <w:sz w:val="22"/>
                <w:szCs w:val="22"/>
              </w:rPr>
              <w:t>Bone Flap Package</w:t>
            </w:r>
          </w:p>
          <w:p w:rsidR="00AE46DB" w:rsidRDefault="00AE46DB" w:rsidP="00AE46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3657" w:rsidRDefault="009C3657" w:rsidP="00AE46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3657" w:rsidRDefault="009C3657" w:rsidP="00AE46D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3657" w:rsidRPr="009C3657" w:rsidRDefault="009C3657" w:rsidP="00AE46DB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6DB" w:rsidRPr="009C3657" w:rsidRDefault="00AE46DB" w:rsidP="00AE4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6570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26" w:type="dxa"/>
            <w:shd w:val="clear" w:color="auto" w:fill="auto"/>
          </w:tcPr>
          <w:p w:rsidR="00C138CB" w:rsidRPr="009C3657" w:rsidRDefault="00C138CB" w:rsidP="00C13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A4521D" w:rsidRPr="009C3657" w:rsidRDefault="00C138CB" w:rsidP="007C14A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Determine if the Autologous Cranial Bone Flap is a Non-Conforming Product</w:t>
            </w:r>
            <w:r w:rsidR="007C14AA" w:rsidRPr="009C3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521D" w:rsidRPr="009C3657" w:rsidRDefault="00A4521D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138CB" w:rsidRPr="009C3657" w:rsidRDefault="007C14AA" w:rsidP="00A452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(</w:t>
            </w:r>
            <w:r w:rsidR="00A4521D" w:rsidRPr="009C3657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9C3657">
              <w:rPr>
                <w:rFonts w:ascii="Arial" w:hAnsi="Arial" w:cs="Arial"/>
                <w:i/>
                <w:sz w:val="22"/>
                <w:szCs w:val="22"/>
              </w:rPr>
              <w:t>ontinued)</w:t>
            </w:r>
            <w:r w:rsidR="00C138CB" w:rsidRPr="009C36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7C14A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7C14AA" w:rsidRPr="009C3657" w:rsidRDefault="007C14AA" w:rsidP="007C14AA">
            <w:p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The Autologous Cranial Bone Flap is Non-Conforming if: </w:t>
            </w:r>
          </w:p>
          <w:p w:rsidR="00A4521D" w:rsidRPr="009C3657" w:rsidRDefault="00A4521D" w:rsidP="00A4521D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There is damage to or loss of integrity of the product packaging.</w:t>
            </w:r>
          </w:p>
          <w:p w:rsidR="00A4521D" w:rsidRPr="009C3657" w:rsidRDefault="00A4521D" w:rsidP="00A4521D">
            <w:pPr>
              <w:numPr>
                <w:ilvl w:val="3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C3657">
              <w:rPr>
                <w:rFonts w:ascii="Arial" w:hAnsi="Arial" w:cs="Arial"/>
                <w:i/>
                <w:sz w:val="22"/>
                <w:szCs w:val="22"/>
              </w:rPr>
              <w:t>OR</w:t>
            </w:r>
          </w:p>
          <w:p w:rsidR="00C138CB" w:rsidRPr="009C3657" w:rsidRDefault="00C138CB" w:rsidP="007C14A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An issued product was removed from its packing prior to return to the TSL.</w:t>
            </w:r>
          </w:p>
          <w:p w:rsidR="00C138CB" w:rsidRPr="009C3657" w:rsidRDefault="00C138CB" w:rsidP="007C14AA">
            <w:pPr>
              <w:numPr>
                <w:ilvl w:val="3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C3657">
              <w:rPr>
                <w:rFonts w:ascii="Arial" w:hAnsi="Arial" w:cs="Arial"/>
                <w:i/>
                <w:sz w:val="22"/>
                <w:szCs w:val="22"/>
              </w:rPr>
              <w:t>OR</w:t>
            </w:r>
          </w:p>
          <w:p w:rsidR="00C138CB" w:rsidRPr="009C3657" w:rsidRDefault="00C138CB" w:rsidP="007C14A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There is failure of the temperature monitored freezer in which the autologous bone is stored.</w:t>
            </w:r>
          </w:p>
          <w:p w:rsidR="00C138CB" w:rsidRPr="009C3657" w:rsidRDefault="00C138CB" w:rsidP="007C14AA">
            <w:pPr>
              <w:numPr>
                <w:ilvl w:val="3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C3657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38CB" w:rsidRPr="009C3657" w:rsidRDefault="00C138CB" w:rsidP="007C14AA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The tissue exceeds the 24 month storage limit</w:t>
            </w:r>
          </w:p>
          <w:p w:rsidR="00AE46DB" w:rsidRPr="009C3657" w:rsidRDefault="00AE46DB" w:rsidP="00AE46DB">
            <w:pPr>
              <w:numPr>
                <w:ilvl w:val="3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C3657">
              <w:rPr>
                <w:rFonts w:ascii="Arial" w:hAnsi="Arial" w:cs="Arial"/>
                <w:i/>
                <w:sz w:val="22"/>
                <w:szCs w:val="22"/>
              </w:rPr>
              <w:t>OR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14AA" w:rsidRPr="009C3657" w:rsidRDefault="00AE46DB" w:rsidP="00AE46DB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Product is received back into TSL after release and transport to outside facility, but was not used.</w:t>
            </w:r>
          </w:p>
          <w:p w:rsidR="009C3657" w:rsidRPr="009C3657" w:rsidRDefault="009C3657" w:rsidP="009C3657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:rsidR="000F4042" w:rsidRPr="009C3657" w:rsidRDefault="000F4042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Storing and Tracking Autologous Cranial Bone Flaps for Re-implantation</w:t>
            </w:r>
          </w:p>
          <w:p w:rsidR="00D172C2" w:rsidRPr="009C3657" w:rsidRDefault="00D172C2" w:rsidP="00D172C2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Autologous Cranial Bone Flap Tracking Log Form</w:t>
            </w:r>
          </w:p>
          <w:p w:rsidR="00C138CB" w:rsidRPr="009C3657" w:rsidRDefault="00C138CB" w:rsidP="00D172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7C14AA" w:rsidRDefault="00C138CB" w:rsidP="00AE46D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If the patient’s physician is requesting that a non-conforming autologous bone “flap” be accepted for storage or release</w:t>
            </w:r>
          </w:p>
          <w:p w:rsidR="009C3657" w:rsidRPr="009C3657" w:rsidRDefault="009C3657" w:rsidP="00AE46D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7C14A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C138CB" w:rsidRPr="009C3657" w:rsidRDefault="00C138CB" w:rsidP="00C138C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Notify the Medical Director of Transfusion   Services/Transfusion Services Resident to determine whether to accept the product</w:t>
            </w:r>
          </w:p>
        </w:tc>
        <w:tc>
          <w:tcPr>
            <w:tcW w:w="2726" w:type="dxa"/>
            <w:shd w:val="clear" w:color="auto" w:fill="auto"/>
          </w:tcPr>
          <w:p w:rsidR="00C138CB" w:rsidRPr="009C3657" w:rsidRDefault="00C138CB" w:rsidP="00C138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C138CB" w:rsidRPr="009C3657" w:rsidRDefault="00C138CB" w:rsidP="00C138C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If you are directed to place accept and store or release the autologous cranial bone flap by the Transfusion Services Medical Director/Resident</w:t>
            </w:r>
          </w:p>
          <w:p w:rsidR="00C138CB" w:rsidRPr="009C3657" w:rsidRDefault="00C138CB" w:rsidP="00C13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138CB" w:rsidRPr="009C3657" w:rsidRDefault="00C138CB" w:rsidP="00C138C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C138CB" w:rsidRPr="009C3657" w:rsidRDefault="00AE46DB" w:rsidP="00AE46D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Follow steps in </w:t>
            </w:r>
            <w:r w:rsidR="000F4042" w:rsidRPr="009C3657">
              <w:rPr>
                <w:rFonts w:ascii="Arial" w:hAnsi="Arial" w:cs="Arial"/>
                <w:sz w:val="22"/>
                <w:szCs w:val="22"/>
              </w:rPr>
              <w:t>the  Storing and Tracking Autologous Cranial Bone Flaps for Re-implantation</w:t>
            </w:r>
            <w:r w:rsidRPr="009C3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042" w:rsidRPr="009C3657">
              <w:rPr>
                <w:rFonts w:ascii="Arial" w:hAnsi="Arial" w:cs="Arial"/>
                <w:sz w:val="22"/>
                <w:szCs w:val="22"/>
              </w:rPr>
              <w:t>SOP</w:t>
            </w:r>
          </w:p>
          <w:p w:rsidR="00C138CB" w:rsidRPr="009C3657" w:rsidRDefault="00C138CB" w:rsidP="00C138CB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Fill out a “Notification for Use/Release of Autologous Cranial Bone from a Non-Conforming Product Form.” </w:t>
            </w:r>
          </w:p>
          <w:p w:rsidR="00C138CB" w:rsidRPr="009C3657" w:rsidRDefault="00C138CB" w:rsidP="00C138CB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Forward “Notification for Use/Release of Autologous Cranial Bone from a Non-Conforming Product Form” to Neurosurgery &amp; the Transfusion Service Manager/Medical Director for signature</w:t>
            </w:r>
          </w:p>
          <w:p w:rsidR="009B6E46" w:rsidRPr="009C3657" w:rsidRDefault="00C138CB" w:rsidP="009B6E4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9C36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C3657">
              <w:rPr>
                <w:rFonts w:ascii="Arial" w:hAnsi="Arial" w:cs="Arial"/>
                <w:sz w:val="22"/>
                <w:szCs w:val="22"/>
              </w:rPr>
              <w:t>The form must be completed and signed by the Director of Neurosurgery (or Designee), patient’s physician and the Director of the Transfusion Service prior to release of any Non-conforming Cranial Bone Flap</w:t>
            </w:r>
            <w:r w:rsidR="00AE46DB" w:rsidRPr="009C36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3657" w:rsidRPr="009C3657" w:rsidRDefault="009C3657" w:rsidP="009C365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:rsidR="00C138CB" w:rsidRPr="009C3657" w:rsidRDefault="00D172C2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Storing and Tracking Autologous Cranial Bone Flaps for Re</w:t>
            </w:r>
            <w:r w:rsidR="00A4521D" w:rsidRPr="009C3657">
              <w:rPr>
                <w:rFonts w:ascii="Arial" w:hAnsi="Arial" w:cs="Arial"/>
                <w:sz w:val="22"/>
                <w:szCs w:val="22"/>
              </w:rPr>
              <w:t>-</w:t>
            </w:r>
            <w:r w:rsidRPr="009C3657">
              <w:rPr>
                <w:rFonts w:ascii="Arial" w:hAnsi="Arial" w:cs="Arial"/>
                <w:sz w:val="22"/>
                <w:szCs w:val="22"/>
              </w:rPr>
              <w:t>implantation</w:t>
            </w:r>
          </w:p>
          <w:p w:rsidR="00D172C2" w:rsidRPr="009C3657" w:rsidRDefault="00D172C2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Autologous Cranial Bone Flap Tracking Log Form</w:t>
            </w:r>
          </w:p>
          <w:p w:rsidR="00D172C2" w:rsidRPr="009C3657" w:rsidRDefault="00D172C2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7C14AA" w:rsidRPr="009C3657" w:rsidRDefault="007C14AA" w:rsidP="007C1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710" w:type="dxa"/>
            <w:shd w:val="clear" w:color="auto" w:fill="auto"/>
          </w:tcPr>
          <w:p w:rsidR="007C14AA" w:rsidRPr="009C3657" w:rsidRDefault="007C14AA" w:rsidP="007C1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6570" w:type="dxa"/>
            <w:shd w:val="clear" w:color="auto" w:fill="auto"/>
          </w:tcPr>
          <w:p w:rsidR="007C14AA" w:rsidRPr="009C3657" w:rsidRDefault="007C14AA" w:rsidP="007C1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26" w:type="dxa"/>
            <w:shd w:val="clear" w:color="auto" w:fill="auto"/>
          </w:tcPr>
          <w:p w:rsidR="007C14AA" w:rsidRPr="009C3657" w:rsidRDefault="007C14AA" w:rsidP="007C14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65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4521D" w:rsidRPr="009C3657" w:rsidTr="00AE46DB">
        <w:tc>
          <w:tcPr>
            <w:tcW w:w="3078" w:type="dxa"/>
            <w:shd w:val="clear" w:color="auto" w:fill="auto"/>
          </w:tcPr>
          <w:p w:rsidR="00A4521D" w:rsidRPr="009C3657" w:rsidRDefault="00A4521D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Once the Non-Conforming Product Form” has been signed</w:t>
            </w:r>
          </w:p>
        </w:tc>
        <w:tc>
          <w:tcPr>
            <w:tcW w:w="1710" w:type="dxa"/>
            <w:shd w:val="clear" w:color="auto" w:fill="auto"/>
          </w:tcPr>
          <w:p w:rsidR="00A4521D" w:rsidRPr="009C3657" w:rsidRDefault="00A4521D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A4521D" w:rsidRPr="009C3657" w:rsidRDefault="00A4521D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 xml:space="preserve">Release the Non-Conforming product per SOP </w:t>
            </w:r>
          </w:p>
        </w:tc>
        <w:tc>
          <w:tcPr>
            <w:tcW w:w="2726" w:type="dxa"/>
            <w:shd w:val="clear" w:color="auto" w:fill="auto"/>
          </w:tcPr>
          <w:p w:rsidR="00A4521D" w:rsidRPr="009C3657" w:rsidRDefault="00A4521D" w:rsidP="00A4521D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Releasing Autologous Cranial Bone Flaps</w:t>
            </w:r>
          </w:p>
          <w:p w:rsidR="00A4521D" w:rsidRPr="009C3657" w:rsidRDefault="00A4521D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4521D" w:rsidRPr="009C3657" w:rsidRDefault="00A4521D" w:rsidP="00A452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2C2" w:rsidRPr="009C3657" w:rsidTr="00AE46DB">
        <w:tc>
          <w:tcPr>
            <w:tcW w:w="3078" w:type="dxa"/>
            <w:shd w:val="clear" w:color="auto" w:fill="auto"/>
          </w:tcPr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If directed to discard the Non Conforming Product</w:t>
            </w:r>
          </w:p>
        </w:tc>
        <w:tc>
          <w:tcPr>
            <w:tcW w:w="1710" w:type="dxa"/>
            <w:shd w:val="clear" w:color="auto" w:fill="auto"/>
          </w:tcPr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570" w:type="dxa"/>
            <w:shd w:val="clear" w:color="auto" w:fill="auto"/>
          </w:tcPr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Complete notification to discard form</w:t>
            </w:r>
          </w:p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Forward to TSL Manager/Medical Director for Signature</w:t>
            </w:r>
          </w:p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Once the completed and signed Discard Form is received back in TSL, discard the Non Conforming Product per SOP</w:t>
            </w:r>
          </w:p>
        </w:tc>
        <w:tc>
          <w:tcPr>
            <w:tcW w:w="2726" w:type="dxa"/>
            <w:shd w:val="clear" w:color="auto" w:fill="auto"/>
          </w:tcPr>
          <w:p w:rsidR="007C14AA" w:rsidRPr="009C3657" w:rsidRDefault="007C14AA" w:rsidP="007C14AA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C3657">
              <w:rPr>
                <w:rFonts w:ascii="Arial" w:hAnsi="Arial" w:cs="Arial"/>
                <w:sz w:val="22"/>
                <w:szCs w:val="22"/>
              </w:rPr>
              <w:t>Discarding Autologous Cranial Bone Flaps</w:t>
            </w:r>
          </w:p>
          <w:p w:rsidR="00047465" w:rsidRPr="009C3657" w:rsidRDefault="00047465" w:rsidP="0004746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7465" w:rsidRPr="009C3657" w:rsidRDefault="00047465" w:rsidP="009B6E46">
      <w:pPr>
        <w:rPr>
          <w:rFonts w:ascii="Arial" w:hAnsi="Arial" w:cs="Arial"/>
          <w:b/>
          <w:sz w:val="22"/>
          <w:szCs w:val="22"/>
        </w:rPr>
      </w:pPr>
    </w:p>
    <w:p w:rsidR="00047465" w:rsidRPr="009C3657" w:rsidRDefault="00AE46DB" w:rsidP="009B6E46">
      <w:pPr>
        <w:rPr>
          <w:rFonts w:ascii="Arial" w:hAnsi="Arial" w:cs="Arial"/>
          <w:b/>
          <w:sz w:val="22"/>
          <w:szCs w:val="22"/>
        </w:rPr>
      </w:pPr>
      <w:r w:rsidRPr="009C3657">
        <w:rPr>
          <w:rFonts w:ascii="Arial" w:hAnsi="Arial" w:cs="Arial"/>
          <w:b/>
          <w:sz w:val="22"/>
          <w:szCs w:val="22"/>
        </w:rPr>
        <w:t>References</w:t>
      </w:r>
    </w:p>
    <w:p w:rsidR="00AE46DB" w:rsidRPr="009C3657" w:rsidRDefault="00AE46DB" w:rsidP="009B6E46">
      <w:pPr>
        <w:rPr>
          <w:rFonts w:ascii="Arial" w:hAnsi="Arial" w:cs="Arial"/>
          <w:b/>
          <w:sz w:val="22"/>
          <w:szCs w:val="22"/>
        </w:rPr>
      </w:pPr>
    </w:p>
    <w:p w:rsidR="00AE46DB" w:rsidRPr="009C3657" w:rsidRDefault="00AE46DB" w:rsidP="009B6E46">
      <w:pPr>
        <w:rPr>
          <w:rFonts w:ascii="Arial" w:hAnsi="Arial" w:cs="Arial"/>
          <w:sz w:val="22"/>
          <w:szCs w:val="22"/>
        </w:rPr>
      </w:pPr>
      <w:proofErr w:type="gramStart"/>
      <w:r w:rsidRPr="009C3657">
        <w:rPr>
          <w:rFonts w:ascii="Arial" w:hAnsi="Arial" w:cs="Arial"/>
          <w:sz w:val="22"/>
          <w:szCs w:val="22"/>
        </w:rPr>
        <w:t xml:space="preserve">Standards </w:t>
      </w:r>
      <w:r w:rsidR="009C3657">
        <w:rPr>
          <w:rFonts w:ascii="Arial" w:hAnsi="Arial" w:cs="Arial"/>
          <w:sz w:val="22"/>
          <w:szCs w:val="22"/>
        </w:rPr>
        <w:t>for Tissue Banking, Current edi</w:t>
      </w:r>
      <w:bookmarkStart w:id="0" w:name="_GoBack"/>
      <w:bookmarkEnd w:id="0"/>
      <w:r w:rsidRPr="009C3657">
        <w:rPr>
          <w:rFonts w:ascii="Arial" w:hAnsi="Arial" w:cs="Arial"/>
          <w:sz w:val="22"/>
          <w:szCs w:val="22"/>
        </w:rPr>
        <w:t>tion, American Association for Tissue Banks, AATB, Bethesda, MD.</w:t>
      </w:r>
      <w:proofErr w:type="gramEnd"/>
    </w:p>
    <w:p w:rsidR="009B6E46" w:rsidRPr="009C3657" w:rsidRDefault="009B6E46" w:rsidP="009B6E46">
      <w:pPr>
        <w:rPr>
          <w:rFonts w:ascii="Arial" w:hAnsi="Arial" w:cs="Arial"/>
          <w:b/>
          <w:sz w:val="22"/>
          <w:szCs w:val="22"/>
        </w:rPr>
      </w:pPr>
    </w:p>
    <w:p w:rsidR="009B6E46" w:rsidRPr="009C3657" w:rsidRDefault="009B6E46" w:rsidP="009B6E46">
      <w:pPr>
        <w:rPr>
          <w:rFonts w:ascii="Arial" w:hAnsi="Arial" w:cs="Arial"/>
          <w:b/>
          <w:sz w:val="22"/>
          <w:szCs w:val="22"/>
        </w:rPr>
      </w:pP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p w:rsidR="007C14AA" w:rsidRPr="009C3657" w:rsidRDefault="007C14AA">
      <w:pPr>
        <w:rPr>
          <w:rFonts w:ascii="Arial" w:hAnsi="Arial" w:cs="Arial"/>
          <w:b/>
          <w:sz w:val="22"/>
          <w:szCs w:val="22"/>
        </w:rPr>
      </w:pPr>
    </w:p>
    <w:p w:rsidR="007C14AA" w:rsidRPr="009C3657" w:rsidRDefault="007C14AA" w:rsidP="007C14AA">
      <w:pPr>
        <w:ind w:left="270"/>
        <w:rPr>
          <w:rFonts w:ascii="Arial" w:hAnsi="Arial" w:cs="Arial"/>
          <w:b/>
          <w:sz w:val="22"/>
          <w:szCs w:val="22"/>
        </w:rPr>
      </w:pPr>
    </w:p>
    <w:sectPr w:rsidR="007C14AA" w:rsidRPr="009C3657" w:rsidSect="00AE46DB">
      <w:headerReference w:type="default" r:id="rId10"/>
      <w:footerReference w:type="default" r:id="rId11"/>
      <w:pgSz w:w="15840" w:h="12240" w:orient="landscape"/>
      <w:pgMar w:top="630" w:right="144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B0" w:rsidRDefault="00D035B0">
      <w:r>
        <w:separator/>
      </w:r>
    </w:p>
  </w:endnote>
  <w:endnote w:type="continuationSeparator" w:id="0">
    <w:p w:rsidR="00D035B0" w:rsidRDefault="00D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DB" w:rsidRPr="00AE46DB" w:rsidRDefault="00AE46DB">
    <w:pPr>
      <w:pStyle w:val="Footer"/>
      <w:jc w:val="right"/>
      <w:rPr>
        <w:rFonts w:ascii="Arial" w:hAnsi="Arial" w:cs="Arial"/>
        <w:sz w:val="22"/>
        <w:szCs w:val="22"/>
      </w:rPr>
    </w:pPr>
    <w:r w:rsidRPr="00AE46DB">
      <w:rPr>
        <w:rFonts w:ascii="Arial" w:hAnsi="Arial" w:cs="Arial"/>
        <w:sz w:val="22"/>
        <w:szCs w:val="22"/>
      </w:rPr>
      <w:t xml:space="preserve">Page </w:t>
    </w:r>
    <w:r w:rsidRPr="00AE46DB">
      <w:rPr>
        <w:rFonts w:ascii="Arial" w:hAnsi="Arial" w:cs="Arial"/>
        <w:b/>
        <w:bCs/>
        <w:sz w:val="22"/>
        <w:szCs w:val="22"/>
      </w:rPr>
      <w:fldChar w:fldCharType="begin"/>
    </w:r>
    <w:r w:rsidRPr="00AE46DB">
      <w:rPr>
        <w:rFonts w:ascii="Arial" w:hAnsi="Arial" w:cs="Arial"/>
        <w:b/>
        <w:bCs/>
        <w:sz w:val="22"/>
        <w:szCs w:val="22"/>
      </w:rPr>
      <w:instrText xml:space="preserve"> PAGE </w:instrText>
    </w:r>
    <w:r w:rsidRPr="00AE46DB">
      <w:rPr>
        <w:rFonts w:ascii="Arial" w:hAnsi="Arial" w:cs="Arial"/>
        <w:b/>
        <w:bCs/>
        <w:sz w:val="22"/>
        <w:szCs w:val="22"/>
      </w:rPr>
      <w:fldChar w:fldCharType="separate"/>
    </w:r>
    <w:r w:rsidR="0070602D">
      <w:rPr>
        <w:rFonts w:ascii="Arial" w:hAnsi="Arial" w:cs="Arial"/>
        <w:b/>
        <w:bCs/>
        <w:noProof/>
        <w:sz w:val="22"/>
        <w:szCs w:val="22"/>
      </w:rPr>
      <w:t>3</w:t>
    </w:r>
    <w:r w:rsidRPr="00AE46DB">
      <w:rPr>
        <w:rFonts w:ascii="Arial" w:hAnsi="Arial" w:cs="Arial"/>
        <w:b/>
        <w:bCs/>
        <w:sz w:val="22"/>
        <w:szCs w:val="22"/>
      </w:rPr>
      <w:fldChar w:fldCharType="end"/>
    </w:r>
    <w:r w:rsidRPr="00AE46DB">
      <w:rPr>
        <w:rFonts w:ascii="Arial" w:hAnsi="Arial" w:cs="Arial"/>
        <w:sz w:val="22"/>
        <w:szCs w:val="22"/>
      </w:rPr>
      <w:t xml:space="preserve"> of </w:t>
    </w:r>
    <w:r w:rsidRPr="00AE46DB">
      <w:rPr>
        <w:rFonts w:ascii="Arial" w:hAnsi="Arial" w:cs="Arial"/>
        <w:b/>
        <w:bCs/>
        <w:sz w:val="22"/>
        <w:szCs w:val="22"/>
      </w:rPr>
      <w:fldChar w:fldCharType="begin"/>
    </w:r>
    <w:r w:rsidRPr="00AE46DB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AE46DB">
      <w:rPr>
        <w:rFonts w:ascii="Arial" w:hAnsi="Arial" w:cs="Arial"/>
        <w:b/>
        <w:bCs/>
        <w:sz w:val="22"/>
        <w:szCs w:val="22"/>
      </w:rPr>
      <w:fldChar w:fldCharType="separate"/>
    </w:r>
    <w:r w:rsidR="0070602D">
      <w:rPr>
        <w:rFonts w:ascii="Arial" w:hAnsi="Arial" w:cs="Arial"/>
        <w:b/>
        <w:bCs/>
        <w:noProof/>
        <w:sz w:val="22"/>
        <w:szCs w:val="22"/>
      </w:rPr>
      <w:t>3</w:t>
    </w:r>
    <w:r w:rsidRPr="00AE46DB">
      <w:rPr>
        <w:rFonts w:ascii="Arial" w:hAnsi="Arial" w:cs="Arial"/>
        <w:b/>
        <w:bCs/>
        <w:sz w:val="22"/>
        <w:szCs w:val="22"/>
      </w:rPr>
      <w:fldChar w:fldCharType="end"/>
    </w:r>
  </w:p>
  <w:p w:rsidR="00AE46DB" w:rsidRDefault="00AE46DB" w:rsidP="00AE46D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AE46DB" w:rsidRPr="00AE46DB" w:rsidRDefault="00AE46DB" w:rsidP="00AE46D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B0" w:rsidRDefault="00D035B0">
      <w:r>
        <w:separator/>
      </w:r>
    </w:p>
  </w:footnote>
  <w:footnote w:type="continuationSeparator" w:id="0">
    <w:p w:rsidR="00D035B0" w:rsidRDefault="00D0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46" w:rsidRDefault="009B6E4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Acceptance, Storage &amp; Release of non Conforming Autologous Cranial Bone Flaps Process</w:t>
    </w:r>
  </w:p>
  <w:p w:rsidR="009B6E46" w:rsidRPr="009B6E46" w:rsidRDefault="009B6E4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10"/>
    <w:multiLevelType w:val="hybridMultilevel"/>
    <w:tmpl w:val="19BA7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32CFC"/>
    <w:multiLevelType w:val="hybridMultilevel"/>
    <w:tmpl w:val="024ED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95B02"/>
    <w:multiLevelType w:val="hybridMultilevel"/>
    <w:tmpl w:val="FC8C11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ACE017E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06690"/>
    <w:multiLevelType w:val="hybridMultilevel"/>
    <w:tmpl w:val="CB2CE8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C5699"/>
    <w:multiLevelType w:val="hybridMultilevel"/>
    <w:tmpl w:val="FAD0BE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314D0"/>
    <w:multiLevelType w:val="hybridMultilevel"/>
    <w:tmpl w:val="2C4A82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00E27"/>
    <w:multiLevelType w:val="multilevel"/>
    <w:tmpl w:val="E7402122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67C2D"/>
    <w:multiLevelType w:val="hybridMultilevel"/>
    <w:tmpl w:val="1946D81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1121D"/>
    <w:multiLevelType w:val="hybridMultilevel"/>
    <w:tmpl w:val="4318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F21B3"/>
    <w:multiLevelType w:val="hybridMultilevel"/>
    <w:tmpl w:val="ED64A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E1917"/>
    <w:multiLevelType w:val="hybridMultilevel"/>
    <w:tmpl w:val="663EB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221353"/>
    <w:multiLevelType w:val="hybridMultilevel"/>
    <w:tmpl w:val="E71EE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B7FC5"/>
    <w:multiLevelType w:val="hybridMultilevel"/>
    <w:tmpl w:val="EC7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C72A00"/>
    <w:multiLevelType w:val="hybridMultilevel"/>
    <w:tmpl w:val="E7402122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A5C53"/>
    <w:multiLevelType w:val="hybridMultilevel"/>
    <w:tmpl w:val="963E66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559FB"/>
    <w:multiLevelType w:val="hybridMultilevel"/>
    <w:tmpl w:val="623E58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A2ECA"/>
    <w:multiLevelType w:val="hybridMultilevel"/>
    <w:tmpl w:val="53AC53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AB2CC8"/>
    <w:multiLevelType w:val="hybridMultilevel"/>
    <w:tmpl w:val="B27A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B2A05"/>
    <w:multiLevelType w:val="hybridMultilevel"/>
    <w:tmpl w:val="73CA7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C1939"/>
    <w:multiLevelType w:val="hybridMultilevel"/>
    <w:tmpl w:val="BF2A5A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960794"/>
    <w:multiLevelType w:val="hybridMultilevel"/>
    <w:tmpl w:val="B254C9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F10815"/>
    <w:multiLevelType w:val="hybridMultilevel"/>
    <w:tmpl w:val="5616E0FA"/>
    <w:lvl w:ilvl="0" w:tplc="BA9EDE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1B2812"/>
    <w:multiLevelType w:val="multilevel"/>
    <w:tmpl w:val="663EB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BC33E5"/>
    <w:multiLevelType w:val="multilevel"/>
    <w:tmpl w:val="E7402122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9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23"/>
  </w:num>
  <w:num w:numId="12">
    <w:abstractNumId w:val="5"/>
  </w:num>
  <w:num w:numId="13">
    <w:abstractNumId w:val="2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22"/>
  </w:num>
  <w:num w:numId="20">
    <w:abstractNumId w:val="18"/>
  </w:num>
  <w:num w:numId="21">
    <w:abstractNumId w:val="17"/>
  </w:num>
  <w:num w:numId="22">
    <w:abstractNumId w:val="8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5"/>
    <w:rsid w:val="00047465"/>
    <w:rsid w:val="000515FF"/>
    <w:rsid w:val="000F4042"/>
    <w:rsid w:val="000F5CAC"/>
    <w:rsid w:val="00284299"/>
    <w:rsid w:val="004F0392"/>
    <w:rsid w:val="0070602D"/>
    <w:rsid w:val="007A2D95"/>
    <w:rsid w:val="007A4738"/>
    <w:rsid w:val="007C14AA"/>
    <w:rsid w:val="007C15F6"/>
    <w:rsid w:val="009B6E46"/>
    <w:rsid w:val="009C3657"/>
    <w:rsid w:val="00A4521D"/>
    <w:rsid w:val="00AE46DB"/>
    <w:rsid w:val="00B00B9F"/>
    <w:rsid w:val="00B26075"/>
    <w:rsid w:val="00B34AD1"/>
    <w:rsid w:val="00B77B28"/>
    <w:rsid w:val="00C138CB"/>
    <w:rsid w:val="00CB542C"/>
    <w:rsid w:val="00D035B0"/>
    <w:rsid w:val="00D172C2"/>
    <w:rsid w:val="00D564E5"/>
    <w:rsid w:val="00DF7225"/>
    <w:rsid w:val="00E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B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B5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542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C15F6"/>
    <w:pPr>
      <w:ind w:left="720"/>
    </w:pPr>
    <w:rPr>
      <w:szCs w:val="20"/>
    </w:rPr>
  </w:style>
  <w:style w:type="character" w:styleId="PageNumber">
    <w:name w:val="page number"/>
    <w:basedOn w:val="DefaultParagraphFont"/>
    <w:rsid w:val="00B00B9F"/>
  </w:style>
  <w:style w:type="character" w:customStyle="1" w:styleId="FooterChar">
    <w:name w:val="Footer Char"/>
    <w:link w:val="Footer"/>
    <w:uiPriority w:val="99"/>
    <w:rsid w:val="00AE46DB"/>
    <w:rPr>
      <w:sz w:val="24"/>
      <w:szCs w:val="24"/>
    </w:rPr>
  </w:style>
  <w:style w:type="paragraph" w:styleId="BalloonText">
    <w:name w:val="Balloon Text"/>
    <w:basedOn w:val="Normal"/>
    <w:link w:val="BalloonTextChar"/>
    <w:rsid w:val="009C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B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B5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542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C15F6"/>
    <w:pPr>
      <w:ind w:left="720"/>
    </w:pPr>
    <w:rPr>
      <w:szCs w:val="20"/>
    </w:rPr>
  </w:style>
  <w:style w:type="character" w:styleId="PageNumber">
    <w:name w:val="page number"/>
    <w:basedOn w:val="DefaultParagraphFont"/>
    <w:rsid w:val="00B00B9F"/>
  </w:style>
  <w:style w:type="character" w:customStyle="1" w:styleId="FooterChar">
    <w:name w:val="Footer Char"/>
    <w:link w:val="Footer"/>
    <w:uiPriority w:val="99"/>
    <w:rsid w:val="00AE46DB"/>
    <w:rPr>
      <w:sz w:val="24"/>
      <w:szCs w:val="24"/>
    </w:rPr>
  </w:style>
  <w:style w:type="paragraph" w:styleId="BalloonText">
    <w:name w:val="Balloon Text"/>
    <w:basedOn w:val="Normal"/>
    <w:link w:val="BalloonTextChar"/>
    <w:rsid w:val="009C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UWMC</Company>
  <LinksUpToDate>false</LinksUpToDate>
  <CharactersWithSpaces>4127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2424890</vt:i4>
      </vt:variant>
      <vt:variant>
        <vt:i4>2110</vt:i4>
      </vt:variant>
      <vt:variant>
        <vt:i4>1025</vt:i4>
      </vt:variant>
      <vt:variant>
        <vt:i4>4</vt:i4>
      </vt:variant>
      <vt:variant>
        <vt:lpwstr>http://depts.washington.edu/labweb/index.h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jad2210</dc:creator>
  <cp:keywords/>
  <dc:description/>
  <cp:lastModifiedBy>Brenda Hayden</cp:lastModifiedBy>
  <cp:revision>3</cp:revision>
  <cp:lastPrinted>2013-08-20T19:00:00Z</cp:lastPrinted>
  <dcterms:created xsi:type="dcterms:W3CDTF">2013-08-20T19:00:00Z</dcterms:created>
  <dcterms:modified xsi:type="dcterms:W3CDTF">2013-08-20T19:01:00Z</dcterms:modified>
</cp:coreProperties>
</file>