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52" w:rsidRDefault="00B66313" w:rsidP="005F6C5A">
      <w:pPr>
        <w:rPr>
          <w:rFonts w:ascii="Arial" w:hAnsi="Arial" w:cs="Arial"/>
          <w:sz w:val="22"/>
          <w:szCs w:val="22"/>
        </w:rPr>
      </w:pPr>
      <w:r w:rsidRPr="004E5F01">
        <w:rPr>
          <w:rFonts w:ascii="Arial" w:hAnsi="Arial" w:cs="Arial"/>
          <w:b/>
          <w:sz w:val="22"/>
          <w:szCs w:val="22"/>
        </w:rPr>
        <w:t>Purpose:</w:t>
      </w:r>
    </w:p>
    <w:p w:rsidR="006B04AA" w:rsidRPr="00183E52" w:rsidRDefault="008875D1" w:rsidP="00FB6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</w:t>
      </w:r>
      <w:r w:rsidR="00183E52">
        <w:rPr>
          <w:rFonts w:ascii="Arial" w:hAnsi="Arial" w:cs="Arial"/>
          <w:sz w:val="22"/>
          <w:szCs w:val="22"/>
        </w:rPr>
        <w:t>e instruction</w:t>
      </w:r>
      <w:r>
        <w:rPr>
          <w:rFonts w:ascii="Arial" w:hAnsi="Arial" w:cs="Arial"/>
          <w:sz w:val="22"/>
          <w:szCs w:val="22"/>
        </w:rPr>
        <w:t>s for the use of</w:t>
      </w:r>
      <w:r w:rsidR="00183E52">
        <w:rPr>
          <w:rFonts w:ascii="Arial" w:hAnsi="Arial" w:cs="Arial"/>
          <w:sz w:val="22"/>
          <w:szCs w:val="22"/>
        </w:rPr>
        <w:t xml:space="preserve"> papain-treated </w:t>
      </w:r>
      <w:proofErr w:type="spellStart"/>
      <w:r>
        <w:rPr>
          <w:rFonts w:ascii="Arial" w:hAnsi="Arial" w:cs="Arial"/>
          <w:sz w:val="22"/>
          <w:szCs w:val="22"/>
        </w:rPr>
        <w:t>ALB</w:t>
      </w:r>
      <w:bookmarkStart w:id="0" w:name="_GoBack"/>
      <w:bookmarkEnd w:id="0"/>
      <w:r w:rsidR="00183E52">
        <w:rPr>
          <w:rFonts w:ascii="Arial" w:hAnsi="Arial" w:cs="Arial"/>
          <w:sz w:val="22"/>
          <w:szCs w:val="22"/>
        </w:rPr>
        <w:t>Acyt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>® Antibody</w:t>
      </w:r>
      <w:r w:rsidR="00183E52">
        <w:rPr>
          <w:rFonts w:ascii="Arial" w:hAnsi="Arial" w:cs="Arial"/>
          <w:sz w:val="22"/>
          <w:szCs w:val="22"/>
        </w:rPr>
        <w:t xml:space="preserve"> Identification Cell</w:t>
      </w:r>
      <w:r w:rsidR="004202EC">
        <w:rPr>
          <w:rFonts w:ascii="Arial" w:hAnsi="Arial" w:cs="Arial"/>
          <w:sz w:val="22"/>
          <w:szCs w:val="22"/>
          <w:lang w:val="en-GB"/>
        </w:rPr>
        <w:t xml:space="preserve"> for identifying unexpect</w:t>
      </w:r>
      <w:r>
        <w:rPr>
          <w:rFonts w:ascii="Arial" w:hAnsi="Arial" w:cs="Arial"/>
          <w:sz w:val="22"/>
          <w:szCs w:val="22"/>
          <w:lang w:val="en-GB"/>
        </w:rPr>
        <w:t>ed antibodies in plasma</w:t>
      </w:r>
      <w:r w:rsidR="004202EC">
        <w:rPr>
          <w:rFonts w:ascii="Arial" w:hAnsi="Arial" w:cs="Arial"/>
          <w:sz w:val="22"/>
          <w:szCs w:val="22"/>
          <w:lang w:val="en-GB"/>
        </w:rPr>
        <w:t>.</w:t>
      </w:r>
      <w:r w:rsidR="00B70A64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8875D1" w:rsidRPr="008875D1" w:rsidRDefault="008875D1" w:rsidP="00FB6AAA">
      <w:pPr>
        <w:rPr>
          <w:rFonts w:ascii="Arial" w:hAnsi="Arial" w:cs="Arial"/>
          <w:b/>
          <w:sz w:val="22"/>
          <w:szCs w:val="22"/>
          <w:lang w:val="en-GB"/>
        </w:rPr>
      </w:pPr>
    </w:p>
    <w:p w:rsidR="008875D1" w:rsidRPr="008875D1" w:rsidRDefault="008875D1" w:rsidP="00FB6AAA">
      <w:pPr>
        <w:rPr>
          <w:rFonts w:ascii="Arial" w:hAnsi="Arial" w:cs="Arial"/>
          <w:b/>
          <w:sz w:val="22"/>
          <w:szCs w:val="22"/>
          <w:lang w:val="en-GB"/>
        </w:rPr>
      </w:pPr>
      <w:r w:rsidRPr="008875D1">
        <w:rPr>
          <w:rFonts w:ascii="Arial" w:hAnsi="Arial" w:cs="Arial"/>
          <w:b/>
          <w:sz w:val="22"/>
          <w:szCs w:val="22"/>
          <w:lang w:val="en-GB"/>
        </w:rPr>
        <w:t>Background:</w:t>
      </w:r>
    </w:p>
    <w:p w:rsidR="00087142" w:rsidRDefault="00B70A64" w:rsidP="00FB6AA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Enzyme treatment of RBCs can enhance the detection of some blood group antibodies, </w:t>
      </w:r>
      <w:r w:rsidR="006B04AA">
        <w:rPr>
          <w:rFonts w:ascii="Arial" w:hAnsi="Arial" w:cs="Arial"/>
          <w:sz w:val="22"/>
          <w:szCs w:val="22"/>
          <w:lang w:val="en-GB"/>
        </w:rPr>
        <w:t xml:space="preserve">and can </w:t>
      </w:r>
      <w:r>
        <w:rPr>
          <w:rFonts w:ascii="Arial" w:hAnsi="Arial" w:cs="Arial"/>
          <w:sz w:val="22"/>
          <w:szCs w:val="22"/>
          <w:lang w:val="en-GB"/>
        </w:rPr>
        <w:t xml:space="preserve">denature certain blood group antigens on the cells. </w:t>
      </w:r>
      <w:r w:rsidR="006B04AA">
        <w:rPr>
          <w:rFonts w:ascii="Arial" w:hAnsi="Arial" w:cs="Arial"/>
          <w:sz w:val="22"/>
          <w:szCs w:val="22"/>
          <w:lang w:val="en-GB"/>
        </w:rPr>
        <w:t xml:space="preserve">This action can </w:t>
      </w:r>
      <w:r w:rsidR="00411C50">
        <w:rPr>
          <w:rFonts w:ascii="Arial" w:hAnsi="Arial" w:cs="Arial"/>
          <w:sz w:val="22"/>
          <w:szCs w:val="22"/>
          <w:lang w:val="en-GB"/>
        </w:rPr>
        <w:t xml:space="preserve">be used to </w:t>
      </w:r>
      <w:r w:rsidR="006B04AA">
        <w:rPr>
          <w:rFonts w:ascii="Arial" w:hAnsi="Arial" w:cs="Arial"/>
          <w:sz w:val="22"/>
          <w:szCs w:val="22"/>
          <w:lang w:val="en-GB"/>
        </w:rPr>
        <w:t>aid in the detection of weak antibodies</w:t>
      </w:r>
      <w:r w:rsidR="00353C30">
        <w:rPr>
          <w:rFonts w:ascii="Arial" w:hAnsi="Arial" w:cs="Arial"/>
          <w:sz w:val="22"/>
          <w:szCs w:val="22"/>
          <w:lang w:val="en-GB"/>
        </w:rPr>
        <w:t xml:space="preserve">, </w:t>
      </w:r>
      <w:r w:rsidR="006B04AA">
        <w:rPr>
          <w:rFonts w:ascii="Arial" w:hAnsi="Arial" w:cs="Arial"/>
          <w:sz w:val="22"/>
          <w:szCs w:val="22"/>
          <w:lang w:val="en-GB"/>
        </w:rPr>
        <w:t xml:space="preserve">and in the differentiation of blood group antibodies in a </w:t>
      </w:r>
      <w:r w:rsidR="00430D90">
        <w:rPr>
          <w:rFonts w:ascii="Arial" w:hAnsi="Arial" w:cs="Arial"/>
          <w:sz w:val="22"/>
          <w:szCs w:val="22"/>
          <w:lang w:val="en-GB"/>
        </w:rPr>
        <w:t>sample with multiple specificities.</w:t>
      </w:r>
    </w:p>
    <w:p w:rsidR="006B04AA" w:rsidRPr="00FB6AAA" w:rsidRDefault="006B04AA" w:rsidP="00FB6AAA">
      <w:pPr>
        <w:rPr>
          <w:rFonts w:ascii="Arial" w:hAnsi="Arial" w:cs="Arial"/>
          <w:sz w:val="22"/>
          <w:szCs w:val="22"/>
          <w:lang w:val="en-GB"/>
        </w:rPr>
      </w:pPr>
    </w:p>
    <w:p w:rsidR="008875D1" w:rsidRDefault="008875D1" w:rsidP="008875D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Special Considerations:</w:t>
      </w:r>
    </w:p>
    <w:p w:rsidR="008875D1" w:rsidRDefault="001C112C" w:rsidP="008875D1">
      <w:pPr>
        <w:pStyle w:val="Header"/>
        <w:numPr>
          <w:ilvl w:val="0"/>
          <w:numId w:val="44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Papain treatment of RBCs </w:t>
      </w:r>
      <w:r w:rsidR="006B04AA">
        <w:rPr>
          <w:rFonts w:ascii="Arial" w:hAnsi="Arial" w:cs="Arial"/>
          <w:kern w:val="0"/>
          <w:sz w:val="22"/>
          <w:szCs w:val="22"/>
        </w:rPr>
        <w:t>denatures</w:t>
      </w:r>
      <w:r>
        <w:rPr>
          <w:rFonts w:ascii="Arial" w:hAnsi="Arial" w:cs="Arial"/>
          <w:kern w:val="0"/>
          <w:sz w:val="22"/>
          <w:szCs w:val="22"/>
        </w:rPr>
        <w:t xml:space="preserve"> or depresses the </w:t>
      </w:r>
      <w:r w:rsidR="006B04AA">
        <w:rPr>
          <w:rFonts w:ascii="Arial" w:hAnsi="Arial" w:cs="Arial"/>
          <w:kern w:val="0"/>
          <w:sz w:val="22"/>
          <w:szCs w:val="22"/>
        </w:rPr>
        <w:t xml:space="preserve">expression of many </w:t>
      </w:r>
      <w:r>
        <w:rPr>
          <w:rFonts w:ascii="Arial" w:hAnsi="Arial" w:cs="Arial"/>
          <w:kern w:val="0"/>
          <w:sz w:val="22"/>
          <w:szCs w:val="22"/>
        </w:rPr>
        <w:t>antig</w:t>
      </w:r>
      <w:r w:rsidR="006B04AA">
        <w:rPr>
          <w:rFonts w:ascii="Arial" w:hAnsi="Arial" w:cs="Arial"/>
          <w:kern w:val="0"/>
          <w:sz w:val="22"/>
          <w:szCs w:val="22"/>
        </w:rPr>
        <w:t>ens of the M</w:t>
      </w:r>
      <w:r w:rsidR="00E6664F">
        <w:rPr>
          <w:rFonts w:ascii="Arial" w:hAnsi="Arial" w:cs="Arial"/>
          <w:kern w:val="0"/>
          <w:sz w:val="22"/>
          <w:szCs w:val="22"/>
        </w:rPr>
        <w:t>NS, Duffy, Chido/Rodgers, G</w:t>
      </w:r>
      <w:r w:rsidR="006B04AA">
        <w:rPr>
          <w:rFonts w:ascii="Arial" w:hAnsi="Arial" w:cs="Arial"/>
          <w:kern w:val="0"/>
          <w:sz w:val="22"/>
          <w:szCs w:val="22"/>
        </w:rPr>
        <w:t>erbich, Indian, JMH and Xg blood group systems.</w:t>
      </w:r>
      <w:r w:rsidR="005F51FA">
        <w:rPr>
          <w:rFonts w:ascii="Arial" w:hAnsi="Arial" w:cs="Arial"/>
          <w:kern w:val="0"/>
          <w:sz w:val="22"/>
          <w:szCs w:val="22"/>
        </w:rPr>
        <w:t xml:space="preserve"> </w:t>
      </w:r>
    </w:p>
    <w:p w:rsidR="00FF3080" w:rsidRDefault="005F51FA" w:rsidP="008875D1">
      <w:pPr>
        <w:pStyle w:val="Header"/>
        <w:numPr>
          <w:ilvl w:val="0"/>
          <w:numId w:val="44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Reactivity with antibodies in the Rhesus, Kidd, Lewis, P and I blood group systems is enhanced.</w:t>
      </w:r>
    </w:p>
    <w:p w:rsidR="009A7AD2" w:rsidRDefault="009A7AD2" w:rsidP="004E5F0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:rsidR="00B66313" w:rsidRPr="004E5F01" w:rsidRDefault="00921363" w:rsidP="004E5F0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4E5F01">
        <w:rPr>
          <w:rFonts w:ascii="Arial" w:hAnsi="Arial" w:cs="Arial"/>
          <w:b/>
          <w:kern w:val="0"/>
          <w:sz w:val="22"/>
          <w:szCs w:val="22"/>
        </w:rPr>
        <w:t>P</w:t>
      </w:r>
      <w:r w:rsidR="00B66313" w:rsidRPr="004E5F01">
        <w:rPr>
          <w:rFonts w:ascii="Arial" w:hAnsi="Arial" w:cs="Arial"/>
          <w:b/>
          <w:kern w:val="0"/>
          <w:sz w:val="22"/>
          <w:szCs w:val="22"/>
        </w:rPr>
        <w:t xml:space="preserve">rocedure: </w:t>
      </w:r>
    </w:p>
    <w:tbl>
      <w:tblPr>
        <w:tblW w:w="10093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0"/>
        <w:gridCol w:w="2472"/>
        <w:gridCol w:w="4548"/>
        <w:gridCol w:w="2263"/>
      </w:tblGrid>
      <w:tr w:rsidR="003E0E63" w:rsidRPr="004E5F01" w:rsidTr="008875D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10" w:type="dxa"/>
          </w:tcPr>
          <w:p w:rsidR="003E0E63" w:rsidRPr="004E5F01" w:rsidRDefault="008163D7" w:rsidP="008163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20" w:type="dxa"/>
            <w:gridSpan w:val="2"/>
          </w:tcPr>
          <w:p w:rsidR="003E0E63" w:rsidRDefault="003E0E63" w:rsidP="008163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  <w:p w:rsidR="008163D7" w:rsidRPr="004E5F01" w:rsidRDefault="008163D7" w:rsidP="008163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:rsidR="003E0E63" w:rsidRPr="004E5F01" w:rsidRDefault="003E0E63" w:rsidP="008163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66313" w:rsidRPr="004E5F01" w:rsidTr="00887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B66313" w:rsidRPr="004E5F01" w:rsidRDefault="00B66313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7020" w:type="dxa"/>
            <w:gridSpan w:val="2"/>
            <w:tcMar>
              <w:left w:w="115" w:type="dxa"/>
              <w:right w:w="115" w:type="dxa"/>
            </w:tcMar>
          </w:tcPr>
          <w:p w:rsidR="00B66313" w:rsidRDefault="00B66313" w:rsidP="00AA62EB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sz w:val="22"/>
                <w:szCs w:val="22"/>
              </w:rPr>
              <w:t>Confirm sample acceptability</w:t>
            </w:r>
            <w:r w:rsidR="000E58CE" w:rsidRPr="004E5F0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202EC" w:rsidRDefault="004202EC" w:rsidP="00AA62EB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Anticoagulated samples collected in EDTA are preferred.</w:t>
            </w:r>
          </w:p>
          <w:p w:rsidR="004202EC" w:rsidRPr="004E5F01" w:rsidRDefault="004202EC" w:rsidP="00AA62EB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Clotted samples are acceptable.</w:t>
            </w:r>
          </w:p>
          <w:p w:rsidR="00B66313" w:rsidRPr="004E5F01" w:rsidRDefault="00B66313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B66313" w:rsidRPr="004E5F01" w:rsidRDefault="00B66313" w:rsidP="00AD22C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Evaluating Patient Samples</w:t>
            </w:r>
            <w:r w:rsidR="00B97888" w:rsidRPr="004E5F01">
              <w:rPr>
                <w:rFonts w:ascii="Arial" w:hAnsi="Arial" w:cs="Arial"/>
                <w:kern w:val="0"/>
                <w:sz w:val="22"/>
                <w:szCs w:val="22"/>
              </w:rPr>
              <w:t xml:space="preserve"> and Request Forms</w:t>
            </w:r>
          </w:p>
        </w:tc>
      </w:tr>
      <w:tr w:rsidR="008C660D" w:rsidRPr="004E5F01" w:rsidTr="00887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C660D" w:rsidRPr="004E5F01" w:rsidRDefault="008C660D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7020" w:type="dxa"/>
            <w:gridSpan w:val="2"/>
            <w:tcMar>
              <w:left w:w="115" w:type="dxa"/>
              <w:right w:w="115" w:type="dxa"/>
            </w:tcMar>
          </w:tcPr>
          <w:p w:rsidR="008C660D" w:rsidRDefault="008C660D" w:rsidP="008C66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Control</w:t>
            </w:r>
          </w:p>
          <w:p w:rsidR="008C660D" w:rsidRDefault="008C660D" w:rsidP="008C660D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QC performed</w:t>
            </w:r>
          </w:p>
          <w:p w:rsidR="008C660D" w:rsidRDefault="008C660D" w:rsidP="008C660D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QC Ortho anti-IgG</w:t>
            </w:r>
          </w:p>
          <w:p w:rsidR="008163D7" w:rsidRPr="00183E52" w:rsidRDefault="008C660D" w:rsidP="00183E5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Visually inspect panel cells for hemolysis and discoloration.</w:t>
            </w:r>
          </w:p>
          <w:p w:rsidR="008163D7" w:rsidRPr="004E5F01" w:rsidRDefault="008163D7" w:rsidP="008C660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8C660D" w:rsidRPr="004E5F01" w:rsidRDefault="008C660D" w:rsidP="008C660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8875D1" w:rsidRPr="004E5F01" w:rsidTr="00887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4E5F01" w:rsidRDefault="008875D1" w:rsidP="00720F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Pr="00353C30" w:rsidRDefault="008875D1" w:rsidP="008875D1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 tubes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per established procedure.</w:t>
            </w:r>
          </w:p>
          <w:p w:rsidR="008875D1" w:rsidRDefault="008875D1" w:rsidP="008875D1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Ensure reagents are well mixed and at room temperature before use.</w:t>
            </w:r>
          </w:p>
          <w:p w:rsidR="008875D1" w:rsidRDefault="008875D1" w:rsidP="008875D1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Include an autologous control (patient’s enzyme treated cells).</w:t>
            </w:r>
          </w:p>
          <w:p w:rsidR="008875D1" w:rsidRDefault="008875D1" w:rsidP="00720FB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8875D1" w:rsidRDefault="008875D1" w:rsidP="00720FB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8875D1" w:rsidRDefault="008875D1" w:rsidP="00720FB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8875D1" w:rsidRDefault="008875D1" w:rsidP="00720FB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8875D1" w:rsidRPr="004E5F01" w:rsidRDefault="008875D1" w:rsidP="00720FB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8875D1" w:rsidRPr="004E5F01" w:rsidRDefault="008875D1" w:rsidP="008875D1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Labeling Tubes for Manual Bench Testing</w:t>
            </w:r>
          </w:p>
          <w:p w:rsidR="008875D1" w:rsidRPr="004E5F01" w:rsidRDefault="008875D1" w:rsidP="008875D1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Rack Set-Up Procedure</w:t>
            </w:r>
          </w:p>
        </w:tc>
      </w:tr>
      <w:tr w:rsidR="008875D1" w:rsidRPr="004E5F01" w:rsidTr="00887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8875D1" w:rsidRDefault="008875D1" w:rsidP="008875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8875D1">
              <w:rPr>
                <w:rFonts w:ascii="Arial" w:hAnsi="Arial" w:cs="Arial"/>
                <w:b/>
                <w:kern w:val="0"/>
                <w:sz w:val="22"/>
                <w:szCs w:val="22"/>
              </w:rPr>
              <w:t>Step</w:t>
            </w: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Pr="008875D1" w:rsidRDefault="008875D1" w:rsidP="008875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875D1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8875D1" w:rsidRPr="008875D1" w:rsidRDefault="008875D1" w:rsidP="008875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875D1">
              <w:rPr>
                <w:rFonts w:ascii="Arial" w:hAnsi="Arial" w:cs="Arial"/>
                <w:b/>
                <w:sz w:val="22"/>
                <w:szCs w:val="22"/>
                <w:lang w:val="en-GB"/>
              </w:rPr>
              <w:t>Related Documents</w:t>
            </w:r>
          </w:p>
        </w:tc>
      </w:tr>
      <w:tr w:rsidR="008875D1" w:rsidRPr="004E5F01" w:rsidTr="00887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Default="008875D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Default="008875D1" w:rsidP="007144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Preparation of papain treated autologous control</w:t>
            </w:r>
          </w:p>
          <w:p w:rsidR="008875D1" w:rsidRDefault="008875D1" w:rsidP="00714471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Wash 3 to 4 drops of packed red blood cells to be treated 3 times manually with isotonic saline.</w:t>
            </w:r>
          </w:p>
          <w:p w:rsidR="008875D1" w:rsidRDefault="008875D1" w:rsidP="00714471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Remove as much of the final supernatant as possible to obtain a packed red cell pellet.</w:t>
            </w:r>
          </w:p>
          <w:p w:rsidR="008875D1" w:rsidRDefault="008875D1" w:rsidP="00714471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In a clean tube, add </w:t>
            </w:r>
            <w:r w:rsidRPr="0041099D">
              <w:rPr>
                <w:rFonts w:ascii="Arial" w:hAnsi="Arial" w:cs="Arial"/>
                <w:b/>
                <w:sz w:val="22"/>
                <w:szCs w:val="22"/>
                <w:lang w:val="en-GB"/>
              </w:rPr>
              <w:t>1 volume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ALBAzyme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™ Papain Solution to </w:t>
            </w:r>
            <w:r w:rsidRPr="0041099D">
              <w:rPr>
                <w:rFonts w:ascii="Arial" w:hAnsi="Arial" w:cs="Arial"/>
                <w:b/>
                <w:sz w:val="22"/>
                <w:szCs w:val="22"/>
                <w:lang w:val="en-GB"/>
              </w:rPr>
              <w:t>1 volume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washed packed red cells.</w:t>
            </w:r>
          </w:p>
          <w:p w:rsidR="008875D1" w:rsidRDefault="008875D1" w:rsidP="00714471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Incubate at 37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°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 for </w:t>
            </w:r>
            <w:r w:rsidRPr="00633270">
              <w:rPr>
                <w:rFonts w:ascii="Arial" w:hAnsi="Arial" w:cs="Arial"/>
                <w:b/>
                <w:sz w:val="22"/>
                <w:szCs w:val="22"/>
                <w:lang w:val="en-GB"/>
              </w:rPr>
              <w:t>15 minutes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 Do not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overtreat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the red cells.</w:t>
            </w:r>
          </w:p>
          <w:p w:rsidR="008875D1" w:rsidRPr="00633270" w:rsidRDefault="008875D1" w:rsidP="00206590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633270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GB"/>
              </w:rPr>
              <w:t>Note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Prolonged exposure of red cells to the papain may cause spontaneous aggregation of the cells due to overtreatment.</w:t>
            </w:r>
          </w:p>
          <w:p w:rsidR="008875D1" w:rsidRDefault="008875D1" w:rsidP="00714471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After incubation, wash the treated cells 3 times manually with isotonic saline and re-suspend to the required 3-5% for testing.</w:t>
            </w:r>
          </w:p>
          <w:p w:rsidR="008875D1" w:rsidRDefault="008875D1" w:rsidP="00714471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Treated cells should be used on the day of preparation.</w:t>
            </w:r>
          </w:p>
          <w:p w:rsidR="008875D1" w:rsidRPr="00DD711B" w:rsidRDefault="008875D1" w:rsidP="00DD711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875D1" w:rsidRDefault="008875D1" w:rsidP="00CC4CE3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GB"/>
              </w:rPr>
              <w:t>Note: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Once opened, the papain solution can be used for 30 days. Document the open and expiration dates.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Do not use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beyond the original expiration date of the reagent.</w:t>
            </w:r>
          </w:p>
          <w:p w:rsidR="008875D1" w:rsidRPr="004E5F01" w:rsidRDefault="008875D1" w:rsidP="0041099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8875D1" w:rsidRPr="004E5F01" w:rsidRDefault="008875D1" w:rsidP="00120924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Manufacturer’s Package Insert</w:t>
            </w:r>
          </w:p>
        </w:tc>
      </w:tr>
      <w:tr w:rsidR="008875D1" w:rsidRPr="004E5F01" w:rsidTr="00887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Pr="004E5F01" w:rsidRDefault="008875D1" w:rsidP="00AA62EB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714471">
              <w:rPr>
                <w:rFonts w:ascii="Arial" w:hAnsi="Arial" w:cs="Arial"/>
                <w:b/>
                <w:sz w:val="22"/>
                <w:szCs w:val="22"/>
                <w:lang w:val="en-GB"/>
              </w:rPr>
              <w:t>2 drops</w:t>
            </w: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 of patient plasma/serum to each tube.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8875D1" w:rsidRPr="004E5F01" w:rsidRDefault="008875D1" w:rsidP="00AD22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875D1" w:rsidRPr="004E5F01" w:rsidTr="00887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/>
        </w:trPr>
        <w:tc>
          <w:tcPr>
            <w:tcW w:w="81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Default="008875D1" w:rsidP="0056556F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714471">
              <w:rPr>
                <w:rFonts w:ascii="Arial" w:hAnsi="Arial" w:cs="Arial"/>
                <w:b/>
                <w:sz w:val="22"/>
                <w:szCs w:val="22"/>
                <w:lang w:val="en-GB"/>
              </w:rPr>
              <w:t>1 drop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of reagent panel</w:t>
            </w: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 cells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and </w:t>
            </w:r>
            <w:r w:rsidRPr="00552C04">
              <w:rPr>
                <w:rFonts w:ascii="Arial" w:hAnsi="Arial" w:cs="Arial"/>
                <w:b/>
                <w:sz w:val="22"/>
                <w:szCs w:val="22"/>
                <w:lang w:val="en-GB"/>
              </w:rPr>
              <w:t>1 drop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autologous control </w:t>
            </w: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to respective labelled tubes.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A7AD2">
              <w:rPr>
                <w:rFonts w:ascii="Arial" w:hAnsi="Arial" w:cs="Arial"/>
                <w:sz w:val="22"/>
                <w:szCs w:val="22"/>
                <w:lang w:val="en-GB"/>
              </w:rPr>
              <w:t>Mix gently.</w:t>
            </w:r>
          </w:p>
          <w:p w:rsidR="008875D1" w:rsidRDefault="008875D1" w:rsidP="00DD711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GB"/>
              </w:rPr>
            </w:pPr>
          </w:p>
          <w:p w:rsidR="008875D1" w:rsidRPr="009B52E6" w:rsidRDefault="008875D1" w:rsidP="00DD711B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52E6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GB"/>
              </w:rPr>
              <w:t>Note:</w:t>
            </w:r>
            <w:r w:rsidRPr="009B52E6">
              <w:rPr>
                <w:rFonts w:ascii="Arial" w:hAnsi="Arial" w:cs="Arial"/>
                <w:sz w:val="22"/>
                <w:szCs w:val="22"/>
                <w:lang w:val="en-GB"/>
              </w:rPr>
              <w:t xml:space="preserve">  Do not add any </w:t>
            </w:r>
            <w:proofErr w:type="spellStart"/>
            <w:r w:rsidRPr="009B52E6">
              <w:rPr>
                <w:rFonts w:ascii="Arial" w:hAnsi="Arial" w:cs="Arial"/>
                <w:sz w:val="22"/>
                <w:szCs w:val="22"/>
                <w:lang w:val="en-GB"/>
              </w:rPr>
              <w:t>potentiator</w:t>
            </w:r>
            <w:proofErr w:type="spellEnd"/>
            <w:r w:rsidRPr="009B52E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8875D1" w:rsidRPr="004E5F01" w:rsidRDefault="008875D1" w:rsidP="00D82EA4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8875D1" w:rsidRPr="004E5F01" w:rsidRDefault="008875D1" w:rsidP="00AD22CE">
            <w:p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</w:p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875D1" w:rsidRPr="004E5F01" w:rsidTr="00887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/>
        </w:trPr>
        <w:tc>
          <w:tcPr>
            <w:tcW w:w="81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Default="008875D1" w:rsidP="004E5F01">
            <w:pPr>
              <w:pStyle w:val="Header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Default="008875D1" w:rsidP="00AD22C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Incubate at 37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°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 for 15 minutes.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8875D1" w:rsidRPr="004E5F01" w:rsidRDefault="008875D1" w:rsidP="00AD22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875D1" w:rsidRPr="004E5F01" w:rsidTr="00887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/>
        </w:trPr>
        <w:tc>
          <w:tcPr>
            <w:tcW w:w="81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Default="008875D1" w:rsidP="00AD22C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Mix well after incubation and c</w:t>
            </w: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entrifuge for the posted time in a calibrated serologic centrifuge.</w:t>
            </w:r>
          </w:p>
          <w:p w:rsidR="008875D1" w:rsidRPr="004E5F01" w:rsidRDefault="008875D1" w:rsidP="008C660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8875D1" w:rsidRPr="004E5F01" w:rsidRDefault="008875D1" w:rsidP="00AD22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875D1" w:rsidRPr="004E5F01" w:rsidTr="00887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Default="008875D1" w:rsidP="00AD22C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Re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-suspend cell button and examine macroscopically for hemolysis and agglutination.</w:t>
            </w:r>
          </w:p>
          <w:p w:rsidR="008875D1" w:rsidRDefault="008875D1" w:rsidP="008336D8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Grade and record reactions.</w:t>
            </w:r>
          </w:p>
          <w:p w:rsidR="008875D1" w:rsidRPr="008336D8" w:rsidRDefault="008875D1" w:rsidP="00387F3C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8875D1" w:rsidRPr="004E5F01" w:rsidRDefault="008875D1" w:rsidP="00AD22CE">
            <w:pPr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5F01">
              <w:rPr>
                <w:rFonts w:ascii="Arial" w:hAnsi="Arial" w:cs="Arial"/>
                <w:bCs/>
                <w:sz w:val="22"/>
                <w:szCs w:val="22"/>
              </w:rPr>
              <w:t>Reading and Grading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Tube Hemagglutination</w:t>
            </w:r>
          </w:p>
        </w:tc>
      </w:tr>
      <w:tr w:rsidR="008875D1" w:rsidRPr="004E5F01" w:rsidTr="008875D1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7020" w:type="dxa"/>
            <w:gridSpan w:val="2"/>
            <w:tcMar>
              <w:left w:w="115" w:type="dxa"/>
              <w:right w:w="115" w:type="dxa"/>
            </w:tcMar>
          </w:tcPr>
          <w:p w:rsidR="008875D1" w:rsidRPr="004E5F01" w:rsidRDefault="008875D1" w:rsidP="00AD22C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Wash the tubes four times with saline.</w:t>
            </w:r>
          </w:p>
        </w:tc>
        <w:tc>
          <w:tcPr>
            <w:tcW w:w="2263" w:type="dxa"/>
            <w:tcMar>
              <w:left w:w="115" w:type="dxa"/>
              <w:right w:w="115" w:type="dxa"/>
            </w:tcMar>
            <w:vAlign w:val="center"/>
          </w:tcPr>
          <w:p w:rsidR="008875D1" w:rsidRPr="004E5F01" w:rsidRDefault="008875D1" w:rsidP="00AD22C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Washing Red Cell Samples (Manual or Automated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</w:tr>
      <w:tr w:rsidR="008875D1" w:rsidRPr="004E5F01" w:rsidTr="008875D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7020" w:type="dxa"/>
            <w:gridSpan w:val="2"/>
            <w:tcMar>
              <w:left w:w="115" w:type="dxa"/>
              <w:right w:w="115" w:type="dxa"/>
            </w:tcMar>
          </w:tcPr>
          <w:p w:rsidR="008875D1" w:rsidRPr="004E5F01" w:rsidRDefault="008875D1" w:rsidP="00AD22C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Add </w:t>
            </w:r>
            <w:r w:rsidRPr="00714471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2 drops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of Ortho </w:t>
            </w:r>
            <w:r w:rsidRPr="004E5F01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anti-IgG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to each tube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ind w:left="785" w:hanging="785"/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8875D1" w:rsidRPr="004E5F01" w:rsidTr="008875D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7020" w:type="dxa"/>
            <w:gridSpan w:val="2"/>
            <w:tcMar>
              <w:left w:w="115" w:type="dxa"/>
              <w:right w:w="115" w:type="dxa"/>
            </w:tcMar>
          </w:tcPr>
          <w:p w:rsidR="008875D1" w:rsidRPr="004E5F01" w:rsidRDefault="008875D1" w:rsidP="00AA62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Mix the tubes </w:t>
            </w:r>
            <w:r w:rsidRPr="004E5F01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immediately.</w:t>
            </w:r>
          </w:p>
          <w:p w:rsidR="008875D1" w:rsidRPr="004844DE" w:rsidRDefault="008875D1" w:rsidP="00AA62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8875D1" w:rsidRPr="004E5F01" w:rsidRDefault="008875D1" w:rsidP="000C04E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8875D1" w:rsidRPr="004E5F01" w:rsidTr="008875D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8875D1" w:rsidRDefault="008875D1" w:rsidP="008875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8875D1">
              <w:rPr>
                <w:rFonts w:ascii="Arial" w:hAnsi="Arial" w:cs="Arial"/>
                <w:b/>
                <w:kern w:val="0"/>
                <w:sz w:val="22"/>
                <w:szCs w:val="22"/>
              </w:rPr>
              <w:t>Step</w:t>
            </w:r>
          </w:p>
        </w:tc>
        <w:tc>
          <w:tcPr>
            <w:tcW w:w="7020" w:type="dxa"/>
            <w:gridSpan w:val="2"/>
            <w:tcMar>
              <w:left w:w="115" w:type="dxa"/>
              <w:right w:w="115" w:type="dxa"/>
            </w:tcMar>
          </w:tcPr>
          <w:p w:rsidR="008875D1" w:rsidRPr="008875D1" w:rsidRDefault="008875D1" w:rsidP="008875D1">
            <w:pPr>
              <w:pStyle w:val="Header"/>
              <w:tabs>
                <w:tab w:val="clear" w:pos="4320"/>
                <w:tab w:val="clear" w:pos="8640"/>
              </w:tabs>
              <w:ind w:left="36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8875D1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8875D1" w:rsidRPr="008875D1" w:rsidRDefault="008875D1" w:rsidP="008875D1">
            <w:pPr>
              <w:pStyle w:val="Header"/>
              <w:tabs>
                <w:tab w:val="clear" w:pos="4320"/>
                <w:tab w:val="clear" w:pos="8640"/>
              </w:tabs>
              <w:ind w:left="3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8875D1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8875D1" w:rsidRPr="004E5F01" w:rsidTr="008875D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13</w:t>
            </w:r>
          </w:p>
        </w:tc>
        <w:tc>
          <w:tcPr>
            <w:tcW w:w="7020" w:type="dxa"/>
            <w:gridSpan w:val="2"/>
            <w:tcMar>
              <w:left w:w="115" w:type="dxa"/>
              <w:right w:w="115" w:type="dxa"/>
            </w:tcMar>
          </w:tcPr>
          <w:p w:rsidR="008875D1" w:rsidRPr="004E5F01" w:rsidRDefault="008875D1" w:rsidP="00AA62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Immediately after centrifugation: </w:t>
            </w:r>
          </w:p>
          <w:p w:rsidR="008875D1" w:rsidRPr="004E5F01" w:rsidRDefault="008875D1" w:rsidP="00AA62EB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Re-suspend the cell button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examine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macroscopic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ally for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agglutination.</w:t>
            </w:r>
          </w:p>
          <w:p w:rsidR="008875D1" w:rsidRPr="00790759" w:rsidRDefault="008875D1" w:rsidP="00790759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Grade and record reactions.</w:t>
            </w:r>
          </w:p>
          <w:p w:rsidR="008875D1" w:rsidRPr="004E5F01" w:rsidRDefault="008875D1" w:rsidP="000C04E2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8875D1" w:rsidRPr="004E5F01" w:rsidRDefault="008875D1" w:rsidP="00AD22C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Reading and Grading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Tube Hemagglutination</w:t>
            </w:r>
          </w:p>
        </w:tc>
      </w:tr>
      <w:tr w:rsidR="008875D1" w:rsidRPr="004E5F01" w:rsidTr="008875D1">
        <w:tblPrEx>
          <w:tblCellMar>
            <w:top w:w="0" w:type="dxa"/>
            <w:bottom w:w="0" w:type="dxa"/>
          </w:tblCellMar>
        </w:tblPrEx>
        <w:trPr>
          <w:trHeight w:val="2805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4E5F01" w:rsidRDefault="008875D1" w:rsidP="00AA62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14</w:t>
            </w:r>
          </w:p>
        </w:tc>
        <w:tc>
          <w:tcPr>
            <w:tcW w:w="7020" w:type="dxa"/>
            <w:gridSpan w:val="2"/>
            <w:tcMar>
              <w:left w:w="115" w:type="dxa"/>
              <w:right w:w="115" w:type="dxa"/>
            </w:tcMar>
          </w:tcPr>
          <w:p w:rsidR="008875D1" w:rsidRPr="004E5F01" w:rsidRDefault="008875D1" w:rsidP="0041786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Validate all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negative antiglobulin results:</w:t>
            </w:r>
          </w:p>
          <w:p w:rsidR="008875D1" w:rsidRPr="004E5F01" w:rsidRDefault="008875D1" w:rsidP="00AA62EB">
            <w:pPr>
              <w:numPr>
                <w:ilvl w:val="0"/>
                <w:numId w:val="29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Pr="00714471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1 drop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of IgG-coated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RBCs to all tubes with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negative antiglobulin result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8875D1" w:rsidRPr="004E5F01" w:rsidRDefault="008875D1" w:rsidP="00AA62EB">
            <w:pPr>
              <w:numPr>
                <w:ilvl w:val="0"/>
                <w:numId w:val="29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8875D1" w:rsidRPr="004E5F01" w:rsidRDefault="008875D1" w:rsidP="00AA62EB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the cell button and examine macroscopically for 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agglutination.</w:t>
            </w:r>
          </w:p>
          <w:p w:rsidR="008875D1" w:rsidRPr="004E5F01" w:rsidRDefault="008875D1" w:rsidP="00AA62EB">
            <w:pPr>
              <w:numPr>
                <w:ilvl w:val="0"/>
                <w:numId w:val="29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Grade and record reactions.</w:t>
            </w:r>
          </w:p>
          <w:p w:rsidR="008875D1" w:rsidRDefault="008875D1" w:rsidP="00AA62EB">
            <w:pPr>
              <w:tabs>
                <w:tab w:val="left" w:pos="-720"/>
              </w:tabs>
              <w:suppressAutoHyphens/>
              <w:ind w:left="2412" w:hanging="2412"/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</w:pPr>
          </w:p>
          <w:p w:rsidR="008875D1" w:rsidRDefault="008875D1" w:rsidP="00AA62EB">
            <w:pPr>
              <w:tabs>
                <w:tab w:val="left" w:pos="-720"/>
              </w:tabs>
              <w:suppressAutoHyphens/>
              <w:ind w:left="2412" w:hanging="2412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 w:rsidRPr="004E5F0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:</w:t>
            </w:r>
            <w:r w:rsidRPr="004E5F0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ab/>
              <w:t>Agglutination of at least grade 2+ must be present or the test results are invalid and the test must be repeated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8875D1" w:rsidRPr="004E5F01" w:rsidRDefault="008875D1" w:rsidP="00AA62EB">
            <w:pPr>
              <w:tabs>
                <w:tab w:val="left" w:pos="-720"/>
              </w:tabs>
              <w:suppressAutoHyphens/>
              <w:ind w:left="2412" w:hanging="2412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8875D1" w:rsidRPr="004E5F01" w:rsidRDefault="008875D1" w:rsidP="00FF3080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Reading and Grading Tube Hemagglutination</w:t>
            </w:r>
          </w:p>
        </w:tc>
      </w:tr>
      <w:tr w:rsidR="008875D1" w:rsidRPr="004E5F01" w:rsidTr="00816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5D1" w:rsidRPr="00AA62EB" w:rsidRDefault="008875D1" w:rsidP="004E5F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D1" w:rsidRPr="004E5F01" w:rsidRDefault="008875D1" w:rsidP="0041786B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</w:t>
            </w:r>
            <w:r w:rsidRPr="004E5F01">
              <w:rPr>
                <w:rFonts w:ascii="Arial" w:hAnsi="Arial" w:cs="Arial"/>
                <w:sz w:val="22"/>
                <w:szCs w:val="22"/>
              </w:rPr>
              <w:t xml:space="preserve"> the reactions of the IgG-coated RBCs as follows:</w:t>
            </w:r>
          </w:p>
        </w:tc>
      </w:tr>
      <w:tr w:rsidR="008875D1" w:rsidRPr="004E5F01" w:rsidTr="00816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/>
        </w:trPr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bCs/>
                <w:sz w:val="22"/>
                <w:szCs w:val="22"/>
              </w:rPr>
              <w:t>If agglutination is…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bCs/>
                <w:sz w:val="22"/>
                <w:szCs w:val="22"/>
              </w:rPr>
              <w:t>Then…</w:t>
            </w:r>
          </w:p>
        </w:tc>
      </w:tr>
      <w:tr w:rsidR="008875D1" w:rsidRPr="004E5F01" w:rsidTr="00816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/>
        </w:trPr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E5F01">
              <w:rPr>
                <w:rFonts w:ascii="Arial" w:hAnsi="Arial" w:cs="Arial"/>
                <w:sz w:val="22"/>
                <w:szCs w:val="22"/>
              </w:rPr>
              <w:t>resent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E5F01">
              <w:rPr>
                <w:rFonts w:ascii="Arial" w:hAnsi="Arial" w:cs="Arial"/>
                <w:sz w:val="22"/>
                <w:szCs w:val="22"/>
              </w:rPr>
              <w:t>est is complete.</w:t>
            </w:r>
          </w:p>
        </w:tc>
      </w:tr>
      <w:tr w:rsidR="008875D1" w:rsidRPr="004E5F01" w:rsidTr="00816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/>
        </w:trPr>
        <w:tc>
          <w:tcPr>
            <w:tcW w:w="8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E5F01">
              <w:rPr>
                <w:rFonts w:ascii="Arial" w:hAnsi="Arial" w:cs="Arial"/>
                <w:sz w:val="22"/>
                <w:szCs w:val="22"/>
              </w:rPr>
              <w:t>bsent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pStyle w:val="BulletText2"/>
              <w:numPr>
                <w:ilvl w:val="0"/>
                <w:numId w:val="31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E5F01">
              <w:rPr>
                <w:rFonts w:ascii="Arial" w:hAnsi="Arial" w:cs="Arial"/>
                <w:sz w:val="22"/>
                <w:szCs w:val="22"/>
              </w:rPr>
              <w:t>est is invalid:</w:t>
            </w:r>
          </w:p>
          <w:p w:rsidR="008875D1" w:rsidRPr="004E5F01" w:rsidRDefault="008875D1" w:rsidP="004E5F01">
            <w:pPr>
              <w:pStyle w:val="BulletText1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 Steps 3, 5-14.</w:t>
            </w:r>
          </w:p>
          <w:p w:rsidR="008875D1" w:rsidRDefault="008875D1" w:rsidP="004E5F01">
            <w:pPr>
              <w:pStyle w:val="BulletText1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sz w:val="22"/>
                <w:szCs w:val="22"/>
              </w:rPr>
              <w:t>Consider cell washer problem or inactive AHG.</w:t>
            </w:r>
          </w:p>
          <w:p w:rsidR="008875D1" w:rsidRPr="004E5F01" w:rsidRDefault="008875D1" w:rsidP="0056556F">
            <w:pPr>
              <w:pStyle w:val="BulletText1"/>
              <w:numPr>
                <w:ilvl w:val="0"/>
                <w:numId w:val="0"/>
              </w:numPr>
              <w:suppressAutoHyphens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04CB" w:rsidRPr="007904CB" w:rsidRDefault="007904CB" w:rsidP="007904CB">
      <w:pPr>
        <w:rPr>
          <w:vanish/>
        </w:rPr>
      </w:pPr>
    </w:p>
    <w:tbl>
      <w:tblPr>
        <w:tblpPr w:leftFromText="180" w:rightFromText="180" w:vertAnchor="text" w:tblpX="-245" w:tblpY="1"/>
        <w:tblOverlap w:val="never"/>
        <w:tblW w:w="100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0"/>
        <w:gridCol w:w="6475"/>
        <w:gridCol w:w="2955"/>
      </w:tblGrid>
      <w:tr w:rsidR="00AE64F8" w:rsidRPr="004E5F01" w:rsidTr="00FF3080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660" w:type="dxa"/>
            <w:tcMar>
              <w:left w:w="115" w:type="dxa"/>
              <w:right w:w="115" w:type="dxa"/>
            </w:tcMar>
          </w:tcPr>
          <w:p w:rsidR="00AE64F8" w:rsidRPr="004E5F01" w:rsidRDefault="000C04E2" w:rsidP="00AA62EB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1</w:t>
            </w:r>
            <w:r w:rsidR="00D061AC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6475" w:type="dxa"/>
            <w:tcMar>
              <w:left w:w="115" w:type="dxa"/>
              <w:right w:w="115" w:type="dxa"/>
            </w:tcMar>
          </w:tcPr>
          <w:p w:rsidR="00AE64F8" w:rsidRPr="004E5F01" w:rsidRDefault="00AE64F8" w:rsidP="00AA62EB">
            <w:pPr>
              <w:pStyle w:val="Header"/>
              <w:numPr>
                <w:ilvl w:val="0"/>
                <w:numId w:val="28"/>
              </w:num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Check that the record is complete:</w:t>
            </w:r>
          </w:p>
          <w:p w:rsidR="00AE64F8" w:rsidRPr="004E5F01" w:rsidRDefault="004E5F01" w:rsidP="00AA62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</w:t>
            </w:r>
            <w:r w:rsidR="00AE64F8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ate and time of completion,</w:t>
            </w:r>
          </w:p>
          <w:p w:rsidR="00AE64F8" w:rsidRPr="004E5F01" w:rsidRDefault="004E5F01" w:rsidP="00AA62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</w:t>
            </w:r>
            <w:r w:rsidR="00AE64F8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echnologist identification, and</w:t>
            </w:r>
          </w:p>
          <w:p w:rsidR="00AE64F8" w:rsidRPr="000C04E2" w:rsidRDefault="004E5F01" w:rsidP="00AA62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</w:t>
            </w:r>
            <w:r w:rsidR="00AE64F8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inal clerical check</w:t>
            </w:r>
          </w:p>
          <w:p w:rsidR="000C04E2" w:rsidRPr="004E5F01" w:rsidRDefault="000C04E2" w:rsidP="000C04E2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AE64F8" w:rsidRPr="004E5F01" w:rsidRDefault="00AE64F8" w:rsidP="00AA62EB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4E2" w:rsidRPr="004E5F01" w:rsidTr="00AA62EB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660" w:type="dxa"/>
            <w:tcMar>
              <w:left w:w="115" w:type="dxa"/>
              <w:right w:w="115" w:type="dxa"/>
            </w:tcMar>
          </w:tcPr>
          <w:p w:rsidR="000C04E2" w:rsidRPr="004E5F01" w:rsidRDefault="0056556F" w:rsidP="00AA62EB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1</w:t>
            </w:r>
            <w:r w:rsidR="00D061AC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6475" w:type="dxa"/>
            <w:tcMar>
              <w:left w:w="115" w:type="dxa"/>
              <w:right w:w="115" w:type="dxa"/>
            </w:tcMar>
          </w:tcPr>
          <w:p w:rsidR="000C04E2" w:rsidRDefault="0056556F" w:rsidP="00AA62EB">
            <w:pPr>
              <w:pStyle w:val="Header"/>
              <w:numPr>
                <w:ilvl w:val="0"/>
                <w:numId w:val="2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Proceed to rule out and antibody identification.</w:t>
            </w:r>
          </w:p>
          <w:p w:rsidR="0056556F" w:rsidRDefault="0056556F" w:rsidP="0056556F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56556F" w:rsidRPr="004E5F01" w:rsidRDefault="0056556F" w:rsidP="00E6664F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0C04E2" w:rsidRPr="00FF3080" w:rsidRDefault="00FF3080" w:rsidP="00FF3080">
            <w:pPr>
              <w:pStyle w:val="Heading9"/>
              <w:numPr>
                <w:ilvl w:val="0"/>
                <w:numId w:val="28"/>
              </w:numPr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F3080">
              <w:rPr>
                <w:rFonts w:ascii="Arial" w:hAnsi="Arial" w:cs="Arial"/>
                <w:b w:val="0"/>
                <w:sz w:val="22"/>
                <w:szCs w:val="22"/>
              </w:rPr>
              <w:t>Guidelines for Antibody Identification</w:t>
            </w:r>
          </w:p>
        </w:tc>
      </w:tr>
    </w:tbl>
    <w:p w:rsidR="00BD3BF7" w:rsidRDefault="00BD3BF7" w:rsidP="004E5F0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noProof/>
          <w:kern w:val="0"/>
          <w:sz w:val="20"/>
        </w:rPr>
      </w:pPr>
    </w:p>
    <w:p w:rsidR="00740D13" w:rsidRDefault="00740D13" w:rsidP="004E5F01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0"/>
          <w:sz w:val="22"/>
          <w:szCs w:val="22"/>
          <w:lang w:val="en-GB"/>
        </w:rPr>
      </w:pPr>
    </w:p>
    <w:p w:rsidR="00667931" w:rsidRPr="004E5F01" w:rsidRDefault="004E7407" w:rsidP="004E5F01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0"/>
          <w:sz w:val="22"/>
          <w:szCs w:val="22"/>
          <w:lang w:val="en-GB"/>
        </w:rPr>
      </w:pPr>
      <w:r w:rsidRPr="004E5F01">
        <w:rPr>
          <w:rFonts w:ascii="Arial" w:hAnsi="Arial" w:cs="Arial"/>
          <w:spacing w:val="-3"/>
          <w:kern w:val="0"/>
          <w:sz w:val="22"/>
          <w:szCs w:val="22"/>
          <w:lang w:val="en-GB"/>
        </w:rPr>
        <w:t>Reference</w:t>
      </w:r>
      <w:r w:rsidR="00740D13">
        <w:rPr>
          <w:rFonts w:ascii="Arial" w:hAnsi="Arial" w:cs="Arial"/>
          <w:spacing w:val="-3"/>
          <w:kern w:val="0"/>
          <w:sz w:val="22"/>
          <w:szCs w:val="22"/>
          <w:lang w:val="en-GB"/>
        </w:rPr>
        <w:t>s</w:t>
      </w:r>
      <w:r w:rsidR="00667931" w:rsidRPr="004E5F01">
        <w:rPr>
          <w:rFonts w:ascii="Arial" w:hAnsi="Arial" w:cs="Arial"/>
          <w:spacing w:val="-3"/>
          <w:kern w:val="0"/>
          <w:sz w:val="22"/>
          <w:szCs w:val="22"/>
          <w:lang w:val="en-GB"/>
        </w:rPr>
        <w:t>:</w:t>
      </w:r>
    </w:p>
    <w:p w:rsidR="00B66313" w:rsidRDefault="00DD711B" w:rsidP="004E5F01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b w:val="0"/>
          <w:kern w:val="0"/>
          <w:sz w:val="22"/>
          <w:szCs w:val="22"/>
          <w:lang w:val="en-GB"/>
        </w:rPr>
      </w:pPr>
      <w:proofErr w:type="gramStart"/>
      <w:r>
        <w:rPr>
          <w:rFonts w:ascii="Arial" w:hAnsi="Arial" w:cs="Arial"/>
          <w:b w:val="0"/>
          <w:kern w:val="0"/>
          <w:sz w:val="22"/>
          <w:szCs w:val="22"/>
          <w:lang w:val="en-GB"/>
        </w:rPr>
        <w:t>Current version of M</w:t>
      </w:r>
      <w:r w:rsidR="00667931" w:rsidRPr="004E5F01">
        <w:rPr>
          <w:rFonts w:ascii="Arial" w:hAnsi="Arial" w:cs="Arial"/>
          <w:b w:val="0"/>
          <w:kern w:val="0"/>
          <w:sz w:val="22"/>
          <w:szCs w:val="22"/>
          <w:lang w:val="en-GB"/>
        </w:rPr>
        <w:t>anufacturer’s</w:t>
      </w:r>
      <w:r w:rsidR="007D46C6" w:rsidRPr="004E5F01">
        <w:rPr>
          <w:rFonts w:ascii="Arial" w:hAnsi="Arial" w:cs="Arial"/>
          <w:b w:val="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b w:val="0"/>
          <w:kern w:val="0"/>
          <w:sz w:val="22"/>
          <w:szCs w:val="22"/>
          <w:lang w:val="en-GB"/>
        </w:rPr>
        <w:t>Package I</w:t>
      </w:r>
      <w:r w:rsidR="007D46C6" w:rsidRPr="004E5F01">
        <w:rPr>
          <w:rFonts w:ascii="Arial" w:hAnsi="Arial" w:cs="Arial"/>
          <w:b w:val="0"/>
          <w:kern w:val="0"/>
          <w:sz w:val="22"/>
          <w:szCs w:val="22"/>
          <w:lang w:val="en-GB"/>
        </w:rPr>
        <w:t>nsert</w:t>
      </w:r>
      <w:r w:rsidR="00667931" w:rsidRPr="004E5F01">
        <w:rPr>
          <w:rFonts w:ascii="Arial" w:hAnsi="Arial" w:cs="Arial"/>
          <w:b w:val="0"/>
          <w:kern w:val="0"/>
          <w:sz w:val="22"/>
          <w:szCs w:val="22"/>
          <w:lang w:val="en-GB"/>
        </w:rPr>
        <w:t xml:space="preserve"> instructions.</w:t>
      </w:r>
      <w:proofErr w:type="gramEnd"/>
    </w:p>
    <w:p w:rsidR="00843B0D" w:rsidRPr="004E5F01" w:rsidRDefault="00843B0D" w:rsidP="004E5F01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</w:pPr>
      <w:r>
        <w:rPr>
          <w:rFonts w:ascii="Arial" w:hAnsi="Arial" w:cs="Arial"/>
          <w:b w:val="0"/>
          <w:kern w:val="0"/>
          <w:sz w:val="22"/>
          <w:szCs w:val="22"/>
          <w:lang w:val="en-GB"/>
        </w:rPr>
        <w:t>AABB Technical Manual, Current Edition</w:t>
      </w:r>
    </w:p>
    <w:sectPr w:rsidR="00843B0D" w:rsidRPr="004E5F01" w:rsidSect="00BB76AC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1440" w:left="1440" w:header="1152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DA" w:rsidRDefault="00265ADA" w:rsidP="00B66313">
      <w:pPr>
        <w:pStyle w:val="Header"/>
      </w:pPr>
      <w:r>
        <w:separator/>
      </w:r>
    </w:p>
  </w:endnote>
  <w:endnote w:type="continuationSeparator" w:id="0">
    <w:p w:rsidR="00265ADA" w:rsidRDefault="00265ADA" w:rsidP="00B6631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EB" w:rsidRPr="00134892" w:rsidRDefault="00AA62EB" w:rsidP="0013489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134892">
      <w:rPr>
        <w:rFonts w:ascii="Arial" w:hAnsi="Arial" w:cs="Arial"/>
        <w:sz w:val="20"/>
        <w:szCs w:val="20"/>
      </w:rPr>
      <w:t>Facility name and location</w:t>
    </w:r>
    <w:r w:rsidRPr="00134892"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t>6</w:t>
    </w:r>
    <w:r w:rsidRPr="00134892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EB" w:rsidRDefault="00AA62EB" w:rsidP="004E5F0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305A81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305A81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AA62EB" w:rsidRPr="0068274D" w:rsidRDefault="00AA62EB" w:rsidP="004E5F01">
    <w:pPr>
      <w:pStyle w:val="Footer"/>
      <w:rPr>
        <w:szCs w:val="20"/>
      </w:rPr>
    </w:pPr>
    <w:r>
      <w:rPr>
        <w:rFonts w:ascii="Arial" w:hAnsi="Arial" w:cs="Arial"/>
        <w:sz w:val="20"/>
        <w:szCs w:val="20"/>
      </w:rPr>
      <w:t>Harborview Medical Center, 325 Ninth Ave, Seattle, WA 98104</w:t>
    </w:r>
  </w:p>
  <w:p w:rsidR="00AA62EB" w:rsidRPr="008141D8" w:rsidRDefault="00AA62EB" w:rsidP="004E5F01">
    <w:pPr>
      <w:pStyle w:val="Footer"/>
      <w:tabs>
        <w:tab w:val="clear" w:pos="4320"/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DA" w:rsidRDefault="00265ADA" w:rsidP="00B66313">
      <w:pPr>
        <w:pStyle w:val="Header"/>
      </w:pPr>
      <w:r>
        <w:separator/>
      </w:r>
    </w:p>
  </w:footnote>
  <w:footnote w:type="continuationSeparator" w:id="0">
    <w:p w:rsidR="00265ADA" w:rsidRDefault="00265ADA" w:rsidP="00B6631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EB" w:rsidRPr="008875D1" w:rsidRDefault="00305A81">
    <w:pPr>
      <w:pStyle w:val="Header"/>
      <w:rPr>
        <w:b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Antibody </w:t>
    </w:r>
    <w:r w:rsidR="00DA69C9" w:rsidRPr="008875D1">
      <w:rPr>
        <w:rFonts w:ascii="Arial" w:hAnsi="Arial" w:cs="Arial"/>
        <w:b/>
        <w:bCs/>
        <w:sz w:val="22"/>
        <w:szCs w:val="22"/>
      </w:rPr>
      <w:t xml:space="preserve">Panel </w:t>
    </w:r>
    <w:r>
      <w:rPr>
        <w:rFonts w:ascii="Arial" w:hAnsi="Arial" w:cs="Arial"/>
        <w:b/>
        <w:bCs/>
        <w:sz w:val="22"/>
        <w:szCs w:val="22"/>
      </w:rPr>
      <w:t xml:space="preserve">Using Enzyme-Treated Cells </w:t>
    </w:r>
  </w:p>
  <w:p w:rsidR="00FF3080" w:rsidRDefault="008875D1" w:rsidP="008875D1">
    <w:pPr>
      <w:tabs>
        <w:tab w:val="left" w:pos="52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EB" w:rsidRDefault="00183E52" w:rsidP="004E5F01">
    <w:pPr>
      <w:pStyle w:val="Header"/>
      <w:ind w:left="-36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4" name="Picture 4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535"/>
      <w:gridCol w:w="2747"/>
      <w:gridCol w:w="1798"/>
    </w:tblGrid>
    <w:tr w:rsidR="00AA62EB" w:rsidRPr="00574A2A" w:rsidTr="004E5F01">
      <w:tblPrEx>
        <w:tblCellMar>
          <w:top w:w="0" w:type="dxa"/>
          <w:bottom w:w="0" w:type="dxa"/>
        </w:tblCellMar>
      </w:tblPrEx>
      <w:trPr>
        <w:cantSplit/>
        <w:trHeight w:val="480"/>
      </w:trPr>
      <w:tc>
        <w:tcPr>
          <w:tcW w:w="553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325 9</w:t>
          </w:r>
          <w:r w:rsidRPr="00574A2A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574A2A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AA62EB" w:rsidRPr="00160391" w:rsidRDefault="008875D1" w:rsidP="004E5F01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9/15/13</w:t>
          </w:r>
        </w:p>
      </w:tc>
      <w:tc>
        <w:tcPr>
          <w:tcW w:w="1798" w:type="dxa"/>
          <w:tcBorders>
            <w:top w:val="double" w:sz="4" w:space="0" w:color="auto"/>
            <w:left w:val="nil"/>
            <w:bottom w:val="nil"/>
          </w:tcBorders>
        </w:tcPr>
        <w:p w:rsidR="00AA62EB" w:rsidRPr="00574A2A" w:rsidRDefault="00AA62EB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AA62EB" w:rsidRPr="00574A2A" w:rsidRDefault="008875D1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5418-1</w:t>
          </w:r>
        </w:p>
      </w:tc>
    </w:tr>
    <w:tr w:rsidR="00AA62EB" w:rsidRPr="00574A2A" w:rsidTr="004E5F01">
      <w:tblPrEx>
        <w:tblCellMar>
          <w:top w:w="0" w:type="dxa"/>
          <w:bottom w:w="0" w:type="dxa"/>
        </w:tblCellMar>
      </w:tblPrEx>
      <w:trPr>
        <w:cantSplit/>
        <w:trHeight w:val="132"/>
      </w:trPr>
      <w:tc>
        <w:tcPr>
          <w:tcW w:w="553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A62EB" w:rsidRPr="00574A2A" w:rsidRDefault="00AA62EB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AA62EB" w:rsidRPr="00574A2A" w:rsidRDefault="00AA62EB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79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AA62EB" w:rsidRPr="009D0223" w:rsidRDefault="00AA62EB" w:rsidP="00E30AD8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CC3E38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AA62EB" w:rsidRPr="00574A2A" w:rsidTr="004E5F01">
      <w:tblPrEx>
        <w:tblCellMar>
          <w:top w:w="0" w:type="dxa"/>
          <w:bottom w:w="0" w:type="dxa"/>
        </w:tblCellMar>
      </w:tblPrEx>
      <w:trPr>
        <w:cantSplit/>
        <w:trHeight w:val="590"/>
      </w:trPr>
      <w:tc>
        <w:tcPr>
          <w:tcW w:w="10080" w:type="dxa"/>
          <w:gridSpan w:val="3"/>
          <w:tcBorders>
            <w:top w:val="nil"/>
          </w:tcBorders>
          <w:vAlign w:val="center"/>
        </w:tcPr>
        <w:p w:rsidR="00AA62EB" w:rsidRPr="009D0223" w:rsidRDefault="00AA62EB" w:rsidP="00474C7B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9D0223">
            <w:rPr>
              <w:rFonts w:ascii="Arial" w:hAnsi="Arial" w:cs="Arial"/>
              <w:b/>
              <w:sz w:val="28"/>
              <w:szCs w:val="28"/>
            </w:rPr>
            <w:t xml:space="preserve">TITLE:  </w:t>
          </w:r>
          <w:r w:rsidR="008F6EB9">
            <w:rPr>
              <w:rFonts w:ascii="Arial" w:hAnsi="Arial" w:cs="Arial"/>
              <w:sz w:val="28"/>
              <w:szCs w:val="28"/>
            </w:rPr>
            <w:t>Antibody Panel by Tube IAT Method Using En</w:t>
          </w:r>
          <w:r w:rsidR="005F6C5A">
            <w:rPr>
              <w:rFonts w:ascii="Arial" w:hAnsi="Arial" w:cs="Arial"/>
              <w:sz w:val="28"/>
              <w:szCs w:val="28"/>
            </w:rPr>
            <w:t xml:space="preserve">zyme </w:t>
          </w:r>
          <w:r w:rsidR="008F6EB9">
            <w:rPr>
              <w:rFonts w:ascii="Arial" w:hAnsi="Arial" w:cs="Arial"/>
              <w:sz w:val="28"/>
              <w:szCs w:val="28"/>
            </w:rPr>
            <w:t>Treated Cells</w:t>
          </w:r>
          <w:r>
            <w:rPr>
              <w:rFonts w:ascii="Arial" w:hAnsi="Arial" w:cs="Arial"/>
              <w:sz w:val="28"/>
              <w:szCs w:val="28"/>
            </w:rPr>
            <w:t xml:space="preserve">                 </w:t>
          </w:r>
          <w:r w:rsidR="00474C7B">
            <w:rPr>
              <w:rFonts w:ascii="Arial" w:hAnsi="Arial" w:cs="Arial"/>
              <w:sz w:val="28"/>
              <w:szCs w:val="28"/>
            </w:rPr>
            <w:t xml:space="preserve">             </w:t>
          </w:r>
        </w:p>
      </w:tc>
    </w:tr>
  </w:tbl>
  <w:p w:rsidR="00AA62EB" w:rsidRDefault="00AA62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132"/>
    <w:multiLevelType w:val="hybridMultilevel"/>
    <w:tmpl w:val="2C24B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81066"/>
    <w:multiLevelType w:val="hybridMultilevel"/>
    <w:tmpl w:val="7E8EA3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D9782A"/>
    <w:multiLevelType w:val="hybridMultilevel"/>
    <w:tmpl w:val="2ED28B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DD22CB"/>
    <w:multiLevelType w:val="hybridMultilevel"/>
    <w:tmpl w:val="0D9088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B3298C"/>
    <w:multiLevelType w:val="hybridMultilevel"/>
    <w:tmpl w:val="446E8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36C87"/>
    <w:multiLevelType w:val="hybridMultilevel"/>
    <w:tmpl w:val="8A0ECB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C8356F"/>
    <w:multiLevelType w:val="hybridMultilevel"/>
    <w:tmpl w:val="2678194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0D02894"/>
    <w:multiLevelType w:val="hybridMultilevel"/>
    <w:tmpl w:val="02AA85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364980"/>
    <w:multiLevelType w:val="multilevel"/>
    <w:tmpl w:val="C58A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35E5D"/>
    <w:multiLevelType w:val="hybridMultilevel"/>
    <w:tmpl w:val="D99836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9045D9"/>
    <w:multiLevelType w:val="hybridMultilevel"/>
    <w:tmpl w:val="0C36D66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6CF2D24"/>
    <w:multiLevelType w:val="hybridMultilevel"/>
    <w:tmpl w:val="E08E56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BB7F84"/>
    <w:multiLevelType w:val="multilevel"/>
    <w:tmpl w:val="8A0EC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0B002B"/>
    <w:multiLevelType w:val="hybridMultilevel"/>
    <w:tmpl w:val="01B26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A8929AB"/>
    <w:multiLevelType w:val="hybridMultilevel"/>
    <w:tmpl w:val="77D22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BD3136"/>
    <w:multiLevelType w:val="hybridMultilevel"/>
    <w:tmpl w:val="4726D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1AD257B"/>
    <w:multiLevelType w:val="hybridMultilevel"/>
    <w:tmpl w:val="EBB085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4B73BCF"/>
    <w:multiLevelType w:val="hybridMultilevel"/>
    <w:tmpl w:val="533823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4E4C59"/>
    <w:multiLevelType w:val="hybridMultilevel"/>
    <w:tmpl w:val="8FCE61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F017614"/>
    <w:multiLevelType w:val="hybridMultilevel"/>
    <w:tmpl w:val="66EE11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6B1EA2"/>
    <w:multiLevelType w:val="hybridMultilevel"/>
    <w:tmpl w:val="ED569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B0A1FBE"/>
    <w:multiLevelType w:val="multilevel"/>
    <w:tmpl w:val="634E2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C7B0DF8"/>
    <w:multiLevelType w:val="hybridMultilevel"/>
    <w:tmpl w:val="25C42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DA3818"/>
    <w:multiLevelType w:val="hybridMultilevel"/>
    <w:tmpl w:val="52A88C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DF3644"/>
    <w:multiLevelType w:val="hybridMultilevel"/>
    <w:tmpl w:val="2BB4F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246208"/>
    <w:multiLevelType w:val="hybridMultilevel"/>
    <w:tmpl w:val="D0B086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6A97F6C"/>
    <w:multiLevelType w:val="hybridMultilevel"/>
    <w:tmpl w:val="526C5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E729D2"/>
    <w:multiLevelType w:val="hybridMultilevel"/>
    <w:tmpl w:val="A58A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783CC8"/>
    <w:multiLevelType w:val="multilevel"/>
    <w:tmpl w:val="01B26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32D282E"/>
    <w:multiLevelType w:val="hybridMultilevel"/>
    <w:tmpl w:val="40046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54741BA"/>
    <w:multiLevelType w:val="hybridMultilevel"/>
    <w:tmpl w:val="94B42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D04235A"/>
    <w:multiLevelType w:val="hybridMultilevel"/>
    <w:tmpl w:val="F12236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84C034E"/>
    <w:multiLevelType w:val="hybridMultilevel"/>
    <w:tmpl w:val="D32CE41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C497444"/>
    <w:multiLevelType w:val="hybridMultilevel"/>
    <w:tmpl w:val="90C2C7D0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D6C1C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CE42C3D"/>
    <w:multiLevelType w:val="hybridMultilevel"/>
    <w:tmpl w:val="CF382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F061132"/>
    <w:multiLevelType w:val="hybridMultilevel"/>
    <w:tmpl w:val="9E68AC9C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C16C5C"/>
    <w:multiLevelType w:val="hybridMultilevel"/>
    <w:tmpl w:val="A2DA15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192B84"/>
    <w:multiLevelType w:val="hybridMultilevel"/>
    <w:tmpl w:val="57781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4AB054A"/>
    <w:multiLevelType w:val="hybridMultilevel"/>
    <w:tmpl w:val="ED28CC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2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A985D0E"/>
    <w:multiLevelType w:val="multilevel"/>
    <w:tmpl w:val="9E68AC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10"/>
  </w:num>
  <w:num w:numId="5">
    <w:abstractNumId w:val="34"/>
  </w:num>
  <w:num w:numId="6">
    <w:abstractNumId w:val="0"/>
  </w:num>
  <w:num w:numId="7">
    <w:abstractNumId w:val="36"/>
  </w:num>
  <w:num w:numId="8">
    <w:abstractNumId w:val="19"/>
  </w:num>
  <w:num w:numId="9">
    <w:abstractNumId w:val="32"/>
  </w:num>
  <w:num w:numId="10">
    <w:abstractNumId w:val="30"/>
  </w:num>
  <w:num w:numId="11">
    <w:abstractNumId w:val="15"/>
  </w:num>
  <w:num w:numId="12">
    <w:abstractNumId w:val="2"/>
  </w:num>
  <w:num w:numId="13">
    <w:abstractNumId w:val="23"/>
  </w:num>
  <w:num w:numId="14">
    <w:abstractNumId w:val="25"/>
  </w:num>
  <w:num w:numId="15">
    <w:abstractNumId w:val="14"/>
  </w:num>
  <w:num w:numId="16">
    <w:abstractNumId w:val="42"/>
  </w:num>
  <w:num w:numId="17">
    <w:abstractNumId w:val="41"/>
  </w:num>
  <w:num w:numId="18">
    <w:abstractNumId w:val="39"/>
  </w:num>
  <w:num w:numId="19">
    <w:abstractNumId w:val="8"/>
  </w:num>
  <w:num w:numId="20">
    <w:abstractNumId w:val="5"/>
  </w:num>
  <w:num w:numId="21">
    <w:abstractNumId w:val="17"/>
  </w:num>
  <w:num w:numId="22">
    <w:abstractNumId w:val="12"/>
  </w:num>
  <w:num w:numId="23">
    <w:abstractNumId w:val="21"/>
  </w:num>
  <w:num w:numId="24">
    <w:abstractNumId w:val="6"/>
  </w:num>
  <w:num w:numId="25">
    <w:abstractNumId w:val="33"/>
  </w:num>
  <w:num w:numId="26">
    <w:abstractNumId w:val="35"/>
  </w:num>
  <w:num w:numId="27">
    <w:abstractNumId w:val="11"/>
  </w:num>
  <w:num w:numId="28">
    <w:abstractNumId w:val="16"/>
  </w:num>
  <w:num w:numId="29">
    <w:abstractNumId w:val="9"/>
  </w:num>
  <w:num w:numId="30">
    <w:abstractNumId w:val="13"/>
  </w:num>
  <w:num w:numId="31">
    <w:abstractNumId w:val="37"/>
  </w:num>
  <w:num w:numId="32">
    <w:abstractNumId w:val="43"/>
  </w:num>
  <w:num w:numId="33">
    <w:abstractNumId w:val="20"/>
  </w:num>
  <w:num w:numId="34">
    <w:abstractNumId w:val="29"/>
  </w:num>
  <w:num w:numId="35">
    <w:abstractNumId w:val="3"/>
  </w:num>
  <w:num w:numId="36">
    <w:abstractNumId w:val="7"/>
  </w:num>
  <w:num w:numId="37">
    <w:abstractNumId w:val="40"/>
  </w:num>
  <w:num w:numId="38">
    <w:abstractNumId w:val="1"/>
  </w:num>
  <w:num w:numId="39">
    <w:abstractNumId w:val="31"/>
  </w:num>
  <w:num w:numId="40">
    <w:abstractNumId w:val="22"/>
  </w:num>
  <w:num w:numId="41">
    <w:abstractNumId w:val="38"/>
  </w:num>
  <w:num w:numId="42">
    <w:abstractNumId w:val="28"/>
  </w:num>
  <w:num w:numId="43">
    <w:abstractNumId w:val="4"/>
  </w:num>
  <w:num w:numId="44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5D"/>
    <w:rsid w:val="00001FF0"/>
    <w:rsid w:val="0001062C"/>
    <w:rsid w:val="00047D81"/>
    <w:rsid w:val="000678D0"/>
    <w:rsid w:val="00076835"/>
    <w:rsid w:val="00087142"/>
    <w:rsid w:val="000A29EA"/>
    <w:rsid w:val="000C04E2"/>
    <w:rsid w:val="000C13A5"/>
    <w:rsid w:val="000D3DFE"/>
    <w:rsid w:val="000E2AD8"/>
    <w:rsid w:val="000E58CE"/>
    <w:rsid w:val="00102919"/>
    <w:rsid w:val="00106CD6"/>
    <w:rsid w:val="00114C0B"/>
    <w:rsid w:val="00117132"/>
    <w:rsid w:val="00120924"/>
    <w:rsid w:val="0012705B"/>
    <w:rsid w:val="0012762D"/>
    <w:rsid w:val="0012772D"/>
    <w:rsid w:val="00134892"/>
    <w:rsid w:val="00145228"/>
    <w:rsid w:val="001554C4"/>
    <w:rsid w:val="001667D1"/>
    <w:rsid w:val="00183E52"/>
    <w:rsid w:val="001B59F4"/>
    <w:rsid w:val="001C112C"/>
    <w:rsid w:val="001E5540"/>
    <w:rsid w:val="001F4E42"/>
    <w:rsid w:val="00206590"/>
    <w:rsid w:val="002321CE"/>
    <w:rsid w:val="00244613"/>
    <w:rsid w:val="00250442"/>
    <w:rsid w:val="002610E4"/>
    <w:rsid w:val="00265ADA"/>
    <w:rsid w:val="00272B7D"/>
    <w:rsid w:val="00276FBA"/>
    <w:rsid w:val="00282987"/>
    <w:rsid w:val="002831D1"/>
    <w:rsid w:val="00293C40"/>
    <w:rsid w:val="002972D0"/>
    <w:rsid w:val="002A0739"/>
    <w:rsid w:val="002A25B1"/>
    <w:rsid w:val="002D1D67"/>
    <w:rsid w:val="002D567F"/>
    <w:rsid w:val="00305A81"/>
    <w:rsid w:val="00306AAB"/>
    <w:rsid w:val="003450DC"/>
    <w:rsid w:val="0034517A"/>
    <w:rsid w:val="0034598C"/>
    <w:rsid w:val="00347747"/>
    <w:rsid w:val="00353C30"/>
    <w:rsid w:val="0035702A"/>
    <w:rsid w:val="00363F83"/>
    <w:rsid w:val="00373A2D"/>
    <w:rsid w:val="00387F3C"/>
    <w:rsid w:val="00392353"/>
    <w:rsid w:val="003A3DB0"/>
    <w:rsid w:val="003E001F"/>
    <w:rsid w:val="003E0E63"/>
    <w:rsid w:val="0041099D"/>
    <w:rsid w:val="00411C50"/>
    <w:rsid w:val="0041786B"/>
    <w:rsid w:val="004202EC"/>
    <w:rsid w:val="00430D90"/>
    <w:rsid w:val="00454712"/>
    <w:rsid w:val="00460347"/>
    <w:rsid w:val="00462C41"/>
    <w:rsid w:val="00463FA4"/>
    <w:rsid w:val="00471C00"/>
    <w:rsid w:val="00474C7B"/>
    <w:rsid w:val="004844DE"/>
    <w:rsid w:val="0048472C"/>
    <w:rsid w:val="004A46CF"/>
    <w:rsid w:val="004A55EF"/>
    <w:rsid w:val="004C1F87"/>
    <w:rsid w:val="004C6377"/>
    <w:rsid w:val="004E5F01"/>
    <w:rsid w:val="004E7407"/>
    <w:rsid w:val="004F4701"/>
    <w:rsid w:val="00505CCC"/>
    <w:rsid w:val="0051463F"/>
    <w:rsid w:val="0052452F"/>
    <w:rsid w:val="00531E62"/>
    <w:rsid w:val="00532447"/>
    <w:rsid w:val="00552C04"/>
    <w:rsid w:val="0056556F"/>
    <w:rsid w:val="00577117"/>
    <w:rsid w:val="00582CB2"/>
    <w:rsid w:val="00587060"/>
    <w:rsid w:val="005948DF"/>
    <w:rsid w:val="005A297B"/>
    <w:rsid w:val="005C0C96"/>
    <w:rsid w:val="005D001C"/>
    <w:rsid w:val="005E7A7B"/>
    <w:rsid w:val="005F51FA"/>
    <w:rsid w:val="005F6C5A"/>
    <w:rsid w:val="006030E2"/>
    <w:rsid w:val="006048B6"/>
    <w:rsid w:val="00612D60"/>
    <w:rsid w:val="00623D2E"/>
    <w:rsid w:val="00633270"/>
    <w:rsid w:val="006364F1"/>
    <w:rsid w:val="00667931"/>
    <w:rsid w:val="006B04AA"/>
    <w:rsid w:val="006B3E8B"/>
    <w:rsid w:val="006D3346"/>
    <w:rsid w:val="00700604"/>
    <w:rsid w:val="00714471"/>
    <w:rsid w:val="00740D13"/>
    <w:rsid w:val="007840AE"/>
    <w:rsid w:val="00787549"/>
    <w:rsid w:val="007904CB"/>
    <w:rsid w:val="00790759"/>
    <w:rsid w:val="007979C4"/>
    <w:rsid w:val="007A7303"/>
    <w:rsid w:val="007D46C6"/>
    <w:rsid w:val="007F23AB"/>
    <w:rsid w:val="008141D8"/>
    <w:rsid w:val="008163D7"/>
    <w:rsid w:val="008314FB"/>
    <w:rsid w:val="008336D8"/>
    <w:rsid w:val="00841F73"/>
    <w:rsid w:val="00843B0D"/>
    <w:rsid w:val="008869AD"/>
    <w:rsid w:val="008875D1"/>
    <w:rsid w:val="00895A82"/>
    <w:rsid w:val="008C660D"/>
    <w:rsid w:val="008D48DF"/>
    <w:rsid w:val="008D745D"/>
    <w:rsid w:val="008F6EB9"/>
    <w:rsid w:val="0090322A"/>
    <w:rsid w:val="00921363"/>
    <w:rsid w:val="009419FF"/>
    <w:rsid w:val="00966266"/>
    <w:rsid w:val="00977852"/>
    <w:rsid w:val="009A4302"/>
    <w:rsid w:val="009A7AD2"/>
    <w:rsid w:val="009B3C0E"/>
    <w:rsid w:val="009B52E6"/>
    <w:rsid w:val="009C2013"/>
    <w:rsid w:val="009E2CD2"/>
    <w:rsid w:val="00A119D5"/>
    <w:rsid w:val="00A22AFC"/>
    <w:rsid w:val="00A45BAF"/>
    <w:rsid w:val="00A45FF1"/>
    <w:rsid w:val="00A767B4"/>
    <w:rsid w:val="00AA1AAD"/>
    <w:rsid w:val="00AA1D92"/>
    <w:rsid w:val="00AA62EB"/>
    <w:rsid w:val="00AB2521"/>
    <w:rsid w:val="00AD22CE"/>
    <w:rsid w:val="00AE4218"/>
    <w:rsid w:val="00AE64F8"/>
    <w:rsid w:val="00AF6F7E"/>
    <w:rsid w:val="00B04063"/>
    <w:rsid w:val="00B32216"/>
    <w:rsid w:val="00B524FD"/>
    <w:rsid w:val="00B66313"/>
    <w:rsid w:val="00B67C2A"/>
    <w:rsid w:val="00B70A64"/>
    <w:rsid w:val="00B73634"/>
    <w:rsid w:val="00B74685"/>
    <w:rsid w:val="00B97888"/>
    <w:rsid w:val="00BA2353"/>
    <w:rsid w:val="00BB068F"/>
    <w:rsid w:val="00BB319A"/>
    <w:rsid w:val="00BB76AC"/>
    <w:rsid w:val="00BD2D5F"/>
    <w:rsid w:val="00BD3BF7"/>
    <w:rsid w:val="00BF1CC6"/>
    <w:rsid w:val="00BF55F2"/>
    <w:rsid w:val="00C01B6E"/>
    <w:rsid w:val="00C13881"/>
    <w:rsid w:val="00C3131E"/>
    <w:rsid w:val="00C40AAE"/>
    <w:rsid w:val="00C5756F"/>
    <w:rsid w:val="00C711C0"/>
    <w:rsid w:val="00C77CE4"/>
    <w:rsid w:val="00CA2E02"/>
    <w:rsid w:val="00CC3E38"/>
    <w:rsid w:val="00CC4CE3"/>
    <w:rsid w:val="00D043D9"/>
    <w:rsid w:val="00D061AC"/>
    <w:rsid w:val="00D31DA2"/>
    <w:rsid w:val="00D367B5"/>
    <w:rsid w:val="00D42E9D"/>
    <w:rsid w:val="00D811DC"/>
    <w:rsid w:val="00D82EA4"/>
    <w:rsid w:val="00D84647"/>
    <w:rsid w:val="00D84BF7"/>
    <w:rsid w:val="00D92C7B"/>
    <w:rsid w:val="00DA0A3F"/>
    <w:rsid w:val="00DA5444"/>
    <w:rsid w:val="00DA69C9"/>
    <w:rsid w:val="00DB2BF7"/>
    <w:rsid w:val="00DC162B"/>
    <w:rsid w:val="00DC541B"/>
    <w:rsid w:val="00DC7236"/>
    <w:rsid w:val="00DD711B"/>
    <w:rsid w:val="00DF5C64"/>
    <w:rsid w:val="00E10B49"/>
    <w:rsid w:val="00E20DCB"/>
    <w:rsid w:val="00E30AD8"/>
    <w:rsid w:val="00E34391"/>
    <w:rsid w:val="00E6664F"/>
    <w:rsid w:val="00EA57EE"/>
    <w:rsid w:val="00EA5DC2"/>
    <w:rsid w:val="00EB1C6D"/>
    <w:rsid w:val="00EB70D8"/>
    <w:rsid w:val="00EB7BFB"/>
    <w:rsid w:val="00ED7F8C"/>
    <w:rsid w:val="00F14906"/>
    <w:rsid w:val="00F6414C"/>
    <w:rsid w:val="00F70B88"/>
    <w:rsid w:val="00F75CD5"/>
    <w:rsid w:val="00FA54DD"/>
    <w:rsid w:val="00FB6AAA"/>
    <w:rsid w:val="00FB714B"/>
    <w:rsid w:val="00FC5894"/>
    <w:rsid w:val="00FF3080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5C0C96"/>
    <w:pPr>
      <w:numPr>
        <w:numId w:val="25"/>
      </w:numPr>
    </w:pPr>
    <w:rPr>
      <w:szCs w:val="20"/>
    </w:rPr>
  </w:style>
  <w:style w:type="paragraph" w:customStyle="1" w:styleId="BulletText2">
    <w:name w:val="Bullet Text 2"/>
    <w:basedOn w:val="BulletText1"/>
    <w:autoRedefine/>
    <w:rsid w:val="005C0C96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1">
    <w:name w:val="Header Char1"/>
    <w:link w:val="Header"/>
    <w:uiPriority w:val="99"/>
    <w:rsid w:val="00921363"/>
    <w:rPr>
      <w:rFonts w:ascii="Georgia" w:hAnsi="Georgia"/>
      <w:kern w:val="24"/>
      <w:sz w:val="24"/>
    </w:rPr>
  </w:style>
  <w:style w:type="character" w:customStyle="1" w:styleId="Heading9Char">
    <w:name w:val="Heading 9 Char"/>
    <w:link w:val="Heading9"/>
    <w:uiPriority w:val="99"/>
    <w:locked/>
    <w:rsid w:val="00AE64F8"/>
    <w:rPr>
      <w:rFonts w:ascii="Georgia" w:hAnsi="Georgia"/>
      <w:b/>
      <w:spacing w:val="-3"/>
      <w:kern w:val="24"/>
      <w:sz w:val="24"/>
      <w:lang w:val="en-GB"/>
    </w:rPr>
  </w:style>
  <w:style w:type="character" w:customStyle="1" w:styleId="FooterChar">
    <w:name w:val="Footer Char"/>
    <w:link w:val="Footer"/>
    <w:semiHidden/>
    <w:locked/>
    <w:rsid w:val="004E5F01"/>
    <w:rPr>
      <w:sz w:val="24"/>
      <w:szCs w:val="24"/>
      <w:lang w:val="en-US" w:eastAsia="en-US" w:bidi="ar-SA"/>
    </w:rPr>
  </w:style>
  <w:style w:type="character" w:customStyle="1" w:styleId="HeaderChar">
    <w:name w:val="Header Char"/>
    <w:locked/>
    <w:rsid w:val="004E5F01"/>
    <w:rPr>
      <w:rFonts w:cs="Times New Roman"/>
    </w:rPr>
  </w:style>
  <w:style w:type="paragraph" w:styleId="CommentSubject">
    <w:name w:val="annotation subject"/>
    <w:basedOn w:val="CommentText"/>
    <w:next w:val="CommentText"/>
    <w:semiHidden/>
    <w:rsid w:val="00AD22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5C0C96"/>
    <w:pPr>
      <w:numPr>
        <w:numId w:val="25"/>
      </w:numPr>
    </w:pPr>
    <w:rPr>
      <w:szCs w:val="20"/>
    </w:rPr>
  </w:style>
  <w:style w:type="paragraph" w:customStyle="1" w:styleId="BulletText2">
    <w:name w:val="Bullet Text 2"/>
    <w:basedOn w:val="BulletText1"/>
    <w:autoRedefine/>
    <w:rsid w:val="005C0C96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1">
    <w:name w:val="Header Char1"/>
    <w:link w:val="Header"/>
    <w:uiPriority w:val="99"/>
    <w:rsid w:val="00921363"/>
    <w:rPr>
      <w:rFonts w:ascii="Georgia" w:hAnsi="Georgia"/>
      <w:kern w:val="24"/>
      <w:sz w:val="24"/>
    </w:rPr>
  </w:style>
  <w:style w:type="character" w:customStyle="1" w:styleId="Heading9Char">
    <w:name w:val="Heading 9 Char"/>
    <w:link w:val="Heading9"/>
    <w:uiPriority w:val="99"/>
    <w:locked/>
    <w:rsid w:val="00AE64F8"/>
    <w:rPr>
      <w:rFonts w:ascii="Georgia" w:hAnsi="Georgia"/>
      <w:b/>
      <w:spacing w:val="-3"/>
      <w:kern w:val="24"/>
      <w:sz w:val="24"/>
      <w:lang w:val="en-GB"/>
    </w:rPr>
  </w:style>
  <w:style w:type="character" w:customStyle="1" w:styleId="FooterChar">
    <w:name w:val="Footer Char"/>
    <w:link w:val="Footer"/>
    <w:semiHidden/>
    <w:locked/>
    <w:rsid w:val="004E5F01"/>
    <w:rPr>
      <w:sz w:val="24"/>
      <w:szCs w:val="24"/>
      <w:lang w:val="en-US" w:eastAsia="en-US" w:bidi="ar-SA"/>
    </w:rPr>
  </w:style>
  <w:style w:type="character" w:customStyle="1" w:styleId="HeaderChar">
    <w:name w:val="Header Char"/>
    <w:locked/>
    <w:rsid w:val="004E5F01"/>
    <w:rPr>
      <w:rFonts w:cs="Times New Roman"/>
    </w:rPr>
  </w:style>
  <w:style w:type="paragraph" w:styleId="CommentSubject">
    <w:name w:val="annotation subject"/>
    <w:basedOn w:val="CommentText"/>
    <w:next w:val="CommentText"/>
    <w:semiHidden/>
    <w:rsid w:val="00AD2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3597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of 0.8% Red Cell Suspensions</vt:lpstr>
    </vt:vector>
  </TitlesOfParts>
  <Company>CSA Compliance Working Group</Company>
  <LinksUpToDate>false</LinksUpToDate>
  <CharactersWithSpaces>4247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of 0.8% Red Cell Suspensions</dc:title>
  <dc:subject/>
  <dc:creator>Provincial Blood Coordinating Office</dc:creator>
  <cp:keywords/>
  <dc:description/>
  <cp:lastModifiedBy>Brenda Hayden</cp:lastModifiedBy>
  <cp:revision>2</cp:revision>
  <cp:lastPrinted>2013-08-29T18:13:00Z</cp:lastPrinted>
  <dcterms:created xsi:type="dcterms:W3CDTF">2013-09-03T22:05:00Z</dcterms:created>
  <dcterms:modified xsi:type="dcterms:W3CDTF">2013-09-03T22:05:00Z</dcterms:modified>
  <cp:contentStatus/>
</cp:coreProperties>
</file>