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A8" w:rsidRPr="00D17DBE" w:rsidRDefault="00C66CA8" w:rsidP="00F52252">
      <w:pPr>
        <w:spacing w:after="0" w:line="240" w:lineRule="auto"/>
        <w:ind w:hanging="110"/>
        <w:rPr>
          <w:rFonts w:ascii="Arial" w:hAnsi="Arial" w:cs="Arial"/>
        </w:rPr>
      </w:pPr>
      <w:r w:rsidRPr="00D17DBE">
        <w:rPr>
          <w:rFonts w:ascii="Arial" w:hAnsi="Arial" w:cs="Arial"/>
          <w:b/>
        </w:rPr>
        <w:t>Purpose</w:t>
      </w:r>
      <w:r w:rsidRPr="00D17DBE">
        <w:rPr>
          <w:rFonts w:ascii="Arial" w:hAnsi="Arial" w:cs="Arial"/>
        </w:rPr>
        <w:t xml:space="preserve">:  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  <w:r w:rsidRPr="00D17DBE">
        <w:rPr>
          <w:rFonts w:ascii="Arial" w:hAnsi="Arial" w:cs="Arial"/>
        </w:rPr>
        <w:t xml:space="preserve">To describe the </w:t>
      </w:r>
      <w:r>
        <w:rPr>
          <w:rFonts w:ascii="Arial" w:hAnsi="Arial" w:cs="Arial"/>
        </w:rPr>
        <w:t xml:space="preserve">process for </w:t>
      </w:r>
      <w:r w:rsidR="001E0DC0">
        <w:rPr>
          <w:rFonts w:ascii="Arial" w:hAnsi="Arial" w:cs="Arial"/>
        </w:rPr>
        <w:t>preparing, administering</w:t>
      </w:r>
      <w:r>
        <w:rPr>
          <w:rFonts w:ascii="Arial" w:hAnsi="Arial" w:cs="Arial"/>
        </w:rPr>
        <w:t xml:space="preserve"> and reviewing</w:t>
      </w:r>
      <w:r w:rsidRPr="00D17DBE">
        <w:rPr>
          <w:rFonts w:ascii="Arial" w:hAnsi="Arial" w:cs="Arial"/>
        </w:rPr>
        <w:t xml:space="preserve"> </w:t>
      </w:r>
      <w:r w:rsidR="00C4129F">
        <w:rPr>
          <w:rFonts w:ascii="Arial" w:hAnsi="Arial" w:cs="Arial"/>
        </w:rPr>
        <w:t>c</w:t>
      </w:r>
      <w:r w:rsidR="001E0DC0">
        <w:rPr>
          <w:rFonts w:ascii="Arial" w:hAnsi="Arial" w:cs="Arial"/>
        </w:rPr>
        <w:t>ompetency</w:t>
      </w:r>
      <w:r w:rsidRPr="00D17DBE">
        <w:rPr>
          <w:rFonts w:ascii="Arial" w:hAnsi="Arial" w:cs="Arial"/>
        </w:rPr>
        <w:t xml:space="preserve"> </w:t>
      </w:r>
      <w:r w:rsidR="00C4129F">
        <w:rPr>
          <w:rFonts w:ascii="Arial" w:hAnsi="Arial" w:cs="Arial"/>
        </w:rPr>
        <w:t>testing</w:t>
      </w:r>
      <w:r w:rsidRPr="00D17DBE">
        <w:rPr>
          <w:rFonts w:ascii="Arial" w:hAnsi="Arial" w:cs="Arial"/>
        </w:rPr>
        <w:t xml:space="preserve"> in the Transfusion Service </w:t>
      </w:r>
      <w:r>
        <w:rPr>
          <w:rFonts w:ascii="Arial" w:hAnsi="Arial" w:cs="Arial"/>
        </w:rPr>
        <w:t>Laboratory</w:t>
      </w:r>
      <w:r w:rsidR="001E0DC0">
        <w:rPr>
          <w:rFonts w:ascii="Arial" w:hAnsi="Arial" w:cs="Arial"/>
        </w:rPr>
        <w:t>.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Policy: </w:t>
      </w:r>
      <w:r w:rsidR="001E0DC0">
        <w:rPr>
          <w:rFonts w:ascii="Arial" w:hAnsi="Arial" w:cs="Arial"/>
        </w:rPr>
        <w:t>Competency</w:t>
      </w:r>
      <w:r>
        <w:rPr>
          <w:rFonts w:ascii="Arial" w:hAnsi="Arial" w:cs="Arial"/>
        </w:rPr>
        <w:t xml:space="preserve"> </w:t>
      </w:r>
      <w:r w:rsidR="00C4129F">
        <w:rPr>
          <w:rFonts w:ascii="Arial" w:hAnsi="Arial" w:cs="Arial"/>
        </w:rPr>
        <w:t>tests</w:t>
      </w:r>
      <w:r>
        <w:rPr>
          <w:rFonts w:ascii="Arial" w:hAnsi="Arial" w:cs="Arial"/>
        </w:rPr>
        <w:t xml:space="preserve"> will be </w:t>
      </w:r>
      <w:r w:rsidR="001E0DC0">
        <w:rPr>
          <w:rFonts w:ascii="Arial" w:hAnsi="Arial" w:cs="Arial"/>
        </w:rPr>
        <w:t xml:space="preserve">prepared and administered to all staff in TSL based on </w:t>
      </w:r>
      <w:r w:rsidR="00E354D5">
        <w:rPr>
          <w:rFonts w:ascii="Arial" w:hAnsi="Arial" w:cs="Arial"/>
        </w:rPr>
        <w:t xml:space="preserve">applicable </w:t>
      </w:r>
      <w:r w:rsidR="001E0DC0">
        <w:rPr>
          <w:rFonts w:ascii="Arial" w:hAnsi="Arial" w:cs="Arial"/>
        </w:rPr>
        <w:t>regulations</w:t>
      </w:r>
      <w:r w:rsidR="00C4129F">
        <w:rPr>
          <w:rFonts w:ascii="Arial" w:hAnsi="Arial" w:cs="Arial"/>
        </w:rPr>
        <w:t xml:space="preserve"> and job description</w:t>
      </w:r>
      <w:r w:rsidR="001E0DC0">
        <w:rPr>
          <w:rFonts w:ascii="Arial" w:hAnsi="Arial" w:cs="Arial"/>
        </w:rPr>
        <w:t>.  This includes but is not limited to twice in the first year of employment, 6 months after training in a new area</w:t>
      </w:r>
      <w:r w:rsidR="00C4129F">
        <w:rPr>
          <w:rFonts w:ascii="Arial" w:hAnsi="Arial" w:cs="Arial"/>
        </w:rPr>
        <w:t xml:space="preserve"> or on significant procedural changes</w:t>
      </w:r>
      <w:r w:rsidR="001E0DC0">
        <w:rPr>
          <w:rFonts w:ascii="Arial" w:hAnsi="Arial" w:cs="Arial"/>
        </w:rPr>
        <w:t xml:space="preserve">, and once annually in the second and subsequent years of employment. </w:t>
      </w:r>
    </w:p>
    <w:p w:rsidR="00C66CA8" w:rsidRDefault="00C66CA8" w:rsidP="005A3C77">
      <w:pPr>
        <w:spacing w:after="0" w:line="240" w:lineRule="auto"/>
        <w:ind w:left="-115"/>
        <w:rPr>
          <w:rFonts w:ascii="Arial" w:hAnsi="Arial" w:cs="Arial"/>
          <w:b/>
        </w:rPr>
      </w:pPr>
    </w:p>
    <w:p w:rsidR="00C66CA8" w:rsidRPr="00D17DBE" w:rsidRDefault="00C66CA8" w:rsidP="005A3C77">
      <w:pPr>
        <w:spacing w:after="0" w:line="240" w:lineRule="auto"/>
        <w:ind w:left="-115"/>
        <w:rPr>
          <w:rFonts w:ascii="Arial" w:hAnsi="Arial" w:cs="Arial"/>
          <w:b/>
        </w:rPr>
      </w:pPr>
      <w:r w:rsidRPr="00D17DBE">
        <w:rPr>
          <w:rFonts w:ascii="Arial" w:hAnsi="Arial" w:cs="Arial"/>
          <w:b/>
        </w:rPr>
        <w:t>Process:</w:t>
      </w:r>
    </w:p>
    <w:tbl>
      <w:tblPr>
        <w:tblW w:w="1023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0"/>
        <w:gridCol w:w="9490"/>
      </w:tblGrid>
      <w:tr w:rsidR="00EA08D6" w:rsidRPr="00E137C1" w:rsidTr="00F94825">
        <w:trPr>
          <w:cantSplit/>
        </w:trPr>
        <w:tc>
          <w:tcPr>
            <w:tcW w:w="740" w:type="dxa"/>
            <w:vAlign w:val="center"/>
          </w:tcPr>
          <w:p w:rsidR="00EA08D6" w:rsidRPr="00D17DBE" w:rsidRDefault="00F94825" w:rsidP="003346FB">
            <w:pPr>
              <w:spacing w:before="60" w:after="0" w:line="26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9490" w:type="dxa"/>
            <w:vAlign w:val="center"/>
          </w:tcPr>
          <w:p w:rsidR="00EA08D6" w:rsidRPr="00D17DBE" w:rsidRDefault="00EA08D6" w:rsidP="00C4129F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D17DBE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1E0DC0" w:rsidRPr="00E354D5" w:rsidTr="00F40788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1E0DC0" w:rsidRDefault="001E0DC0" w:rsidP="005A3C77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E354D5">
              <w:rPr>
                <w:rFonts w:ascii="Arial" w:hAnsi="Arial" w:cs="Arial"/>
                <w:b/>
                <w:spacing w:val="-3"/>
                <w:lang w:val="en-GB"/>
              </w:rPr>
              <w:t>Competency Committee</w:t>
            </w:r>
          </w:p>
          <w:p w:rsidR="00F94825" w:rsidRPr="00E354D5" w:rsidRDefault="00F94825" w:rsidP="005A3C77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</w:p>
        </w:tc>
      </w:tr>
      <w:tr w:rsidR="00EA08D6" w:rsidRPr="00E137C1" w:rsidTr="00F94825">
        <w:trPr>
          <w:trHeight w:val="586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17DBE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17DBE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TSL Competency committee will consist of 3 TSL staff members.   At least one CT and one CLT will be on the committee.</w:t>
            </w:r>
          </w:p>
        </w:tc>
      </w:tr>
      <w:tr w:rsidR="00EA08D6" w:rsidRPr="00E137C1" w:rsidTr="00F94825">
        <w:trPr>
          <w:trHeight w:val="586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17DBE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17DBE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Two members will serve a one year term.  The third member will serve 2 years.</w:t>
            </w:r>
          </w:p>
        </w:tc>
      </w:tr>
      <w:tr w:rsidR="00EA08D6" w:rsidRPr="00E137C1" w:rsidTr="00F94825">
        <w:trPr>
          <w:trHeight w:val="586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Selection will be by application of interest and interview with the TS Manager.</w:t>
            </w:r>
          </w:p>
        </w:tc>
      </w:tr>
      <w:tr w:rsidR="00EA08D6" w:rsidRPr="00E137C1" w:rsidTr="00F94825">
        <w:trPr>
          <w:trHeight w:val="586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17DBE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17DBE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The Quality Coordinator, TS Manager, and Training Coo</w:t>
            </w:r>
            <w:r w:rsidR="00C4129F">
              <w:rPr>
                <w:rFonts w:ascii="Arial" w:hAnsi="Arial" w:cs="Arial"/>
                <w:spacing w:val="-3"/>
                <w:lang w:val="en-GB"/>
              </w:rPr>
              <w:t>rdinator will serve as advisor.</w:t>
            </w:r>
          </w:p>
        </w:tc>
      </w:tr>
      <w:tr w:rsidR="00E354D5" w:rsidRPr="00E354D5" w:rsidTr="00E354D5">
        <w:trPr>
          <w:trHeight w:val="232"/>
        </w:trPr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E354D5" w:rsidRDefault="00E354D5" w:rsidP="005A3C77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E354D5">
              <w:rPr>
                <w:rFonts w:ascii="Arial" w:hAnsi="Arial" w:cs="Arial"/>
                <w:b/>
                <w:spacing w:val="-3"/>
                <w:lang w:val="en-GB"/>
              </w:rPr>
              <w:t>Regulations</w:t>
            </w:r>
          </w:p>
          <w:p w:rsidR="00F94825" w:rsidRPr="00E354D5" w:rsidRDefault="00F94825" w:rsidP="005A3C77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</w:p>
        </w:tc>
      </w:tr>
      <w:tr w:rsidR="00EA08D6" w:rsidRPr="00E137C1" w:rsidTr="00F94825">
        <w:trPr>
          <w:trHeight w:val="3067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17DBE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E354D5" w:rsidRDefault="00EA08D6" w:rsidP="00E354D5">
            <w:pPr>
              <w:pStyle w:val="Head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Competencies for technologists will include all of </w:t>
            </w:r>
            <w:r w:rsidRPr="00E354D5">
              <w:rPr>
                <w:rFonts w:ascii="Arial" w:eastAsia="Times New Roman" w:hAnsi="Arial" w:cs="Arial"/>
                <w:bCs/>
                <w:color w:val="000000"/>
              </w:rPr>
              <w:t>the following activities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annually</w:t>
            </w:r>
            <w:r w:rsidRPr="00E354D5">
              <w:rPr>
                <w:rFonts w:ascii="Arial" w:eastAsia="Times New Roman" w:hAnsi="Arial" w:cs="Arial"/>
                <w:bCs/>
                <w:color w:val="000000"/>
              </w:rPr>
              <w:t xml:space="preserve"> in order </w:t>
            </w:r>
            <w:r>
              <w:rPr>
                <w:rFonts w:ascii="Arial" w:eastAsia="Times New Roman" w:hAnsi="Arial" w:cs="Arial"/>
                <w:bCs/>
                <w:color w:val="000000"/>
              </w:rPr>
              <w:t>to comply with CLIA regulations:</w:t>
            </w:r>
          </w:p>
          <w:p w:rsidR="00EA08D6" w:rsidRPr="00E354D5" w:rsidRDefault="00EA08D6" w:rsidP="000359A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DA4A2B">
              <w:rPr>
                <w:rFonts w:ascii="Arial" w:eastAsia="Times New Roman" w:hAnsi="Arial" w:cs="Arial"/>
                <w:bCs/>
                <w:color w:val="000000"/>
              </w:rPr>
              <w:t>Direct observation of routine patient test performance, including patient preparation, if applicable, specimen handling, processing and testing.</w:t>
            </w:r>
          </w:p>
          <w:p w:rsidR="00EA08D6" w:rsidRPr="00E354D5" w:rsidRDefault="00EA08D6" w:rsidP="000359A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DA4A2B">
              <w:rPr>
                <w:rFonts w:ascii="Arial" w:eastAsia="Times New Roman" w:hAnsi="Arial" w:cs="Arial"/>
                <w:bCs/>
                <w:color w:val="000000"/>
              </w:rPr>
              <w:t>Monitoring the recording and reporting of test results</w:t>
            </w:r>
          </w:p>
          <w:p w:rsidR="00EA08D6" w:rsidRPr="00E354D5" w:rsidRDefault="00EA08D6" w:rsidP="000359A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DA4A2B">
              <w:rPr>
                <w:rFonts w:ascii="Arial" w:eastAsia="Times New Roman" w:hAnsi="Arial" w:cs="Arial"/>
                <w:bCs/>
                <w:color w:val="000000"/>
              </w:rPr>
              <w:t>Direct observation of performance of instrument maintenance and function checks</w:t>
            </w:r>
          </w:p>
          <w:p w:rsidR="00EA08D6" w:rsidRPr="00E354D5" w:rsidRDefault="00EA08D6" w:rsidP="000359A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DA4A2B">
              <w:rPr>
                <w:rFonts w:ascii="Arial" w:eastAsia="Times New Roman" w:hAnsi="Arial" w:cs="Arial"/>
                <w:bCs/>
                <w:color w:val="000000"/>
              </w:rPr>
              <w:t>Review of  intermediate test results or worksheets, quality control records, proficiency testing results, and preventative maintenance records</w:t>
            </w:r>
          </w:p>
          <w:p w:rsidR="00EA08D6" w:rsidRPr="000359AF" w:rsidRDefault="00EA08D6" w:rsidP="000359AF">
            <w:pPr>
              <w:pStyle w:val="ListParagraph"/>
              <w:numPr>
                <w:ilvl w:val="0"/>
                <w:numId w:val="36"/>
              </w:numPr>
              <w:spacing w:before="60" w:after="60" w:line="260" w:lineRule="exact"/>
              <w:rPr>
                <w:rFonts w:ascii="Arial" w:hAnsi="Arial" w:cs="Arial"/>
                <w:bCs/>
              </w:rPr>
            </w:pPr>
            <w:r w:rsidRPr="000359AF">
              <w:rPr>
                <w:rFonts w:ascii="Arial" w:eastAsia="Times New Roman" w:hAnsi="Arial" w:cs="Arial"/>
                <w:bCs/>
                <w:color w:val="000000"/>
              </w:rPr>
              <w:t>Assessment of  test performance through testing previously analyzed specimens, internal blind testing samples or external proficiency testing samples</w:t>
            </w:r>
          </w:p>
          <w:p w:rsidR="00EA08D6" w:rsidRPr="00F94825" w:rsidRDefault="00EA08D6" w:rsidP="00C4129F">
            <w:pPr>
              <w:pStyle w:val="Header"/>
              <w:numPr>
                <w:ilvl w:val="0"/>
                <w:numId w:val="36"/>
              </w:numPr>
              <w:rPr>
                <w:rFonts w:ascii="Arial" w:hAnsi="Arial" w:cs="Arial"/>
                <w:spacing w:val="-3"/>
                <w:lang w:val="en-GB"/>
              </w:rPr>
            </w:pPr>
            <w:r w:rsidRPr="00DA4A2B">
              <w:rPr>
                <w:rFonts w:ascii="Arial" w:eastAsia="Times New Roman" w:hAnsi="Arial" w:cs="Arial"/>
                <w:bCs/>
                <w:color w:val="000000"/>
              </w:rPr>
              <w:t>Evaluation of  problem-solving skills</w:t>
            </w:r>
          </w:p>
          <w:p w:rsidR="00F94825" w:rsidRDefault="00F94825" w:rsidP="00F94825">
            <w:pPr>
              <w:pStyle w:val="Header"/>
              <w:ind w:left="720"/>
              <w:rPr>
                <w:rFonts w:ascii="Arial" w:hAnsi="Arial" w:cs="Arial"/>
                <w:spacing w:val="-3"/>
                <w:lang w:val="en-GB"/>
              </w:rPr>
            </w:pPr>
          </w:p>
          <w:p w:rsidR="00F94825" w:rsidRDefault="00F94825" w:rsidP="00F94825">
            <w:pPr>
              <w:pStyle w:val="Header"/>
              <w:ind w:left="720"/>
              <w:rPr>
                <w:rFonts w:ascii="Arial" w:hAnsi="Arial" w:cs="Arial"/>
                <w:spacing w:val="-3"/>
                <w:lang w:val="en-GB"/>
              </w:rPr>
            </w:pPr>
          </w:p>
          <w:p w:rsidR="00F94825" w:rsidRPr="00D17DBE" w:rsidRDefault="00F94825" w:rsidP="00F94825">
            <w:pPr>
              <w:pStyle w:val="Header"/>
              <w:ind w:left="72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94825" w:rsidRPr="00E137C1" w:rsidTr="00F94825">
        <w:trPr>
          <w:trHeight w:val="340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Default="00F94825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F94825" w:rsidRDefault="00D47B7D" w:rsidP="00D47B7D">
            <w:pPr>
              <w:pStyle w:val="Header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17DBE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D47B7D" w:rsidRPr="00E137C1" w:rsidTr="00D47B7D">
        <w:trPr>
          <w:trHeight w:val="340"/>
        </w:trPr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D47B7D" w:rsidRPr="00D47B7D" w:rsidRDefault="00D47B7D" w:rsidP="00E354D5">
            <w:pPr>
              <w:pStyle w:val="Head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29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Regulations </w:t>
            </w:r>
            <w:r w:rsidRPr="00C412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(continued)</w:t>
            </w:r>
          </w:p>
        </w:tc>
      </w:tr>
      <w:tr w:rsidR="00EA08D6" w:rsidRPr="00E137C1" w:rsidTr="00F94825">
        <w:trPr>
          <w:trHeight w:val="1150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17DBE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Default="00EA08D6" w:rsidP="00E354D5">
            <w:pPr>
              <w:pStyle w:val="Head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While </w:t>
            </w:r>
            <w:r w:rsidR="00AF49B3">
              <w:rPr>
                <w:rFonts w:ascii="Arial" w:eastAsia="Times New Roman" w:hAnsi="Arial" w:cs="Arial"/>
                <w:bCs/>
                <w:color w:val="000000"/>
              </w:rPr>
              <w:t>CLIA regulations do not specify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competency testing for clinical laboratory technicians: </w:t>
            </w:r>
          </w:p>
          <w:p w:rsidR="00EA08D6" w:rsidRDefault="00EA08D6" w:rsidP="000359AF">
            <w:pPr>
              <w:pStyle w:val="Header"/>
              <w:numPr>
                <w:ilvl w:val="0"/>
                <w:numId w:val="37"/>
              </w:num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TSL will perform competency testing on the same schedule as technologists.  </w:t>
            </w:r>
          </w:p>
          <w:p w:rsidR="00EA08D6" w:rsidRPr="00D17DBE" w:rsidRDefault="00EA08D6" w:rsidP="00C4129F">
            <w:pPr>
              <w:pStyle w:val="Header"/>
              <w:numPr>
                <w:ilvl w:val="0"/>
                <w:numId w:val="37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Regulations applicable to the job description will be met where possible.</w:t>
            </w:r>
          </w:p>
        </w:tc>
      </w:tr>
      <w:tr w:rsidR="00EA08D6" w:rsidRPr="00E137C1" w:rsidTr="00F94825">
        <w:trPr>
          <w:trHeight w:val="655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17DBE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TS Manager review of competency testing will analyze aggregate competence assessment data for the purpose of identifying staff learning needs as required by Joint Commission.</w:t>
            </w:r>
          </w:p>
        </w:tc>
      </w:tr>
      <w:tr w:rsidR="00E354D5" w:rsidRPr="00E754B7" w:rsidTr="00626F27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F94825" w:rsidRDefault="00E354D5" w:rsidP="00E354D5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E754B7">
              <w:rPr>
                <w:rFonts w:ascii="Arial" w:hAnsi="Arial" w:cs="Arial"/>
                <w:b/>
                <w:spacing w:val="-3"/>
                <w:lang w:val="en-GB"/>
              </w:rPr>
              <w:t>Committee Responsibilities</w:t>
            </w:r>
          </w:p>
          <w:p w:rsidR="00D47B7D" w:rsidRPr="00E754B7" w:rsidRDefault="00D47B7D" w:rsidP="00E354D5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</w:p>
        </w:tc>
      </w:tr>
      <w:tr w:rsidR="00EA08D6" w:rsidRPr="00E137C1" w:rsidTr="00F94825">
        <w:trPr>
          <w:trHeight w:val="2872"/>
        </w:trPr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Pr="00D17DBE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  <w:p w:rsidR="00EA08D6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</w:p>
          <w:p w:rsidR="00EA08D6" w:rsidRPr="00D17DBE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Default="00EA08D6" w:rsidP="001E0DC0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The committee is responsible for </w:t>
            </w:r>
          </w:p>
          <w:p w:rsidR="00EA08D6" w:rsidRPr="00D17DBE" w:rsidRDefault="00EA08D6" w:rsidP="00C261DA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Administering 6-month competencies for new hires and staff trained in a new area or on a new and/or revised task.</w:t>
            </w:r>
          </w:p>
          <w:p w:rsidR="00EA08D6" w:rsidRDefault="00EA08D6" w:rsidP="00C261DA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Revising the existing 6-month competencies as needed for SOP revisions and job scope.</w:t>
            </w:r>
          </w:p>
          <w:p w:rsidR="00EA08D6" w:rsidRDefault="00EA08D6" w:rsidP="00C261DA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Developing and administering annual competency testing to TSL staff</w:t>
            </w:r>
          </w:p>
          <w:p w:rsidR="00EA08D6" w:rsidRDefault="00EA08D6" w:rsidP="00C261DA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Developing and administering annual cGMP training.</w:t>
            </w:r>
          </w:p>
          <w:p w:rsidR="00EA08D6" w:rsidRDefault="00EA08D6" w:rsidP="00C261DA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Maintaining records of competency performance and completion electronically</w:t>
            </w:r>
          </w:p>
          <w:p w:rsidR="00EA08D6" w:rsidRDefault="00EA08D6" w:rsidP="00C4129F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Respecting the private nature of competency results</w:t>
            </w:r>
          </w:p>
          <w:p w:rsidR="00C4129F" w:rsidRDefault="00C4129F" w:rsidP="00C4129F">
            <w:pPr>
              <w:pStyle w:val="Header"/>
              <w:numPr>
                <w:ilvl w:val="0"/>
                <w:numId w:val="39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Maintaining secrecy of competency contents prior to ad</w:t>
            </w:r>
            <w:r w:rsidR="00AF49B3">
              <w:rPr>
                <w:rFonts w:ascii="Arial" w:hAnsi="Arial" w:cs="Arial"/>
                <w:spacing w:val="-3"/>
                <w:lang w:val="en-GB"/>
              </w:rPr>
              <w:t>ministration to applicable staff</w:t>
            </w:r>
          </w:p>
          <w:p w:rsidR="00AF49B3" w:rsidRDefault="00AF49B3" w:rsidP="004B1C98">
            <w:pPr>
              <w:pStyle w:val="Header"/>
              <w:ind w:left="690"/>
              <w:rPr>
                <w:rFonts w:ascii="Arial" w:hAnsi="Arial" w:cs="Arial"/>
                <w:spacing w:val="-3"/>
                <w:lang w:val="en-GB"/>
              </w:rPr>
            </w:pPr>
            <w:r w:rsidRPr="00DA150E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Note:  Annual compliance training is the responsibility of the </w:t>
            </w:r>
            <w:r w:rsidR="004B1C98">
              <w:rPr>
                <w:rFonts w:ascii="Arial" w:hAnsi="Arial" w:cs="Arial"/>
                <w:spacing w:val="-3"/>
                <w:highlight w:val="yellow"/>
                <w:lang w:val="en-GB"/>
              </w:rPr>
              <w:t>Facility</w:t>
            </w:r>
            <w:r w:rsidRPr="00DA150E">
              <w:rPr>
                <w:rFonts w:ascii="Arial" w:hAnsi="Arial" w:cs="Arial"/>
                <w:spacing w:val="-3"/>
                <w:highlight w:val="yellow"/>
                <w:lang w:val="en-GB"/>
              </w:rPr>
              <w:t xml:space="preserve"> and is not included in TSL competency testing.</w:t>
            </w:r>
          </w:p>
          <w:p w:rsidR="00F94825" w:rsidRPr="00D17DBE" w:rsidRDefault="00F94825" w:rsidP="004B1C98">
            <w:pPr>
              <w:pStyle w:val="Header"/>
              <w:ind w:left="69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EA08D6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Working with the TS Leads, the committee is responsible for scheduling and administering competencies.</w:t>
            </w:r>
          </w:p>
          <w:p w:rsidR="00F94825" w:rsidRPr="00D17DBE" w:rsidRDefault="00F94825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EA08D6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Working with the Quality Coordinator and TS Manager, the committee will identify areas of competency testing based on quality incidents.</w:t>
            </w:r>
          </w:p>
          <w:p w:rsidR="00F94825" w:rsidRPr="00D17DBE" w:rsidRDefault="00F94825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EA08D6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Pr="00D17DBE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Working with the TS Safety Officer, the committee will identify safety issues to be covered in periodic competency testing.</w:t>
            </w:r>
          </w:p>
        </w:tc>
      </w:tr>
      <w:tr w:rsidR="00AF49B3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AF49B3" w:rsidRPr="00DA150E" w:rsidRDefault="00AF49B3" w:rsidP="005A3C77">
            <w:pPr>
              <w:pStyle w:val="Header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DA150E">
              <w:rPr>
                <w:rFonts w:ascii="Arial" w:hAnsi="Arial" w:cs="Arial"/>
                <w:b/>
                <w:bCs/>
                <w:highlight w:val="yellow"/>
              </w:rPr>
              <w:t>5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AF49B3" w:rsidRDefault="00AF49B3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 w:rsidRPr="00DA150E">
              <w:rPr>
                <w:rFonts w:ascii="Arial" w:hAnsi="Arial" w:cs="Arial"/>
                <w:spacing w:val="-3"/>
                <w:highlight w:val="yellow"/>
                <w:lang w:val="en-GB"/>
              </w:rPr>
              <w:t>Working with personnel responsible for process implementation and revision, the committee will develop appropriate competency testing.</w:t>
            </w:r>
          </w:p>
          <w:p w:rsidR="00F94825" w:rsidRDefault="00F94825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EA08D6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Default="00AF49B3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Default="00EA08D6" w:rsidP="00AF49B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The Training Coordinator will notify the committee of training completion dates in order to </w:t>
            </w:r>
            <w:r w:rsidR="00AF49B3" w:rsidRPr="00DA150E">
              <w:rPr>
                <w:rFonts w:ascii="Arial" w:hAnsi="Arial" w:cs="Arial"/>
                <w:spacing w:val="-3"/>
                <w:highlight w:val="yellow"/>
                <w:lang w:val="en-GB"/>
              </w:rPr>
              <w:t>schedule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indicated competency testing dates.</w:t>
            </w:r>
          </w:p>
          <w:p w:rsidR="00F94825" w:rsidRPr="00D17DBE" w:rsidRDefault="00F94825" w:rsidP="00AF49B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E754B7" w:rsidRPr="000359AF" w:rsidTr="00B14E64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E754B7" w:rsidRDefault="00E754B7" w:rsidP="005A3C77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0359AF">
              <w:rPr>
                <w:rFonts w:ascii="Arial" w:hAnsi="Arial" w:cs="Arial"/>
                <w:b/>
                <w:spacing w:val="-3"/>
                <w:lang w:val="en-GB"/>
              </w:rPr>
              <w:t>Competency Formats and Available Delivery Systems</w:t>
            </w:r>
          </w:p>
          <w:p w:rsidR="00F94825" w:rsidRPr="000359AF" w:rsidRDefault="00F94825" w:rsidP="005A3C77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</w:p>
        </w:tc>
      </w:tr>
      <w:tr w:rsidR="00EA08D6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Default="00EA08D6" w:rsidP="001E0DC0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Competency formats are varied and should be explored by the committee for application to the topic.  Formats might include but are not limited to:</w:t>
            </w:r>
          </w:p>
          <w:p w:rsidR="00EA08D6" w:rsidRDefault="00EA08D6" w:rsidP="00E754B7">
            <w:pPr>
              <w:pStyle w:val="Header"/>
              <w:numPr>
                <w:ilvl w:val="0"/>
                <w:numId w:val="3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Direct Observations</w:t>
            </w:r>
          </w:p>
          <w:p w:rsidR="00EA08D6" w:rsidRDefault="00EA08D6" w:rsidP="00E754B7">
            <w:pPr>
              <w:pStyle w:val="Header"/>
              <w:numPr>
                <w:ilvl w:val="0"/>
                <w:numId w:val="3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Paper Exercises</w:t>
            </w:r>
          </w:p>
          <w:p w:rsidR="00EA08D6" w:rsidRDefault="00EA08D6" w:rsidP="00E754B7">
            <w:pPr>
              <w:pStyle w:val="Header"/>
              <w:numPr>
                <w:ilvl w:val="0"/>
                <w:numId w:val="3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MTS reading and testing</w:t>
            </w:r>
          </w:p>
          <w:p w:rsidR="00EA08D6" w:rsidRDefault="00EA08D6" w:rsidP="00E754B7">
            <w:pPr>
              <w:pStyle w:val="Header"/>
              <w:numPr>
                <w:ilvl w:val="0"/>
                <w:numId w:val="3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Catalyst testing</w:t>
            </w:r>
          </w:p>
          <w:p w:rsidR="00EA08D6" w:rsidRDefault="00EA08D6" w:rsidP="00E754B7">
            <w:pPr>
              <w:pStyle w:val="Header"/>
              <w:numPr>
                <w:ilvl w:val="0"/>
                <w:numId w:val="3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Presentation to staff</w:t>
            </w:r>
          </w:p>
          <w:p w:rsidR="00EA08D6" w:rsidRDefault="00EA08D6" w:rsidP="00EA08D6">
            <w:pPr>
              <w:pStyle w:val="Header"/>
              <w:numPr>
                <w:ilvl w:val="0"/>
                <w:numId w:val="35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On-line materials</w:t>
            </w:r>
          </w:p>
          <w:p w:rsidR="00F94825" w:rsidRPr="00D47B7D" w:rsidRDefault="00D47B7D" w:rsidP="00D47B7D">
            <w:pPr>
              <w:pStyle w:val="Header"/>
              <w:jc w:val="center"/>
              <w:rPr>
                <w:rFonts w:ascii="Arial" w:hAnsi="Arial" w:cs="Arial"/>
                <w:b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>Action</w:t>
            </w:r>
          </w:p>
        </w:tc>
      </w:tr>
      <w:tr w:rsidR="00EA08D6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F94825" w:rsidRDefault="00EA08D6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Utilization of on-line delivery systems should be coordinated with the TS Manager or Training Coordinator.</w:t>
            </w:r>
          </w:p>
          <w:p w:rsidR="00F94825" w:rsidRPr="00D17DBE" w:rsidRDefault="00F94825" w:rsidP="005A3C77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94825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Default="00F94825" w:rsidP="00F94825">
            <w:pPr>
              <w:pStyle w:val="Head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F94825" w:rsidRDefault="00F94825" w:rsidP="00F94825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>Development</w:t>
            </w:r>
          </w:p>
          <w:p w:rsidR="00F94825" w:rsidRDefault="00F94825" w:rsidP="00F94825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94825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Default="00F94825" w:rsidP="00F94825">
            <w:pPr>
              <w:pStyle w:val="Head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1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F94825" w:rsidRDefault="00F94825" w:rsidP="003046AB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The committee members will maintain </w:t>
            </w:r>
            <w:r w:rsidRPr="00F94825">
              <w:rPr>
                <w:rFonts w:ascii="Arial" w:hAnsi="Arial" w:cs="Arial"/>
                <w:spacing w:val="-3"/>
                <w:highlight w:val="yellow"/>
                <w:lang w:val="en-GB"/>
              </w:rPr>
              <w:t>confidentiality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of topics to be covered in the competency and the contents of the competency test.</w:t>
            </w:r>
          </w:p>
          <w:p w:rsidR="00F94825" w:rsidRDefault="00F94825" w:rsidP="003046AB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EA08D6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EA08D6" w:rsidRDefault="00EA08D6" w:rsidP="005A3C77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EA08D6" w:rsidRDefault="00EA08D6" w:rsidP="003046AB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Request field testing of competencies prior to issue to appropriate staff.  Field Testers are:</w:t>
            </w:r>
          </w:p>
          <w:p w:rsidR="00EA08D6" w:rsidRDefault="00EA08D6" w:rsidP="003046AB">
            <w:pPr>
              <w:pStyle w:val="Header"/>
              <w:numPr>
                <w:ilvl w:val="0"/>
                <w:numId w:val="38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Quality Coordinator</w:t>
            </w:r>
          </w:p>
          <w:p w:rsidR="00EA08D6" w:rsidRDefault="00EA08D6" w:rsidP="003046AB">
            <w:pPr>
              <w:pStyle w:val="Header"/>
              <w:numPr>
                <w:ilvl w:val="0"/>
                <w:numId w:val="38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CT Leads</w:t>
            </w:r>
          </w:p>
          <w:p w:rsidR="00EA08D6" w:rsidRDefault="00EA08D6" w:rsidP="00C4129F">
            <w:pPr>
              <w:pStyle w:val="Header"/>
              <w:numPr>
                <w:ilvl w:val="0"/>
                <w:numId w:val="38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Committee Members</w:t>
            </w:r>
          </w:p>
          <w:p w:rsidR="00F94825" w:rsidRPr="00D17DBE" w:rsidRDefault="00F94825" w:rsidP="00C4129F">
            <w:pPr>
              <w:pStyle w:val="Header"/>
              <w:numPr>
                <w:ilvl w:val="0"/>
                <w:numId w:val="38"/>
              </w:numPr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94825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Default="00F94825" w:rsidP="00FD671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490" w:type="dxa"/>
            <w:tcMar>
              <w:left w:w="115" w:type="dxa"/>
              <w:right w:w="115" w:type="dxa"/>
            </w:tcMar>
          </w:tcPr>
          <w:p w:rsidR="00F94825" w:rsidRDefault="00F94825" w:rsidP="00FD6713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The committee is responsible for preparing a key for the competency:</w:t>
            </w:r>
          </w:p>
          <w:p w:rsidR="00F94825" w:rsidRDefault="00F94825" w:rsidP="00FD6713">
            <w:pPr>
              <w:pStyle w:val="Header"/>
              <w:numPr>
                <w:ilvl w:val="0"/>
                <w:numId w:val="40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Acceptable answers and alternatives</w:t>
            </w:r>
          </w:p>
          <w:p w:rsidR="00F94825" w:rsidRDefault="00F94825" w:rsidP="00FD6713">
            <w:pPr>
              <w:pStyle w:val="Header"/>
              <w:numPr>
                <w:ilvl w:val="0"/>
                <w:numId w:val="40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Grade points for each exercise</w:t>
            </w:r>
          </w:p>
          <w:p w:rsidR="00F94825" w:rsidRDefault="00F94825" w:rsidP="00FD6713">
            <w:pPr>
              <w:pStyle w:val="Header"/>
              <w:numPr>
                <w:ilvl w:val="0"/>
                <w:numId w:val="40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Defining the minimum acceptable performance</w:t>
            </w:r>
          </w:p>
          <w:p w:rsidR="00F94825" w:rsidRPr="00D17DBE" w:rsidRDefault="00F94825" w:rsidP="00F94825">
            <w:pPr>
              <w:pStyle w:val="Header"/>
              <w:ind w:left="105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94825" w:rsidRPr="00E137C1" w:rsidTr="004051F2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F94825" w:rsidRDefault="00F94825" w:rsidP="00F94825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5C5AC8">
              <w:rPr>
                <w:rFonts w:ascii="Arial" w:hAnsi="Arial" w:cs="Arial"/>
                <w:b/>
                <w:spacing w:val="-3"/>
                <w:lang w:val="en-GB"/>
              </w:rPr>
              <w:t>Review and Corrective Action</w:t>
            </w:r>
          </w:p>
          <w:p w:rsidR="00F94825" w:rsidRDefault="00F94825" w:rsidP="00F94825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94825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Default="00F94825" w:rsidP="00FD671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490" w:type="dxa"/>
          </w:tcPr>
          <w:p w:rsidR="00F94825" w:rsidRDefault="00F94825" w:rsidP="00FD6713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Review will be performed initially by the committee members.</w:t>
            </w:r>
          </w:p>
          <w:p w:rsidR="00F94825" w:rsidRPr="00D17DBE" w:rsidRDefault="00F94825" w:rsidP="00FD671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Results will be tabulated and presented to the TS Manager prior to staff notification of results.</w:t>
            </w:r>
          </w:p>
        </w:tc>
      </w:tr>
      <w:tr w:rsidR="00F94825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Default="00F94825" w:rsidP="00FD671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0" w:type="dxa"/>
          </w:tcPr>
          <w:p w:rsidR="00F94825" w:rsidRDefault="00F94825" w:rsidP="00FD6713">
            <w:pPr>
              <w:pStyle w:val="Header"/>
              <w:ind w:left="330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Corrective action will be determined by the committee and the TS Manager:</w:t>
            </w:r>
          </w:p>
          <w:p w:rsidR="00F94825" w:rsidRDefault="00F94825" w:rsidP="00FD6713">
            <w:pPr>
              <w:pStyle w:val="Header"/>
              <w:numPr>
                <w:ilvl w:val="0"/>
                <w:numId w:val="41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Scope:  number of staff</w:t>
            </w:r>
          </w:p>
          <w:p w:rsidR="00F94825" w:rsidRDefault="00F94825" w:rsidP="00FD6713">
            <w:pPr>
              <w:pStyle w:val="Header"/>
              <w:numPr>
                <w:ilvl w:val="0"/>
                <w:numId w:val="41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Activity:  re-training and re-assessment of competency</w:t>
            </w:r>
          </w:p>
          <w:p w:rsidR="00F94825" w:rsidRDefault="00F94825" w:rsidP="00FD6713">
            <w:pPr>
              <w:pStyle w:val="Header"/>
              <w:numPr>
                <w:ilvl w:val="0"/>
                <w:numId w:val="41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Second Review:  measurement of competency is met</w:t>
            </w:r>
          </w:p>
          <w:p w:rsidR="00F94825" w:rsidRPr="00D17DBE" w:rsidRDefault="00F94825" w:rsidP="00F94825">
            <w:pPr>
              <w:pStyle w:val="Header"/>
              <w:ind w:left="1050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94825" w:rsidRPr="00E137C1" w:rsidTr="004F4731">
        <w:tc>
          <w:tcPr>
            <w:tcW w:w="10230" w:type="dxa"/>
            <w:gridSpan w:val="2"/>
            <w:tcMar>
              <w:left w:w="115" w:type="dxa"/>
              <w:right w:w="115" w:type="dxa"/>
            </w:tcMar>
          </w:tcPr>
          <w:p w:rsidR="00F94825" w:rsidRDefault="00F94825" w:rsidP="00F94825">
            <w:pPr>
              <w:pStyle w:val="Header"/>
              <w:rPr>
                <w:rFonts w:ascii="Arial" w:hAnsi="Arial" w:cs="Arial"/>
                <w:b/>
                <w:spacing w:val="-3"/>
                <w:lang w:val="en-GB"/>
              </w:rPr>
            </w:pPr>
            <w:r w:rsidRPr="005C5AC8">
              <w:rPr>
                <w:rFonts w:ascii="Arial" w:hAnsi="Arial" w:cs="Arial"/>
                <w:b/>
                <w:spacing w:val="-3"/>
                <w:lang w:val="en-GB"/>
              </w:rPr>
              <w:t>Documentation of Competency Activity</w:t>
            </w:r>
          </w:p>
          <w:p w:rsidR="00F94825" w:rsidRDefault="00F94825" w:rsidP="00F94825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94825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Default="00F94825" w:rsidP="00FD671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490" w:type="dxa"/>
          </w:tcPr>
          <w:p w:rsidR="00F94825" w:rsidRDefault="00F94825" w:rsidP="00FD671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Committee will maintain records of competency performance and completion electronically.</w:t>
            </w:r>
          </w:p>
          <w:p w:rsidR="00F94825" w:rsidRPr="00D17DBE" w:rsidRDefault="00F94825" w:rsidP="00FD671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F94825" w:rsidRPr="00E137C1" w:rsidTr="00F94825">
        <w:tc>
          <w:tcPr>
            <w:tcW w:w="740" w:type="dxa"/>
            <w:tcMar>
              <w:left w:w="115" w:type="dxa"/>
              <w:right w:w="115" w:type="dxa"/>
            </w:tcMar>
          </w:tcPr>
          <w:p w:rsidR="00F94825" w:rsidRDefault="00F94825" w:rsidP="00FD6713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0" w:type="dxa"/>
          </w:tcPr>
          <w:p w:rsidR="00F94825" w:rsidRDefault="00F94825" w:rsidP="00FD671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The Training Coordinator is responsible for filing the competency paperwork in the employee’s training folder.</w:t>
            </w:r>
          </w:p>
          <w:p w:rsidR="00F94825" w:rsidRPr="00D17DBE" w:rsidRDefault="00F94825" w:rsidP="00FD6713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</w:tbl>
    <w:p w:rsidR="00AF49B3" w:rsidRDefault="00AF49B3"/>
    <w:p w:rsidR="00C66CA8" w:rsidRDefault="00C66CA8" w:rsidP="005A3C77">
      <w:pPr>
        <w:spacing w:after="0" w:line="240" w:lineRule="auto"/>
        <w:rPr>
          <w:rFonts w:ascii="Arial" w:hAnsi="Arial" w:cs="Arial"/>
          <w:b/>
          <w:bCs/>
        </w:rPr>
      </w:pPr>
    </w:p>
    <w:p w:rsidR="00C66CA8" w:rsidRPr="00D17DBE" w:rsidRDefault="00C66CA8" w:rsidP="008F1698">
      <w:pPr>
        <w:spacing w:after="0" w:line="240" w:lineRule="auto"/>
        <w:rPr>
          <w:rFonts w:ascii="Arial" w:hAnsi="Arial" w:cs="Arial"/>
          <w:b/>
        </w:rPr>
      </w:pPr>
      <w:r w:rsidRPr="00D17DBE">
        <w:rPr>
          <w:rFonts w:ascii="Arial" w:hAnsi="Arial" w:cs="Arial"/>
          <w:b/>
        </w:rPr>
        <w:t>References:</w:t>
      </w:r>
    </w:p>
    <w:p w:rsidR="00C66CA8" w:rsidRDefault="00C66CA8" w:rsidP="008F1698">
      <w:pPr>
        <w:spacing w:after="0" w:line="240" w:lineRule="auto"/>
        <w:rPr>
          <w:rFonts w:ascii="Arial" w:hAnsi="Arial" w:cs="Arial"/>
        </w:rPr>
      </w:pPr>
      <w:r w:rsidRPr="00D17DBE">
        <w:rPr>
          <w:rFonts w:ascii="Arial" w:hAnsi="Arial" w:cs="Arial"/>
        </w:rPr>
        <w:t>AABB Standards for Blood Banks and Transfusion Services, Current Edition</w:t>
      </w:r>
    </w:p>
    <w:p w:rsidR="005C5AC8" w:rsidRDefault="005C5AC8" w:rsidP="008F16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Technical Manual, Current Edition</w:t>
      </w:r>
    </w:p>
    <w:p w:rsidR="00077E86" w:rsidRDefault="00C261DA" w:rsidP="008F16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077E86">
        <w:rPr>
          <w:rFonts w:ascii="Arial" w:hAnsi="Arial" w:cs="Arial"/>
        </w:rPr>
        <w:t>Regulations A to Z for Blood and HCT/PS</w:t>
      </w:r>
      <w:r>
        <w:rPr>
          <w:rFonts w:ascii="Arial" w:hAnsi="Arial" w:cs="Arial"/>
        </w:rPr>
        <w:t>”</w:t>
      </w:r>
      <w:r w:rsidR="00077E86">
        <w:rPr>
          <w:rFonts w:ascii="Arial" w:hAnsi="Arial" w:cs="Arial"/>
        </w:rPr>
        <w:t>, 9</w:t>
      </w:r>
      <w:r w:rsidR="00077E86" w:rsidRPr="00077E86">
        <w:rPr>
          <w:rFonts w:ascii="Arial" w:hAnsi="Arial" w:cs="Arial"/>
          <w:vertAlign w:val="superscript"/>
        </w:rPr>
        <w:t>th</w:t>
      </w:r>
      <w:r w:rsidR="00077E86">
        <w:rPr>
          <w:rFonts w:ascii="Arial" w:hAnsi="Arial" w:cs="Arial"/>
        </w:rPr>
        <w:t xml:space="preserve"> Edition, AABB Press</w:t>
      </w:r>
    </w:p>
    <w:p w:rsidR="00077E86" w:rsidRPr="00DB03EA" w:rsidRDefault="00077E86" w:rsidP="008F16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Code of Federal Regulations, 42 CFR</w:t>
      </w:r>
      <w:r w:rsidR="0080285B">
        <w:rPr>
          <w:rFonts w:ascii="Arial" w:hAnsi="Arial" w:cs="Arial"/>
        </w:rPr>
        <w:t xml:space="preserve"> and 21 CFR</w:t>
      </w:r>
    </w:p>
    <w:sectPr w:rsidR="00077E86" w:rsidRPr="00DB03EA" w:rsidSect="00F522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990" w:header="720" w:footer="5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EE" w:rsidRDefault="006A04EE" w:rsidP="00801BD8">
      <w:pPr>
        <w:spacing w:after="0" w:line="240" w:lineRule="auto"/>
      </w:pPr>
      <w:r>
        <w:separator/>
      </w:r>
    </w:p>
  </w:endnote>
  <w:endnote w:type="continuationSeparator" w:id="0">
    <w:p w:rsidR="006A04EE" w:rsidRDefault="006A04EE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696680" w:rsidRDefault="00C66CA8">
    <w:pPr>
      <w:pStyle w:val="Footer"/>
      <w:rPr>
        <w:rFonts w:ascii="Arial" w:hAnsi="Arial" w:cs="Arial"/>
        <w:b/>
        <w:sz w:val="20"/>
        <w:szCs w:val="20"/>
      </w:rPr>
    </w:pPr>
    <w:r w:rsidRPr="00696680">
      <w:rPr>
        <w:rFonts w:ascii="Arial" w:hAnsi="Arial" w:cs="Arial"/>
        <w:sz w:val="20"/>
        <w:szCs w:val="20"/>
      </w:rPr>
      <w:t>Transfusion Services Laboratory</w:t>
    </w:r>
    <w:r w:rsidRPr="00696680">
      <w:rPr>
        <w:rFonts w:ascii="Arial" w:hAnsi="Arial" w:cs="Arial"/>
        <w:sz w:val="20"/>
        <w:szCs w:val="20"/>
      </w:rPr>
      <w:tab/>
    </w:r>
    <w:r w:rsidRPr="00696680">
      <w:rPr>
        <w:rFonts w:ascii="Arial" w:hAnsi="Arial" w:cs="Arial"/>
        <w:sz w:val="20"/>
        <w:szCs w:val="20"/>
      </w:rPr>
      <w:tab/>
      <w:t xml:space="preserve">Page </w:t>
    </w:r>
    <w:r w:rsidR="007A3991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PAGE </w:instrText>
    </w:r>
    <w:r w:rsidR="007A3991" w:rsidRPr="00696680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="007A3991" w:rsidRPr="00696680">
      <w:rPr>
        <w:rFonts w:ascii="Arial" w:hAnsi="Arial" w:cs="Arial"/>
        <w:b/>
        <w:sz w:val="20"/>
        <w:szCs w:val="20"/>
      </w:rPr>
      <w:fldChar w:fldCharType="end"/>
    </w:r>
    <w:r w:rsidRPr="00696680">
      <w:rPr>
        <w:rFonts w:ascii="Arial" w:hAnsi="Arial" w:cs="Arial"/>
        <w:sz w:val="20"/>
        <w:szCs w:val="20"/>
      </w:rPr>
      <w:t xml:space="preserve"> of </w:t>
    </w:r>
    <w:r w:rsidR="007A3991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NUMPAGES  </w:instrText>
    </w:r>
    <w:r w:rsidR="007A3991" w:rsidRPr="00696680">
      <w:rPr>
        <w:rFonts w:ascii="Arial" w:hAnsi="Arial" w:cs="Arial"/>
        <w:b/>
        <w:sz w:val="20"/>
        <w:szCs w:val="20"/>
      </w:rPr>
      <w:fldChar w:fldCharType="separate"/>
    </w:r>
    <w:r w:rsidR="009D2A45">
      <w:rPr>
        <w:rFonts w:ascii="Arial" w:hAnsi="Arial" w:cs="Arial"/>
        <w:b/>
        <w:noProof/>
        <w:sz w:val="20"/>
        <w:szCs w:val="20"/>
      </w:rPr>
      <w:t>3</w:t>
    </w:r>
    <w:r w:rsidR="007A3991" w:rsidRPr="00696680">
      <w:rPr>
        <w:rFonts w:ascii="Arial" w:hAnsi="Arial" w:cs="Arial"/>
        <w:b/>
        <w:sz w:val="20"/>
        <w:szCs w:val="20"/>
      </w:rPr>
      <w:fldChar w:fldCharType="end"/>
    </w:r>
  </w:p>
  <w:p w:rsidR="00C66CA8" w:rsidRPr="00696680" w:rsidRDefault="00C66CA8">
    <w:pPr>
      <w:pStyle w:val="Footer"/>
      <w:rPr>
        <w:rFonts w:ascii="Arial" w:hAnsi="Arial" w:cs="Arial"/>
        <w:sz w:val="20"/>
        <w:szCs w:val="20"/>
      </w:rPr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 w:rsidRPr="00696680">
            <w:rPr>
              <w:rFonts w:ascii="Arial" w:hAnsi="Arial" w:cs="Arial"/>
              <w:sz w:val="20"/>
              <w:szCs w:val="20"/>
            </w:rPr>
            <w:t>Harborview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696680">
            <w:rPr>
              <w:rFonts w:ascii="Arial" w:hAnsi="Arial" w:cs="Arial"/>
              <w:sz w:val="20"/>
              <w:szCs w:val="20"/>
            </w:rPr>
            <w:t>Medical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696680"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 w:rsidRPr="00696680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696680">
          <w:rPr>
            <w:rFonts w:ascii="Arial" w:hAnsi="Arial" w:cs="Arial"/>
            <w:sz w:val="20"/>
            <w:szCs w:val="20"/>
          </w:rPr>
          <w:t>325 Ninth Ave.</w:t>
        </w:r>
      </w:smartTag>
    </w:smartTag>
    <w:r w:rsidRPr="00696680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696680">
            <w:rPr>
              <w:rFonts w:ascii="Arial" w:hAnsi="Arial" w:cs="Arial"/>
              <w:sz w:val="20"/>
              <w:szCs w:val="20"/>
            </w:rPr>
            <w:t>Seattle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696680">
            <w:rPr>
              <w:rFonts w:ascii="Arial" w:hAnsi="Arial" w:cs="Arial"/>
              <w:sz w:val="20"/>
              <w:szCs w:val="20"/>
            </w:rPr>
            <w:t>WA</w:t>
          </w:r>
        </w:smartTag>
        <w:r w:rsidRPr="0069668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696680"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  <w:p w:rsidR="00C66CA8" w:rsidRDefault="00C66C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8F1698" w:rsidRDefault="00C66CA8" w:rsidP="008F1698">
    <w:pPr>
      <w:spacing w:after="0" w:line="240" w:lineRule="auto"/>
      <w:ind w:hanging="110"/>
      <w:rPr>
        <w:rFonts w:ascii="Arial" w:hAnsi="Arial" w:cs="Arial"/>
        <w:sz w:val="20"/>
        <w:szCs w:val="20"/>
      </w:rPr>
    </w:pPr>
    <w:r w:rsidRPr="008F1698">
      <w:rPr>
        <w:rFonts w:ascii="Arial" w:hAnsi="Arial" w:cs="Arial"/>
        <w:sz w:val="20"/>
        <w:szCs w:val="20"/>
      </w:rPr>
      <w:t>Transfusion Services Laboratory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F1698">
      <w:rPr>
        <w:rFonts w:ascii="Arial" w:hAnsi="Arial" w:cs="Arial"/>
        <w:sz w:val="20"/>
        <w:szCs w:val="20"/>
      </w:rPr>
      <w:t xml:space="preserve">Page </w:t>
    </w:r>
    <w:r w:rsidR="007A3991" w:rsidRPr="008F1698">
      <w:rPr>
        <w:rFonts w:ascii="Arial" w:hAnsi="Arial" w:cs="Arial"/>
        <w:sz w:val="20"/>
        <w:szCs w:val="20"/>
      </w:rPr>
      <w:fldChar w:fldCharType="begin"/>
    </w:r>
    <w:r w:rsidRPr="008F1698">
      <w:rPr>
        <w:rFonts w:ascii="Arial" w:hAnsi="Arial" w:cs="Arial"/>
        <w:sz w:val="20"/>
        <w:szCs w:val="20"/>
      </w:rPr>
      <w:instrText xml:space="preserve"> PAGE </w:instrText>
    </w:r>
    <w:r w:rsidR="007A3991" w:rsidRPr="008F1698">
      <w:rPr>
        <w:rFonts w:ascii="Arial" w:hAnsi="Arial" w:cs="Arial"/>
        <w:sz w:val="20"/>
        <w:szCs w:val="20"/>
      </w:rPr>
      <w:fldChar w:fldCharType="separate"/>
    </w:r>
    <w:r w:rsidR="00D47B7D">
      <w:rPr>
        <w:rFonts w:ascii="Arial" w:hAnsi="Arial" w:cs="Arial"/>
        <w:noProof/>
        <w:sz w:val="20"/>
        <w:szCs w:val="20"/>
      </w:rPr>
      <w:t>3</w:t>
    </w:r>
    <w:r w:rsidR="007A3991" w:rsidRPr="008F1698">
      <w:rPr>
        <w:rFonts w:ascii="Arial" w:hAnsi="Arial" w:cs="Arial"/>
        <w:sz w:val="20"/>
        <w:szCs w:val="20"/>
      </w:rPr>
      <w:fldChar w:fldCharType="end"/>
    </w:r>
    <w:r w:rsidRPr="008F1698">
      <w:rPr>
        <w:rFonts w:ascii="Arial" w:hAnsi="Arial" w:cs="Arial"/>
        <w:sz w:val="20"/>
        <w:szCs w:val="20"/>
      </w:rPr>
      <w:t xml:space="preserve"> of </w:t>
    </w:r>
    <w:r w:rsidR="007A3991" w:rsidRPr="008F1698">
      <w:rPr>
        <w:rFonts w:ascii="Arial" w:hAnsi="Arial" w:cs="Arial"/>
        <w:sz w:val="20"/>
        <w:szCs w:val="20"/>
      </w:rPr>
      <w:fldChar w:fldCharType="begin"/>
    </w:r>
    <w:r w:rsidRPr="008F1698">
      <w:rPr>
        <w:rFonts w:ascii="Arial" w:hAnsi="Arial" w:cs="Arial"/>
        <w:sz w:val="20"/>
        <w:szCs w:val="20"/>
      </w:rPr>
      <w:instrText xml:space="preserve"> NUMPAGES </w:instrText>
    </w:r>
    <w:r w:rsidR="007A3991" w:rsidRPr="008F1698">
      <w:rPr>
        <w:rFonts w:ascii="Arial" w:hAnsi="Arial" w:cs="Arial"/>
        <w:sz w:val="20"/>
        <w:szCs w:val="20"/>
      </w:rPr>
      <w:fldChar w:fldCharType="separate"/>
    </w:r>
    <w:r w:rsidR="00D47B7D">
      <w:rPr>
        <w:rFonts w:ascii="Arial" w:hAnsi="Arial" w:cs="Arial"/>
        <w:noProof/>
        <w:sz w:val="20"/>
        <w:szCs w:val="20"/>
      </w:rPr>
      <w:t>3</w:t>
    </w:r>
    <w:r w:rsidR="007A3991" w:rsidRPr="008F1698">
      <w:rPr>
        <w:rFonts w:ascii="Arial" w:hAnsi="Arial" w:cs="Arial"/>
        <w:sz w:val="20"/>
        <w:szCs w:val="20"/>
      </w:rPr>
      <w:fldChar w:fldCharType="end"/>
    </w:r>
  </w:p>
  <w:p w:rsidR="00C66CA8" w:rsidRPr="008F1698" w:rsidRDefault="00C66CA8" w:rsidP="008F1698">
    <w:pPr>
      <w:spacing w:after="0" w:line="240" w:lineRule="auto"/>
      <w:ind w:hanging="110"/>
      <w:rPr>
        <w:rFonts w:ascii="Arial" w:hAnsi="Arial" w:cs="Arial"/>
        <w:sz w:val="20"/>
        <w:szCs w:val="20"/>
      </w:rPr>
    </w:pPr>
    <w:smartTag w:uri="urn:schemas-microsoft-com:office:smarttags" w:element="PlaceName">
      <w:smartTag w:uri="urn:schemas-microsoft-com:office:smarttags" w:element="place">
        <w:r w:rsidRPr="008F1698">
          <w:rPr>
            <w:rFonts w:ascii="Arial" w:hAnsi="Arial" w:cs="Arial"/>
            <w:sz w:val="20"/>
            <w:szCs w:val="20"/>
          </w:rPr>
          <w:t>Harborview</w:t>
        </w:r>
      </w:smartTag>
      <w:r w:rsidRPr="008F1698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smartTag w:uri="urn:schemas-microsoft-com:office:smarttags" w:element="PlaceName">
          <w:r w:rsidRPr="008F1698">
            <w:rPr>
              <w:rFonts w:ascii="Arial" w:hAnsi="Arial" w:cs="Arial"/>
              <w:sz w:val="20"/>
              <w:szCs w:val="20"/>
            </w:rPr>
            <w:t>Medical</w:t>
          </w:r>
        </w:smartTag>
      </w:smartTag>
      <w:r w:rsidRPr="008F1698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smartTag w:uri="urn:schemas-microsoft-com:office:smarttags" w:element="PlaceType">
          <w:r w:rsidRPr="008F1698">
            <w:rPr>
              <w:rFonts w:ascii="Arial" w:hAnsi="Arial" w:cs="Arial"/>
              <w:sz w:val="20"/>
              <w:szCs w:val="20"/>
            </w:rPr>
            <w:t>Center</w:t>
          </w:r>
        </w:smartTag>
      </w:smartTag>
    </w:smartTag>
    <w:r w:rsidRPr="008F1698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PostalCode">
      <w:smartTag w:uri="urn:schemas-microsoft-com:office:smarttags" w:element="address">
        <w:smartTag w:uri="urn:schemas-microsoft-com:office:smarttags" w:element="Street">
          <w:r w:rsidRPr="008F1698">
            <w:rPr>
              <w:rFonts w:ascii="Arial" w:hAnsi="Arial" w:cs="Arial"/>
              <w:sz w:val="20"/>
              <w:szCs w:val="20"/>
            </w:rPr>
            <w:t>325 Ninth Ave.</w:t>
          </w:r>
        </w:smartTag>
      </w:smartTag>
    </w:smartTag>
    <w:r w:rsidRPr="008F1698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PostalCode">
      <w:smartTag w:uri="urn:schemas-microsoft-com:office:smarttags" w:element="place">
        <w:smartTag w:uri="urn:schemas-microsoft-com:office:smarttags" w:element="City">
          <w:r w:rsidRPr="008F1698">
            <w:rPr>
              <w:rFonts w:ascii="Arial" w:hAnsi="Arial" w:cs="Arial"/>
              <w:sz w:val="20"/>
              <w:szCs w:val="20"/>
            </w:rPr>
            <w:t>Seattle</w:t>
          </w:r>
        </w:smartTag>
      </w:smartTag>
      <w:r w:rsidRPr="008F1698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smartTag w:uri="urn:schemas-microsoft-com:office:smarttags" w:element="State">
          <w:r w:rsidRPr="008F1698">
            <w:rPr>
              <w:rFonts w:ascii="Arial" w:hAnsi="Arial" w:cs="Arial"/>
              <w:sz w:val="20"/>
              <w:szCs w:val="20"/>
            </w:rPr>
            <w:t>WA</w:t>
          </w:r>
        </w:smartTag>
      </w:smartTag>
      <w:r w:rsidRPr="008F1698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8F1698">
          <w:rPr>
            <w:rFonts w:ascii="Arial" w:hAnsi="Arial" w:cs="Arial"/>
            <w:sz w:val="20"/>
            <w:szCs w:val="20"/>
          </w:rPr>
          <w:t>98104</w:t>
        </w:r>
      </w:smartTag>
    </w:smartTag>
  </w:p>
  <w:p w:rsidR="00C66CA8" w:rsidRDefault="00C66C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EE" w:rsidRDefault="006A04EE" w:rsidP="00801BD8">
      <w:pPr>
        <w:spacing w:after="0" w:line="240" w:lineRule="auto"/>
      </w:pPr>
      <w:r>
        <w:separator/>
      </w:r>
    </w:p>
  </w:footnote>
  <w:footnote w:type="continuationSeparator" w:id="0">
    <w:p w:rsidR="006A04EE" w:rsidRDefault="006A04EE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452B46" w:rsidRDefault="00C66CA8">
    <w:pPr>
      <w:pStyle w:val="Header"/>
      <w:rPr>
        <w:rFonts w:ascii="Arial" w:hAnsi="Arial" w:cs="Arial"/>
      </w:rPr>
    </w:pPr>
    <w:r w:rsidRPr="00452B46">
      <w:rPr>
        <w:rFonts w:ascii="Arial" w:hAnsi="Arial" w:cs="Arial"/>
      </w:rPr>
      <w:t>Proficiency Testing Survey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Pr="008F1698" w:rsidRDefault="006A04EE" w:rsidP="009A62DF">
    <w:pPr>
      <w:jc w:val="both"/>
      <w:rPr>
        <w:rFonts w:ascii="Arial" w:hAnsi="Arial" w:cs="Arial"/>
        <w:sz w:val="20"/>
        <w:szCs w:val="20"/>
      </w:rPr>
    </w:pPr>
    <w:sdt>
      <w:sdtPr>
        <w:id w:val="-1002501021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66CA8" w:rsidRPr="009A62DF">
      <w:t xml:space="preserve"> </w:t>
    </w:r>
    <w:r w:rsidR="00C24FB5">
      <w:rPr>
        <w:rFonts w:ascii="Arial" w:hAnsi="Arial" w:cs="Arial"/>
        <w:sz w:val="20"/>
        <w:szCs w:val="20"/>
      </w:rPr>
      <w:t>Competency Testing Process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8" w:rsidRDefault="003E6EC8" w:rsidP="005A3C77">
    <w:pPr>
      <w:spacing w:after="0" w:line="240" w:lineRule="auto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66CA8" w:rsidRPr="00E137C1" w:rsidTr="005A3C77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E137C1">
                  <w:rPr>
                    <w:rFonts w:ascii="Arial" w:hAnsi="Arial" w:cs="Arial"/>
                    <w:b/>
                  </w:rPr>
                  <w:t>University</w:t>
                </w:r>
              </w:smartTag>
            </w:smartTag>
            <w:r w:rsidRPr="00E137C1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E137C1">
                  <w:rPr>
                    <w:rFonts w:ascii="Arial" w:hAnsi="Arial" w:cs="Arial"/>
                    <w:b/>
                  </w:rPr>
                  <w:t>Washington</w:t>
                </w:r>
              </w:smartTag>
            </w:smartTag>
          </w:smartTag>
          <w:r w:rsidRPr="00E137C1">
            <w:rPr>
              <w:rFonts w:ascii="Arial" w:hAnsi="Arial" w:cs="Arial"/>
              <w:b/>
            </w:rPr>
            <w:t xml:space="preserve">, </w:t>
          </w:r>
        </w:p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E137C1">
                  <w:rPr>
                    <w:rFonts w:ascii="Arial" w:hAnsi="Arial" w:cs="Arial"/>
                    <w:b/>
                  </w:rPr>
                  <w:t>Harborview</w:t>
                </w:r>
              </w:smartTag>
            </w:smartTag>
            <w:r w:rsidRPr="00E137C1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E137C1">
                  <w:rPr>
                    <w:rFonts w:ascii="Arial" w:hAnsi="Arial" w:cs="Arial"/>
                    <w:b/>
                  </w:rPr>
                  <w:t>Medical</w:t>
                </w:r>
              </w:smartTag>
            </w:smartTag>
            <w:r w:rsidRPr="00E137C1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E137C1">
                  <w:rPr>
                    <w:rFonts w:ascii="Arial" w:hAnsi="Arial" w:cs="Arial"/>
                    <w:b/>
                  </w:rPr>
                  <w:t>Center</w:t>
                </w:r>
              </w:smartTag>
            </w:smartTag>
          </w:smartTag>
        </w:p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E137C1">
                <w:rPr>
                  <w:rFonts w:ascii="Arial" w:hAnsi="Arial" w:cs="Arial"/>
                  <w:b/>
                </w:rPr>
                <w:t>325 9</w:t>
              </w:r>
              <w:r w:rsidRPr="00E137C1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E137C1">
                <w:rPr>
                  <w:rFonts w:ascii="Arial" w:hAnsi="Arial" w:cs="Arial"/>
                  <w:b/>
                </w:rPr>
                <w:t xml:space="preserve"> Ave.</w:t>
              </w:r>
            </w:smartTag>
          </w:smartTag>
          <w:r w:rsidRPr="00E137C1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ostalCode">
            <w:r w:rsidRPr="00E137C1">
              <w:rPr>
                <w:rFonts w:ascii="Arial" w:hAnsi="Arial" w:cs="Arial"/>
                <w:b/>
              </w:rPr>
              <w:t>Seattle</w:t>
            </w:r>
          </w:smartTag>
          <w:r w:rsidRPr="00E137C1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PostalCode">
            <w:r w:rsidRPr="00E137C1">
              <w:rPr>
                <w:rFonts w:ascii="Arial" w:hAnsi="Arial" w:cs="Arial"/>
                <w:b/>
              </w:rPr>
              <w:t>WA</w:t>
            </w:r>
          </w:smartTag>
          <w:r w:rsidRPr="00E137C1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E137C1">
              <w:rPr>
                <w:rFonts w:ascii="Arial" w:hAnsi="Arial" w:cs="Arial"/>
                <w:b/>
              </w:rPr>
              <w:t>98104</w:t>
            </w:r>
          </w:smartTag>
        </w:p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>Transfusion Services Laboratory</w:t>
          </w:r>
        </w:p>
        <w:p w:rsidR="00C66CA8" w:rsidRPr="00E137C1" w:rsidRDefault="00C66CA8" w:rsidP="00841A97">
          <w:pPr>
            <w:spacing w:after="0" w:line="240" w:lineRule="auto"/>
            <w:rPr>
              <w:b/>
            </w:rPr>
          </w:pPr>
          <w:r w:rsidRPr="00E137C1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>Original Effective Date:</w:t>
          </w:r>
        </w:p>
        <w:p w:rsidR="00C66CA8" w:rsidRPr="00E137C1" w:rsidRDefault="00C66CA8" w:rsidP="001E0DC0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E137C1">
            <w:rPr>
              <w:rFonts w:ascii="Arial" w:hAnsi="Arial" w:cs="Arial"/>
              <w:b/>
            </w:rPr>
            <w:t xml:space="preserve"> </w:t>
          </w:r>
          <w:r w:rsidR="00D47B7D">
            <w:rPr>
              <w:rFonts w:ascii="Arial" w:hAnsi="Arial" w:cs="Arial"/>
            </w:rPr>
            <w:t>December 1,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66CA8" w:rsidRPr="00E137C1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 xml:space="preserve">Number: </w:t>
          </w:r>
        </w:p>
        <w:p w:rsidR="00C66CA8" w:rsidRPr="00E137C1" w:rsidRDefault="00D47B7D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1201-1</w:t>
          </w:r>
        </w:p>
      </w:tc>
    </w:tr>
    <w:tr w:rsidR="00C66CA8" w:rsidRPr="00E137C1" w:rsidTr="005A3C77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rPr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>Revision Effective Date:</w:t>
          </w:r>
        </w:p>
        <w:p w:rsidR="00C66CA8" w:rsidRPr="001E1CE7" w:rsidRDefault="001E1CE7" w:rsidP="001E0DC0">
          <w:pPr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 </w:t>
          </w:r>
          <w:r w:rsidR="001E0DC0">
            <w:rPr>
              <w:rFonts w:ascii="Arial" w:hAnsi="Arial" w:cs="Arial"/>
            </w:rPr>
            <w:t xml:space="preserve"> 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66CA8" w:rsidRPr="00E137C1" w:rsidRDefault="00C66CA8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E137C1">
            <w:rPr>
              <w:rFonts w:ascii="Arial" w:hAnsi="Arial" w:cs="Arial"/>
              <w:b/>
            </w:rPr>
            <w:t xml:space="preserve">Pages: </w:t>
          </w:r>
          <w:r w:rsidRPr="00C16475">
            <w:rPr>
              <w:rFonts w:ascii="Arial" w:hAnsi="Arial" w:cs="Arial"/>
            </w:rPr>
            <w:t>3</w:t>
          </w:r>
        </w:p>
      </w:tc>
    </w:tr>
    <w:tr w:rsidR="00C66CA8" w:rsidRPr="00E137C1" w:rsidTr="005A3C77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66CA8" w:rsidRPr="00E137C1" w:rsidRDefault="00C66CA8" w:rsidP="001E0DC0">
          <w:pPr>
            <w:spacing w:after="0" w:line="240" w:lineRule="auto"/>
            <w:rPr>
              <w:sz w:val="28"/>
            </w:rPr>
          </w:pPr>
          <w:r w:rsidRPr="005A3C77">
            <w:rPr>
              <w:rFonts w:ascii="Arial" w:hAnsi="Arial" w:cs="Arial"/>
              <w:sz w:val="28"/>
            </w:rPr>
            <w:t>TITLE:</w:t>
          </w:r>
          <w:r w:rsidRPr="00E137C1">
            <w:rPr>
              <w:sz w:val="28"/>
            </w:rPr>
            <w:t xml:space="preserve">  </w:t>
          </w:r>
          <w:r w:rsidR="001E0DC0">
            <w:rPr>
              <w:rFonts w:ascii="Arial" w:hAnsi="Arial" w:cs="Arial"/>
              <w:sz w:val="28"/>
            </w:rPr>
            <w:t>Competency Testing</w:t>
          </w:r>
          <w:r w:rsidRPr="00E137C1">
            <w:rPr>
              <w:rFonts w:ascii="Arial" w:hAnsi="Arial" w:cs="Arial"/>
              <w:sz w:val="28"/>
            </w:rPr>
            <w:t xml:space="preserve"> Process</w:t>
          </w:r>
        </w:p>
      </w:tc>
    </w:tr>
  </w:tbl>
  <w:p w:rsidR="00C66CA8" w:rsidRPr="009A62DF" w:rsidRDefault="00C66CA8" w:rsidP="009A62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59"/>
    <w:multiLevelType w:val="hybridMultilevel"/>
    <w:tmpl w:val="39444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A1870"/>
    <w:multiLevelType w:val="hybridMultilevel"/>
    <w:tmpl w:val="5FEC6CE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4D3228"/>
    <w:multiLevelType w:val="multilevel"/>
    <w:tmpl w:val="239EE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611C7"/>
    <w:multiLevelType w:val="hybridMultilevel"/>
    <w:tmpl w:val="700AA6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44F92"/>
    <w:multiLevelType w:val="hybridMultilevel"/>
    <w:tmpl w:val="CC68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3304"/>
    <w:multiLevelType w:val="hybridMultilevel"/>
    <w:tmpl w:val="BCD84B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2AE597F"/>
    <w:multiLevelType w:val="hybridMultilevel"/>
    <w:tmpl w:val="8EDAC3E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C383E"/>
    <w:multiLevelType w:val="hybridMultilevel"/>
    <w:tmpl w:val="F8EE4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CE248D"/>
    <w:multiLevelType w:val="hybridMultilevel"/>
    <w:tmpl w:val="DAF2F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41B18"/>
    <w:multiLevelType w:val="hybridMultilevel"/>
    <w:tmpl w:val="60448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00B8C"/>
    <w:multiLevelType w:val="hybridMultilevel"/>
    <w:tmpl w:val="5C7E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E344B"/>
    <w:multiLevelType w:val="hybridMultilevel"/>
    <w:tmpl w:val="DE3C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E56398"/>
    <w:multiLevelType w:val="hybridMultilevel"/>
    <w:tmpl w:val="05BE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041625"/>
    <w:multiLevelType w:val="hybridMultilevel"/>
    <w:tmpl w:val="58C2A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DF6B2B"/>
    <w:multiLevelType w:val="hybridMultilevel"/>
    <w:tmpl w:val="59CC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764F2"/>
    <w:multiLevelType w:val="hybridMultilevel"/>
    <w:tmpl w:val="B842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DF1C23"/>
    <w:multiLevelType w:val="hybridMultilevel"/>
    <w:tmpl w:val="8BD2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157C7"/>
    <w:multiLevelType w:val="hybridMultilevel"/>
    <w:tmpl w:val="8C54E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5D68BD"/>
    <w:multiLevelType w:val="hybridMultilevel"/>
    <w:tmpl w:val="BBE8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7A78B5"/>
    <w:multiLevelType w:val="hybridMultilevel"/>
    <w:tmpl w:val="1D4A038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>
    <w:nsid w:val="417C67A1"/>
    <w:multiLevelType w:val="hybridMultilevel"/>
    <w:tmpl w:val="C406C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2B2B01"/>
    <w:multiLevelType w:val="hybridMultilevel"/>
    <w:tmpl w:val="DD70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BB0531"/>
    <w:multiLevelType w:val="hybridMultilevel"/>
    <w:tmpl w:val="926EFC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13A6337"/>
    <w:multiLevelType w:val="hybridMultilevel"/>
    <w:tmpl w:val="82E070C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1">
    <w:nsid w:val="5308116B"/>
    <w:multiLevelType w:val="hybridMultilevel"/>
    <w:tmpl w:val="5DCA9F8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4033C3"/>
    <w:multiLevelType w:val="hybridMultilevel"/>
    <w:tmpl w:val="154C6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E187922"/>
    <w:multiLevelType w:val="hybridMultilevel"/>
    <w:tmpl w:val="86BEC8B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5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C1159B"/>
    <w:multiLevelType w:val="hybridMultilevel"/>
    <w:tmpl w:val="FA44A090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8">
    <w:nsid w:val="6A534447"/>
    <w:multiLevelType w:val="hybridMultilevel"/>
    <w:tmpl w:val="5018F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025956"/>
    <w:multiLevelType w:val="multilevel"/>
    <w:tmpl w:val="BCD84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D267CF2"/>
    <w:multiLevelType w:val="hybridMultilevel"/>
    <w:tmpl w:val="64E2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27"/>
  </w:num>
  <w:num w:numId="4">
    <w:abstractNumId w:val="8"/>
  </w:num>
  <w:num w:numId="5">
    <w:abstractNumId w:val="12"/>
  </w:num>
  <w:num w:numId="6">
    <w:abstractNumId w:val="14"/>
  </w:num>
  <w:num w:numId="7">
    <w:abstractNumId w:val="25"/>
  </w:num>
  <w:num w:numId="8">
    <w:abstractNumId w:val="35"/>
  </w:num>
  <w:num w:numId="9">
    <w:abstractNumId w:val="4"/>
  </w:num>
  <w:num w:numId="10">
    <w:abstractNumId w:val="36"/>
  </w:num>
  <w:num w:numId="11">
    <w:abstractNumId w:val="17"/>
  </w:num>
  <w:num w:numId="12">
    <w:abstractNumId w:val="18"/>
  </w:num>
  <w:num w:numId="13">
    <w:abstractNumId w:val="21"/>
  </w:num>
  <w:num w:numId="14">
    <w:abstractNumId w:val="24"/>
  </w:num>
  <w:num w:numId="15">
    <w:abstractNumId w:val="16"/>
  </w:num>
  <w:num w:numId="16">
    <w:abstractNumId w:val="38"/>
  </w:num>
  <w:num w:numId="17">
    <w:abstractNumId w:val="10"/>
  </w:num>
  <w:num w:numId="18">
    <w:abstractNumId w:val="13"/>
  </w:num>
  <w:num w:numId="19">
    <w:abstractNumId w:val="22"/>
  </w:num>
  <w:num w:numId="20">
    <w:abstractNumId w:val="26"/>
  </w:num>
  <w:num w:numId="21">
    <w:abstractNumId w:val="19"/>
  </w:num>
  <w:num w:numId="22">
    <w:abstractNumId w:val="15"/>
  </w:num>
  <w:num w:numId="23">
    <w:abstractNumId w:val="40"/>
  </w:num>
  <w:num w:numId="24">
    <w:abstractNumId w:val="29"/>
  </w:num>
  <w:num w:numId="25">
    <w:abstractNumId w:val="6"/>
  </w:num>
  <w:num w:numId="26">
    <w:abstractNumId w:val="33"/>
  </w:num>
  <w:num w:numId="27">
    <w:abstractNumId w:val="11"/>
  </w:num>
  <w:num w:numId="28">
    <w:abstractNumId w:val="3"/>
  </w:num>
  <w:num w:numId="29">
    <w:abstractNumId w:val="9"/>
  </w:num>
  <w:num w:numId="30">
    <w:abstractNumId w:val="39"/>
  </w:num>
  <w:num w:numId="31">
    <w:abstractNumId w:val="0"/>
  </w:num>
  <w:num w:numId="32">
    <w:abstractNumId w:val="2"/>
  </w:num>
  <w:num w:numId="33">
    <w:abstractNumId w:val="37"/>
  </w:num>
  <w:num w:numId="34">
    <w:abstractNumId w:val="1"/>
  </w:num>
  <w:num w:numId="35">
    <w:abstractNumId w:val="23"/>
  </w:num>
  <w:num w:numId="36">
    <w:abstractNumId w:val="20"/>
  </w:num>
  <w:num w:numId="37">
    <w:abstractNumId w:val="5"/>
  </w:num>
  <w:num w:numId="38">
    <w:abstractNumId w:val="34"/>
  </w:num>
  <w:num w:numId="39">
    <w:abstractNumId w:val="31"/>
  </w:num>
  <w:num w:numId="40">
    <w:abstractNumId w:val="30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D8"/>
    <w:rsid w:val="0001440A"/>
    <w:rsid w:val="000359AF"/>
    <w:rsid w:val="00051351"/>
    <w:rsid w:val="0006414C"/>
    <w:rsid w:val="00077E86"/>
    <w:rsid w:val="000F022E"/>
    <w:rsid w:val="000F5C02"/>
    <w:rsid w:val="00102339"/>
    <w:rsid w:val="0013351A"/>
    <w:rsid w:val="00157092"/>
    <w:rsid w:val="001776F7"/>
    <w:rsid w:val="00190633"/>
    <w:rsid w:val="001E0DC0"/>
    <w:rsid w:val="001E1CE7"/>
    <w:rsid w:val="00243171"/>
    <w:rsid w:val="00247072"/>
    <w:rsid w:val="00282A9F"/>
    <w:rsid w:val="002E44F7"/>
    <w:rsid w:val="003046AB"/>
    <w:rsid w:val="0031426E"/>
    <w:rsid w:val="003346FB"/>
    <w:rsid w:val="00351786"/>
    <w:rsid w:val="003539D0"/>
    <w:rsid w:val="003700C1"/>
    <w:rsid w:val="003C3D1E"/>
    <w:rsid w:val="003E6EC8"/>
    <w:rsid w:val="00407914"/>
    <w:rsid w:val="004202A6"/>
    <w:rsid w:val="00452B46"/>
    <w:rsid w:val="0047178D"/>
    <w:rsid w:val="00492D71"/>
    <w:rsid w:val="00495A0F"/>
    <w:rsid w:val="004B1C98"/>
    <w:rsid w:val="004B4134"/>
    <w:rsid w:val="00503B3E"/>
    <w:rsid w:val="00560E21"/>
    <w:rsid w:val="005A22AB"/>
    <w:rsid w:val="005A3C77"/>
    <w:rsid w:val="005C5AC8"/>
    <w:rsid w:val="00601A92"/>
    <w:rsid w:val="0065400A"/>
    <w:rsid w:val="00657D53"/>
    <w:rsid w:val="006735EF"/>
    <w:rsid w:val="00685821"/>
    <w:rsid w:val="00692372"/>
    <w:rsid w:val="00696680"/>
    <w:rsid w:val="006A04EE"/>
    <w:rsid w:val="006B2FEC"/>
    <w:rsid w:val="006C6AD7"/>
    <w:rsid w:val="00766254"/>
    <w:rsid w:val="00787541"/>
    <w:rsid w:val="007A0FAA"/>
    <w:rsid w:val="007A3991"/>
    <w:rsid w:val="007B4F41"/>
    <w:rsid w:val="007C0475"/>
    <w:rsid w:val="00801BD8"/>
    <w:rsid w:val="0080285B"/>
    <w:rsid w:val="00807B60"/>
    <w:rsid w:val="00841A97"/>
    <w:rsid w:val="008A6E5D"/>
    <w:rsid w:val="008A7574"/>
    <w:rsid w:val="008D0220"/>
    <w:rsid w:val="008E245E"/>
    <w:rsid w:val="008E3CEA"/>
    <w:rsid w:val="008F1698"/>
    <w:rsid w:val="00900709"/>
    <w:rsid w:val="00924442"/>
    <w:rsid w:val="0095556F"/>
    <w:rsid w:val="0096723C"/>
    <w:rsid w:val="00983760"/>
    <w:rsid w:val="009A62DF"/>
    <w:rsid w:val="009D2A45"/>
    <w:rsid w:val="009E4942"/>
    <w:rsid w:val="009F1519"/>
    <w:rsid w:val="00A548EC"/>
    <w:rsid w:val="00A85BAA"/>
    <w:rsid w:val="00A95E32"/>
    <w:rsid w:val="00AA08AC"/>
    <w:rsid w:val="00AC68E4"/>
    <w:rsid w:val="00AC6CD1"/>
    <w:rsid w:val="00AD74AA"/>
    <w:rsid w:val="00AE687A"/>
    <w:rsid w:val="00AF49B3"/>
    <w:rsid w:val="00B44C6A"/>
    <w:rsid w:val="00B45120"/>
    <w:rsid w:val="00B74DBF"/>
    <w:rsid w:val="00B94CA0"/>
    <w:rsid w:val="00C16475"/>
    <w:rsid w:val="00C21F6C"/>
    <w:rsid w:val="00C24FB5"/>
    <w:rsid w:val="00C261DA"/>
    <w:rsid w:val="00C2794C"/>
    <w:rsid w:val="00C4129F"/>
    <w:rsid w:val="00C47B43"/>
    <w:rsid w:val="00C5439E"/>
    <w:rsid w:val="00C66CA8"/>
    <w:rsid w:val="00C85358"/>
    <w:rsid w:val="00D17DBE"/>
    <w:rsid w:val="00D31F56"/>
    <w:rsid w:val="00D477CF"/>
    <w:rsid w:val="00D47B7D"/>
    <w:rsid w:val="00DA150E"/>
    <w:rsid w:val="00DA4A2B"/>
    <w:rsid w:val="00DB03EA"/>
    <w:rsid w:val="00DB5584"/>
    <w:rsid w:val="00DD6765"/>
    <w:rsid w:val="00DD7CDA"/>
    <w:rsid w:val="00DE08A9"/>
    <w:rsid w:val="00DE6292"/>
    <w:rsid w:val="00E137C1"/>
    <w:rsid w:val="00E354D5"/>
    <w:rsid w:val="00E754B7"/>
    <w:rsid w:val="00EA08D6"/>
    <w:rsid w:val="00EA0B8A"/>
    <w:rsid w:val="00EA4020"/>
    <w:rsid w:val="00EB06E1"/>
    <w:rsid w:val="00ED5C13"/>
    <w:rsid w:val="00EE5042"/>
    <w:rsid w:val="00F30323"/>
    <w:rsid w:val="00F40788"/>
    <w:rsid w:val="00F52252"/>
    <w:rsid w:val="00F530C0"/>
    <w:rsid w:val="00F674CD"/>
    <w:rsid w:val="00F869F4"/>
    <w:rsid w:val="00F93A30"/>
    <w:rsid w:val="00F94825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 </vt:lpstr>
    </vt:vector>
  </TitlesOfParts>
  <Company>UWMC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 </dc:title>
  <dc:subject/>
  <dc:creator>rgary</dc:creator>
  <cp:keywords/>
  <dc:description/>
  <cp:lastModifiedBy>Brenda Hayden</cp:lastModifiedBy>
  <cp:revision>2</cp:revision>
  <cp:lastPrinted>2013-08-08T17:47:00Z</cp:lastPrinted>
  <dcterms:created xsi:type="dcterms:W3CDTF">2013-11-15T20:43:00Z</dcterms:created>
  <dcterms:modified xsi:type="dcterms:W3CDTF">2013-11-15T20:43:00Z</dcterms:modified>
</cp:coreProperties>
</file>