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9E31A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</w:t>
      </w:r>
    </w:p>
    <w:p w:rsidR="009E31A6" w:rsidRDefault="009E31A6">
      <w:pPr>
        <w:rPr>
          <w:rFonts w:ascii="Arial" w:hAnsi="Arial" w:cs="Arial"/>
          <w:b/>
          <w:sz w:val="22"/>
          <w:szCs w:val="22"/>
        </w:rPr>
      </w:pPr>
    </w:p>
    <w:p w:rsidR="009E31A6" w:rsidRDefault="009E31A6" w:rsidP="009E31A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describe the process for assessing regulatory changes for impact to operations.</w:t>
      </w:r>
      <w:proofErr w:type="gramEnd"/>
      <w:r w:rsidR="008E1FF4">
        <w:rPr>
          <w:rFonts w:ascii="Arial" w:hAnsi="Arial" w:cs="Arial"/>
          <w:sz w:val="22"/>
          <w:szCs w:val="22"/>
        </w:rPr>
        <w:t xml:space="preserve"> </w:t>
      </w:r>
    </w:p>
    <w:p w:rsidR="009E31A6" w:rsidRDefault="009E31A6" w:rsidP="009E31A6">
      <w:pPr>
        <w:rPr>
          <w:rFonts w:ascii="Arial" w:hAnsi="Arial" w:cs="Arial"/>
          <w:sz w:val="22"/>
          <w:szCs w:val="22"/>
        </w:rPr>
      </w:pPr>
    </w:p>
    <w:p w:rsidR="001065F9" w:rsidRDefault="009E31A6" w:rsidP="009E31A6">
      <w:pPr>
        <w:rPr>
          <w:rFonts w:ascii="Arial" w:hAnsi="Arial" w:cs="Arial"/>
          <w:b/>
          <w:sz w:val="22"/>
          <w:szCs w:val="22"/>
        </w:rPr>
      </w:pPr>
      <w:r w:rsidRPr="009E31A6">
        <w:rPr>
          <w:rFonts w:ascii="Arial" w:hAnsi="Arial" w:cs="Arial"/>
          <w:b/>
          <w:sz w:val="22"/>
          <w:szCs w:val="22"/>
        </w:rPr>
        <w:t xml:space="preserve">Background </w:t>
      </w:r>
    </w:p>
    <w:p w:rsidR="009E31A6" w:rsidRDefault="009E31A6" w:rsidP="009E31A6">
      <w:pPr>
        <w:rPr>
          <w:rFonts w:ascii="Arial" w:hAnsi="Arial" w:cs="Arial"/>
          <w:b/>
          <w:sz w:val="22"/>
          <w:szCs w:val="22"/>
        </w:rPr>
      </w:pPr>
    </w:p>
    <w:p w:rsidR="009E31A6" w:rsidRPr="00D71A61" w:rsidRDefault="009E31A6" w:rsidP="009E31A6">
      <w:pPr>
        <w:rPr>
          <w:rFonts w:ascii="Arial" w:hAnsi="Arial" w:cs="Arial"/>
          <w:sz w:val="22"/>
          <w:szCs w:val="22"/>
        </w:rPr>
      </w:pPr>
      <w:r w:rsidRPr="00D71A61">
        <w:rPr>
          <w:rFonts w:ascii="Arial" w:hAnsi="Arial" w:cs="Arial"/>
          <w:sz w:val="22"/>
          <w:szCs w:val="22"/>
        </w:rPr>
        <w:t xml:space="preserve">The Harborview Transfusion Service maintains compliance with </w:t>
      </w:r>
      <w:r w:rsidR="008E1FF4" w:rsidRPr="00D71A61">
        <w:rPr>
          <w:rFonts w:ascii="Arial" w:hAnsi="Arial" w:cs="Arial"/>
          <w:sz w:val="22"/>
          <w:szCs w:val="22"/>
        </w:rPr>
        <w:t xml:space="preserve">current </w:t>
      </w:r>
      <w:r w:rsidRPr="00D71A61">
        <w:rPr>
          <w:rFonts w:ascii="Arial" w:hAnsi="Arial" w:cs="Arial"/>
          <w:sz w:val="22"/>
          <w:szCs w:val="22"/>
        </w:rPr>
        <w:t>regulatory requirements as documented in the following:</w:t>
      </w:r>
    </w:p>
    <w:p w:rsidR="009E31A6" w:rsidRPr="00D71A61" w:rsidRDefault="008E1FF4" w:rsidP="009E31A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71A61">
        <w:rPr>
          <w:rFonts w:ascii="Arial" w:hAnsi="Arial" w:cs="Arial"/>
          <w:sz w:val="22"/>
          <w:szCs w:val="22"/>
        </w:rPr>
        <w:t>College of American Pathologists Accreditation Checklists.</w:t>
      </w:r>
    </w:p>
    <w:p w:rsidR="008E1FF4" w:rsidRPr="00D71A61" w:rsidRDefault="008E1FF4" w:rsidP="00D71A6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71A61">
        <w:rPr>
          <w:rFonts w:ascii="Arial" w:hAnsi="Arial" w:cs="Arial"/>
          <w:sz w:val="22"/>
          <w:szCs w:val="22"/>
        </w:rPr>
        <w:t>Standards for Blood Banks and Transfusion Services, AABB</w:t>
      </w:r>
    </w:p>
    <w:p w:rsidR="008E1FF4" w:rsidRPr="00B877B6" w:rsidRDefault="00B877B6" w:rsidP="008E1FF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877B6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 xml:space="preserve">ode of </w:t>
      </w:r>
      <w:r w:rsidRPr="00B877B6">
        <w:rPr>
          <w:rFonts w:ascii="Arial" w:hAnsi="Arial" w:cs="Arial"/>
          <w:sz w:val="22"/>
        </w:rPr>
        <w:t>F</w:t>
      </w:r>
      <w:r>
        <w:rPr>
          <w:rFonts w:ascii="Arial" w:hAnsi="Arial" w:cs="Arial"/>
          <w:sz w:val="22"/>
        </w:rPr>
        <w:t xml:space="preserve">ederal </w:t>
      </w:r>
      <w:r w:rsidRPr="00B877B6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egulations,</w:t>
      </w:r>
      <w:r w:rsidRPr="00B877B6">
        <w:rPr>
          <w:rFonts w:ascii="Arial" w:hAnsi="Arial" w:cs="Arial"/>
          <w:sz w:val="22"/>
        </w:rPr>
        <w:t xml:space="preserve"> 21 Parts 200 to 299, parts 600-799</w:t>
      </w:r>
    </w:p>
    <w:p w:rsidR="00B877B6" w:rsidRPr="00B877B6" w:rsidRDefault="00D71A61" w:rsidP="008E1FF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Circular of Information</w:t>
      </w:r>
      <w:r w:rsidR="00B877B6">
        <w:rPr>
          <w:rFonts w:ascii="Arial" w:hAnsi="Arial" w:cs="Arial"/>
          <w:sz w:val="22"/>
        </w:rPr>
        <w:t xml:space="preserve"> </w:t>
      </w:r>
    </w:p>
    <w:p w:rsidR="00B877B6" w:rsidRPr="00B877B6" w:rsidRDefault="00B877B6" w:rsidP="00B877B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E31A6" w:rsidRPr="009E31A6" w:rsidRDefault="008E1FF4" w:rsidP="00D71A61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7290"/>
        <w:gridCol w:w="2430"/>
      </w:tblGrid>
      <w:tr w:rsidR="008E1FF4" w:rsidTr="00D71A61">
        <w:tc>
          <w:tcPr>
            <w:tcW w:w="1008" w:type="dxa"/>
          </w:tcPr>
          <w:p w:rsidR="008E1FF4" w:rsidRPr="008E1FF4" w:rsidRDefault="008E1FF4" w:rsidP="008E1F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</w:tcPr>
          <w:p w:rsidR="008E1FF4" w:rsidRPr="008E1FF4" w:rsidRDefault="008E1FF4" w:rsidP="008E1F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430" w:type="dxa"/>
          </w:tcPr>
          <w:p w:rsidR="008E1FF4" w:rsidRPr="008E1FF4" w:rsidRDefault="008E1FF4" w:rsidP="008E1F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E1FF4" w:rsidTr="00D71A61">
        <w:tc>
          <w:tcPr>
            <w:tcW w:w="1008" w:type="dxa"/>
          </w:tcPr>
          <w:p w:rsidR="008E1FF4" w:rsidRDefault="008E1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8E1FF4" w:rsidRPr="00B877B6" w:rsidRDefault="008E1FF4" w:rsidP="00B877B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877B6">
              <w:rPr>
                <w:rFonts w:ascii="Arial" w:hAnsi="Arial" w:cs="Arial"/>
                <w:sz w:val="22"/>
                <w:szCs w:val="22"/>
              </w:rPr>
              <w:t>When new regulations ar</w:t>
            </w:r>
            <w:r w:rsidR="00F61509" w:rsidRPr="00B877B6">
              <w:rPr>
                <w:rFonts w:ascii="Arial" w:hAnsi="Arial" w:cs="Arial"/>
                <w:sz w:val="22"/>
                <w:szCs w:val="22"/>
              </w:rPr>
              <w:t>e released via CAP checklist,</w:t>
            </w:r>
            <w:r w:rsidRPr="00B877B6">
              <w:rPr>
                <w:rFonts w:ascii="Arial" w:hAnsi="Arial" w:cs="Arial"/>
                <w:sz w:val="22"/>
                <w:szCs w:val="22"/>
              </w:rPr>
              <w:t xml:space="preserve"> new AABB standards, </w:t>
            </w:r>
            <w:r w:rsidR="00D71A61">
              <w:rPr>
                <w:rFonts w:ascii="Arial" w:hAnsi="Arial" w:cs="Arial"/>
                <w:sz w:val="22"/>
                <w:szCs w:val="22"/>
              </w:rPr>
              <w:t xml:space="preserve">Circular of Information, </w:t>
            </w:r>
            <w:r w:rsidRPr="00B877B6">
              <w:rPr>
                <w:rFonts w:ascii="Arial" w:hAnsi="Arial" w:cs="Arial"/>
                <w:sz w:val="22"/>
                <w:szCs w:val="22"/>
              </w:rPr>
              <w:t>or FDA published guidance</w:t>
            </w:r>
            <w:r w:rsidR="00F61509" w:rsidRPr="00B877B6">
              <w:rPr>
                <w:rFonts w:ascii="Arial" w:hAnsi="Arial" w:cs="Arial"/>
                <w:sz w:val="22"/>
                <w:szCs w:val="22"/>
              </w:rPr>
              <w:t>, the Quality Coordinator, Manager, or Lead will review the new regulations for changes and impacts.</w:t>
            </w:r>
          </w:p>
          <w:p w:rsidR="00F61509" w:rsidRPr="00F61509" w:rsidRDefault="00F61509" w:rsidP="00B877B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8E1FF4" w:rsidRPr="00B877B6" w:rsidRDefault="008E1FF4" w:rsidP="00B87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877B6">
              <w:rPr>
                <w:rFonts w:ascii="Arial" w:hAnsi="Arial" w:cs="Arial"/>
                <w:sz w:val="22"/>
                <w:szCs w:val="22"/>
              </w:rPr>
              <w:t>Annual Regulatory Update Schedule</w:t>
            </w:r>
          </w:p>
        </w:tc>
      </w:tr>
      <w:tr w:rsidR="008E1FF4" w:rsidTr="00D71A61">
        <w:tc>
          <w:tcPr>
            <w:tcW w:w="1008" w:type="dxa"/>
          </w:tcPr>
          <w:p w:rsidR="008E1FF4" w:rsidRDefault="008E1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B877B6" w:rsidRDefault="00B877B6" w:rsidP="00B87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change will be compared side by side with any previous requirement, if applicable.</w:t>
            </w:r>
          </w:p>
          <w:p w:rsidR="008E1FF4" w:rsidRDefault="008E1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8E1FF4" w:rsidRDefault="008E1F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FF4" w:rsidTr="00D71A61">
        <w:tc>
          <w:tcPr>
            <w:tcW w:w="1008" w:type="dxa"/>
          </w:tcPr>
          <w:p w:rsidR="008E1FF4" w:rsidRDefault="008E1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B877B6" w:rsidRDefault="00D71A61" w:rsidP="00B87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Impacted</w:t>
            </w:r>
            <w:r w:rsidR="00B877B6">
              <w:rPr>
                <w:rFonts w:ascii="Arial" w:hAnsi="Arial" w:cs="Arial"/>
                <w:sz w:val="22"/>
                <w:szCs w:val="22"/>
              </w:rPr>
              <w:t xml:space="preserve"> TSL process, procedure, or policy will be reviewed for compliance with new regulation.</w:t>
            </w:r>
          </w:p>
          <w:p w:rsidR="008E1FF4" w:rsidRDefault="008E1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8E1FF4" w:rsidRDefault="008E1F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FF4" w:rsidTr="00D71A61">
        <w:tc>
          <w:tcPr>
            <w:tcW w:w="1008" w:type="dxa"/>
          </w:tcPr>
          <w:p w:rsidR="008E1FF4" w:rsidRDefault="008E1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B877B6" w:rsidRDefault="00B877B6" w:rsidP="00B87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gaps will be analyzed, and a plan for reaching compliance will be documented on the Regulatory Change Review Form.</w:t>
            </w:r>
          </w:p>
          <w:p w:rsidR="008E1FF4" w:rsidRDefault="008E1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8E1FF4" w:rsidRPr="00B877B6" w:rsidRDefault="00B877B6" w:rsidP="00B87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877B6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egulatory Change Review Form</w:t>
            </w:r>
          </w:p>
        </w:tc>
      </w:tr>
      <w:tr w:rsidR="00B877B6" w:rsidTr="00D71A61">
        <w:tc>
          <w:tcPr>
            <w:tcW w:w="1008" w:type="dxa"/>
          </w:tcPr>
          <w:p w:rsidR="00B877B6" w:rsidRDefault="00B87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B877B6" w:rsidRDefault="00B877B6" w:rsidP="00B87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process or document impacted will be listed on the form.</w:t>
            </w:r>
          </w:p>
          <w:p w:rsidR="00B877B6" w:rsidRDefault="00B877B6" w:rsidP="00B877B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B877B6" w:rsidRDefault="00B877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7B6" w:rsidTr="00D71A61">
        <w:tc>
          <w:tcPr>
            <w:tcW w:w="1008" w:type="dxa"/>
          </w:tcPr>
          <w:p w:rsidR="00B877B6" w:rsidRDefault="00B87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B877B6" w:rsidRDefault="00B877B6" w:rsidP="00B87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changes will be addressed by revision or additions to policies, processes, or procedures.</w:t>
            </w:r>
          </w:p>
          <w:p w:rsidR="00B877B6" w:rsidRDefault="00B877B6" w:rsidP="00B877B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B877B6" w:rsidRDefault="00B877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19C" w:rsidTr="00D71A61">
        <w:tc>
          <w:tcPr>
            <w:tcW w:w="1008" w:type="dxa"/>
          </w:tcPr>
          <w:p w:rsidR="0080719C" w:rsidRDefault="008071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79342C" w:rsidRDefault="0080719C" w:rsidP="00B87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19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 Training Plan will be developed and implemented in accordance with current policy.   </w:t>
            </w:r>
          </w:p>
          <w:p w:rsidR="0080719C" w:rsidRDefault="0080719C" w:rsidP="00B87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19C">
              <w:rPr>
                <w:rFonts w:ascii="Arial" w:hAnsi="Arial" w:cs="Arial"/>
                <w:sz w:val="22"/>
                <w:szCs w:val="22"/>
                <w:highlight w:val="yellow"/>
              </w:rPr>
              <w:t>Competency testing will be administered at six months post change implementation.</w:t>
            </w:r>
          </w:p>
          <w:p w:rsidR="0079342C" w:rsidRPr="0080719C" w:rsidRDefault="0079342C" w:rsidP="0079342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30" w:type="dxa"/>
          </w:tcPr>
          <w:p w:rsidR="0080719C" w:rsidRDefault="0079342C" w:rsidP="00B87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Training Process</w:t>
            </w:r>
          </w:p>
          <w:p w:rsidR="0079342C" w:rsidRDefault="0079342C" w:rsidP="00B87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Training Evaluation Process</w:t>
            </w:r>
          </w:p>
          <w:p w:rsidR="0079342C" w:rsidRDefault="0079342C" w:rsidP="00B87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Competency Testing Process</w:t>
            </w:r>
          </w:p>
          <w:p w:rsidR="0079342C" w:rsidRPr="0080719C" w:rsidRDefault="0079342C" w:rsidP="00B87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342C" w:rsidTr="00D71A61">
        <w:tc>
          <w:tcPr>
            <w:tcW w:w="1008" w:type="dxa"/>
          </w:tcPr>
          <w:p w:rsidR="0079342C" w:rsidRPr="008E1FF4" w:rsidRDefault="0079342C" w:rsidP="005B40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90" w:type="dxa"/>
          </w:tcPr>
          <w:p w:rsidR="0079342C" w:rsidRPr="008E1FF4" w:rsidRDefault="0079342C" w:rsidP="005B40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430" w:type="dxa"/>
          </w:tcPr>
          <w:p w:rsidR="0079342C" w:rsidRPr="008E1FF4" w:rsidRDefault="0079342C" w:rsidP="005B40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9342C" w:rsidTr="00D71A61">
        <w:tc>
          <w:tcPr>
            <w:tcW w:w="1008" w:type="dxa"/>
          </w:tcPr>
          <w:p w:rsidR="0079342C" w:rsidRDefault="00793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79342C" w:rsidRDefault="0079342C" w:rsidP="00B87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changes will be made in accordance with the Change Control Policy.</w:t>
            </w:r>
          </w:p>
          <w:p w:rsidR="0079342C" w:rsidRDefault="0079342C" w:rsidP="00B877B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79342C" w:rsidRPr="00B877B6" w:rsidRDefault="0079342C" w:rsidP="00B87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Policy:  Change Control</w:t>
            </w:r>
          </w:p>
        </w:tc>
      </w:tr>
      <w:tr w:rsidR="0079342C" w:rsidTr="00D71A61">
        <w:tc>
          <w:tcPr>
            <w:tcW w:w="1008" w:type="dxa"/>
          </w:tcPr>
          <w:p w:rsidR="0079342C" w:rsidRDefault="007934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79342C" w:rsidRDefault="0079342C" w:rsidP="00D71A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 all changes are completed, the Quality Coordinator will write a summary report, which will be filed in the Regulatory Review Manual.</w:t>
            </w:r>
          </w:p>
          <w:p w:rsidR="0079342C" w:rsidRPr="00D71A61" w:rsidRDefault="0079342C" w:rsidP="00D71A6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79342C" w:rsidRDefault="007934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footerReference w:type="default" r:id="rId8"/>
      <w:headerReference w:type="first" r:id="rId9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FE" w:rsidRDefault="001A04FE" w:rsidP="009551F8">
      <w:r>
        <w:separator/>
      </w:r>
    </w:p>
  </w:endnote>
  <w:endnote w:type="continuationSeparator" w:id="0">
    <w:p w:rsidR="001A04FE" w:rsidRDefault="001A04FE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338E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338E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FE" w:rsidRDefault="001A04FE" w:rsidP="009551F8">
      <w:r>
        <w:separator/>
      </w:r>
    </w:p>
  </w:footnote>
  <w:footnote w:type="continuationSeparator" w:id="0">
    <w:p w:rsidR="001A04FE" w:rsidRDefault="001A04FE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E338EF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E338EF">
            <w:rPr>
              <w:rFonts w:ascii="Arial" w:hAnsi="Arial" w:cs="Arial"/>
              <w:sz w:val="22"/>
              <w:szCs w:val="22"/>
            </w:rPr>
            <w:t>December 15,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9E31A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1504-1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9E31A6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9E31A6">
            <w:rPr>
              <w:rFonts w:ascii="Arial" w:hAnsi="Arial" w:cs="Arial"/>
              <w:b/>
              <w:sz w:val="28"/>
              <w:szCs w:val="28"/>
            </w:rPr>
            <w:t>Managing Regulatory Changes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7E17"/>
    <w:multiLevelType w:val="hybridMultilevel"/>
    <w:tmpl w:val="D0E21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EF0667"/>
    <w:multiLevelType w:val="hybridMultilevel"/>
    <w:tmpl w:val="9B22F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246E85"/>
    <w:multiLevelType w:val="hybridMultilevel"/>
    <w:tmpl w:val="7542F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4679E3"/>
    <w:multiLevelType w:val="hybridMultilevel"/>
    <w:tmpl w:val="1FEE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04FE"/>
    <w:rsid w:val="001A731F"/>
    <w:rsid w:val="00260E4A"/>
    <w:rsid w:val="003735F1"/>
    <w:rsid w:val="003816DA"/>
    <w:rsid w:val="004D16C5"/>
    <w:rsid w:val="006720F8"/>
    <w:rsid w:val="006E7B0D"/>
    <w:rsid w:val="00750D94"/>
    <w:rsid w:val="007763E7"/>
    <w:rsid w:val="0079342C"/>
    <w:rsid w:val="0080719C"/>
    <w:rsid w:val="008E1FF4"/>
    <w:rsid w:val="008F4BFB"/>
    <w:rsid w:val="00903F57"/>
    <w:rsid w:val="009551F8"/>
    <w:rsid w:val="009D0337"/>
    <w:rsid w:val="009E31A6"/>
    <w:rsid w:val="00B877B6"/>
    <w:rsid w:val="00C6184B"/>
    <w:rsid w:val="00D3281B"/>
    <w:rsid w:val="00D71A61"/>
    <w:rsid w:val="00E338EF"/>
    <w:rsid w:val="00EF25F6"/>
    <w:rsid w:val="00F61509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F2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2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F2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2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Brenda Hayden</cp:lastModifiedBy>
  <cp:revision>2</cp:revision>
  <dcterms:created xsi:type="dcterms:W3CDTF">2013-11-21T22:43:00Z</dcterms:created>
  <dcterms:modified xsi:type="dcterms:W3CDTF">2013-11-21T22:43:00Z</dcterms:modified>
</cp:coreProperties>
</file>