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A" w:rsidRPr="00330398" w:rsidRDefault="009C26EA" w:rsidP="00C86AA9">
      <w:pPr>
        <w:ind w:left="-540" w:right="-180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9C26EA" w:rsidRDefault="009C26EA" w:rsidP="00C86AA9">
      <w:pPr>
        <w:rPr>
          <w:b/>
          <w:u w:val="single"/>
        </w:rPr>
      </w:pPr>
    </w:p>
    <w:p w:rsidR="009C26EA" w:rsidRDefault="009C26EA" w:rsidP="00C86AA9">
      <w:pPr>
        <w:rPr>
          <w:b/>
          <w:u w:val="single"/>
        </w:rPr>
      </w:pPr>
    </w:p>
    <w:p w:rsidR="009C26EA" w:rsidRDefault="009C26EA" w:rsidP="00C86AA9">
      <w:pPr>
        <w:ind w:left="6480" w:right="-1800"/>
      </w:pPr>
      <w:r>
        <w:t>400-02-01-09</w:t>
      </w:r>
    </w:p>
    <w:p w:rsidR="009C26EA" w:rsidRDefault="009C26EA" w:rsidP="00387A2B">
      <w:pPr>
        <w:ind w:left="5760" w:firstLine="720"/>
      </w:pPr>
    </w:p>
    <w:p w:rsidR="009C26EA" w:rsidRPr="00D26371" w:rsidRDefault="009C26EA" w:rsidP="00C86AA9">
      <w:pPr>
        <w:ind w:right="-18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Fanconi's Anemia Breakage Study</w:t>
      </w:r>
    </w:p>
    <w:p w:rsidR="009C26EA" w:rsidRDefault="009C26EA" w:rsidP="00DE1C1C">
      <w:pPr>
        <w:ind w:left="-540"/>
      </w:pPr>
    </w:p>
    <w:p w:rsidR="009C26EA" w:rsidRDefault="009C26EA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9C26EA" w:rsidTr="00DE403F">
        <w:tc>
          <w:tcPr>
            <w:tcW w:w="3348" w:type="dxa"/>
          </w:tcPr>
          <w:p w:rsidR="009C26EA" w:rsidRDefault="009C26EA" w:rsidP="00DE1C1C">
            <w:r>
              <w:t>Adopted Date: 09/04/91</w:t>
            </w:r>
          </w:p>
          <w:p w:rsidR="009C26EA" w:rsidRDefault="009C26EA" w:rsidP="00DE1C1C">
            <w:r>
              <w:t>Review Date: 06/12/09</w:t>
            </w:r>
          </w:p>
          <w:p w:rsidR="009C26EA" w:rsidRDefault="009C26EA" w:rsidP="0075200A">
            <w:r>
              <w:t>Revision Date: 01/28/2013</w:t>
            </w:r>
          </w:p>
        </w:tc>
      </w:tr>
    </w:tbl>
    <w:p w:rsidR="009C26EA" w:rsidRDefault="009C26EA" w:rsidP="00DE1C1C"/>
    <w:p w:rsidR="009C26EA" w:rsidRDefault="009C26EA" w:rsidP="00DE1C1C"/>
    <w:p w:rsidR="009C26EA" w:rsidRPr="00263643" w:rsidRDefault="009C26EA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9C26EA" w:rsidRPr="001F0A86" w:rsidRDefault="009C26EA" w:rsidP="00CF1F96">
      <w:pPr>
        <w:pStyle w:val="Normal1"/>
        <w:ind w:left="-540" w:right="-1800"/>
        <w:rPr>
          <w:sz w:val="24"/>
          <w:szCs w:val="24"/>
        </w:rPr>
      </w:pPr>
      <w:r w:rsidRPr="001F0A86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procedure uses </w:t>
      </w:r>
      <w:proofErr w:type="spellStart"/>
      <w:r>
        <w:rPr>
          <w:sz w:val="24"/>
          <w:szCs w:val="24"/>
        </w:rPr>
        <w:t>Mitomycin</w:t>
      </w:r>
      <w:proofErr w:type="spellEnd"/>
      <w:r>
        <w:rPr>
          <w:sz w:val="24"/>
          <w:szCs w:val="24"/>
        </w:rPr>
        <w:t xml:space="preserve"> C and </w:t>
      </w:r>
      <w:proofErr w:type="spellStart"/>
      <w:r>
        <w:rPr>
          <w:sz w:val="24"/>
          <w:szCs w:val="24"/>
        </w:rPr>
        <w:t>D</w:t>
      </w:r>
      <w:r w:rsidRPr="001F0A86">
        <w:rPr>
          <w:sz w:val="24"/>
          <w:szCs w:val="24"/>
        </w:rPr>
        <w:t>iepoxybutane</w:t>
      </w:r>
      <w:proofErr w:type="spellEnd"/>
      <w:r>
        <w:rPr>
          <w:sz w:val="24"/>
          <w:szCs w:val="24"/>
        </w:rPr>
        <w:t xml:space="preserve"> (DEB)</w:t>
      </w:r>
      <w:r w:rsidRPr="001F0A86">
        <w:rPr>
          <w:sz w:val="24"/>
          <w:szCs w:val="24"/>
        </w:rPr>
        <w:t xml:space="preserve"> in culture to induce chromosome breakage. This test can differentiate between individuals with </w:t>
      </w:r>
      <w:proofErr w:type="spellStart"/>
      <w:r w:rsidRPr="001F0A86">
        <w:rPr>
          <w:sz w:val="24"/>
          <w:szCs w:val="24"/>
        </w:rPr>
        <w:t>Fanconi's</w:t>
      </w:r>
      <w:proofErr w:type="spellEnd"/>
      <w:r w:rsidRPr="001F0A86">
        <w:rPr>
          <w:sz w:val="24"/>
          <w:szCs w:val="24"/>
        </w:rPr>
        <w:t xml:space="preserve"> anemia (FA) and those with an idiopathic aplastic anemia; most of the FA patients show a significant increase in chromosome breakage over the control on the order of 10-fold.</w:t>
      </w:r>
    </w:p>
    <w:p w:rsidR="009C26EA" w:rsidRPr="001F0A86" w:rsidRDefault="009C26EA" w:rsidP="00CF1F96">
      <w:pPr>
        <w:ind w:left="-540" w:right="-1800"/>
      </w:pPr>
    </w:p>
    <w:p w:rsidR="009C26EA" w:rsidRDefault="009C26EA" w:rsidP="00CF1F96">
      <w:pPr>
        <w:pStyle w:val="Normal1"/>
        <w:ind w:left="720" w:right="-360" w:hanging="720"/>
        <w:jc w:val="both"/>
        <w:rPr>
          <w:sz w:val="24"/>
          <w:szCs w:val="24"/>
        </w:rPr>
      </w:pPr>
      <w:r w:rsidRPr="00CF1F96">
        <w:rPr>
          <w:b/>
          <w:bCs/>
          <w:i/>
          <w:sz w:val="24"/>
          <w:szCs w:val="24"/>
        </w:rPr>
        <w:t>Note</w:t>
      </w:r>
      <w:r w:rsidRPr="00CF1F96">
        <w:rPr>
          <w:i/>
          <w:sz w:val="24"/>
          <w:szCs w:val="24"/>
        </w:rPr>
        <w:t>:</w:t>
      </w:r>
      <w:r w:rsidRPr="001F0A86">
        <w:rPr>
          <w:sz w:val="24"/>
          <w:szCs w:val="24"/>
        </w:rPr>
        <w:t xml:space="preserve">  This procedure is done on postnatal</w:t>
      </w:r>
      <w:r>
        <w:rPr>
          <w:sz w:val="24"/>
          <w:szCs w:val="24"/>
        </w:rPr>
        <w:t xml:space="preserve"> blood</w:t>
      </w:r>
      <w:r w:rsidRPr="001F0A86">
        <w:rPr>
          <w:sz w:val="24"/>
          <w:szCs w:val="24"/>
        </w:rPr>
        <w:t xml:space="preserve"> specimens only.  </w:t>
      </w:r>
    </w:p>
    <w:p w:rsidR="009C26EA" w:rsidRDefault="009C26EA" w:rsidP="00232659">
      <w:pPr>
        <w:pStyle w:val="Normal1"/>
        <w:ind w:left="0" w:right="-1800"/>
        <w:rPr>
          <w:sz w:val="24"/>
          <w:szCs w:val="24"/>
        </w:rPr>
      </w:pPr>
    </w:p>
    <w:p w:rsidR="009C26EA" w:rsidRPr="0065546A" w:rsidRDefault="009C26EA" w:rsidP="00232659">
      <w:pPr>
        <w:pStyle w:val="Normal1"/>
        <w:ind w:left="0" w:right="-1800"/>
        <w:rPr>
          <w:sz w:val="24"/>
          <w:szCs w:val="24"/>
        </w:rPr>
      </w:pPr>
    </w:p>
    <w:p w:rsidR="009C26EA" w:rsidRPr="00263643" w:rsidRDefault="009C26EA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9C26EA" w:rsidRPr="00D22A36" w:rsidRDefault="009C26EA" w:rsidP="000207AC">
      <w:pPr>
        <w:pStyle w:val="Heading3"/>
        <w:numPr>
          <w:ilvl w:val="2"/>
          <w:numId w:val="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D22A36">
        <w:rPr>
          <w:sz w:val="24"/>
          <w:szCs w:val="24"/>
        </w:rPr>
        <w:t>Specimen Requirements</w:t>
      </w:r>
    </w:p>
    <w:p w:rsidR="009C26EA" w:rsidRPr="00D22A36" w:rsidRDefault="009C26EA" w:rsidP="000207AC">
      <w:pPr>
        <w:pStyle w:val="Normal1"/>
        <w:ind w:left="0" w:right="-1800"/>
        <w:rPr>
          <w:sz w:val="24"/>
          <w:szCs w:val="24"/>
        </w:rPr>
      </w:pPr>
      <w:r w:rsidRPr="00D22A36">
        <w:rPr>
          <w:sz w:val="24"/>
          <w:szCs w:val="24"/>
        </w:rPr>
        <w:t xml:space="preserve">Freshly drawn peripheral blood in </w:t>
      </w:r>
      <w:r>
        <w:rPr>
          <w:sz w:val="24"/>
          <w:szCs w:val="24"/>
        </w:rPr>
        <w:t xml:space="preserve">Sodium </w:t>
      </w:r>
      <w:r w:rsidRPr="00D22A36">
        <w:rPr>
          <w:sz w:val="24"/>
          <w:szCs w:val="24"/>
        </w:rPr>
        <w:t xml:space="preserve">Heparin tube is required (not more than 24 </w:t>
      </w:r>
      <w:proofErr w:type="spellStart"/>
      <w:r w:rsidRPr="00D22A36">
        <w:rPr>
          <w:sz w:val="24"/>
          <w:szCs w:val="24"/>
        </w:rPr>
        <w:t>hr</w:t>
      </w:r>
      <w:proofErr w:type="spellEnd"/>
      <w:r w:rsidRPr="00D22A36">
        <w:rPr>
          <w:sz w:val="24"/>
          <w:szCs w:val="24"/>
        </w:rPr>
        <w:t xml:space="preserve"> old for best results) and should be drawn prior to patient exposure to radiation or chemotherapy (2-5ml minimum).  A control blood is also needed (age matched if possible).</w:t>
      </w:r>
    </w:p>
    <w:p w:rsidR="009C26EA" w:rsidRPr="00D22A36" w:rsidRDefault="009C26EA" w:rsidP="000207AC">
      <w:pPr>
        <w:ind w:right="-1800"/>
      </w:pPr>
    </w:p>
    <w:p w:rsidR="009C26EA" w:rsidRPr="00D22A36" w:rsidRDefault="009C26EA" w:rsidP="000207AC">
      <w:pPr>
        <w:pStyle w:val="Heading3"/>
        <w:numPr>
          <w:ilvl w:val="2"/>
          <w:numId w:val="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D22A36">
        <w:rPr>
          <w:sz w:val="24"/>
          <w:szCs w:val="24"/>
        </w:rPr>
        <w:t>Material and Equipment</w:t>
      </w:r>
    </w:p>
    <w:p w:rsidR="009C26EA" w:rsidRPr="00D22A36" w:rsidRDefault="009C26EA" w:rsidP="000207AC">
      <w:pPr>
        <w:ind w:right="-1800"/>
      </w:pPr>
      <w:r w:rsidRPr="00D22A36">
        <w:t>See Peripheral Blood Cultures procedure, SOP number 400-02-01-03.</w:t>
      </w:r>
    </w:p>
    <w:p w:rsidR="009C26EA" w:rsidRPr="00D22A36" w:rsidRDefault="009C26EA" w:rsidP="000207AC">
      <w:pPr>
        <w:ind w:right="-1800"/>
      </w:pPr>
    </w:p>
    <w:p w:rsidR="009C26EA" w:rsidRPr="00D22A36" w:rsidRDefault="009C26EA" w:rsidP="000207AC">
      <w:pPr>
        <w:pStyle w:val="Heading3"/>
        <w:numPr>
          <w:ilvl w:val="2"/>
          <w:numId w:val="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D22A36">
        <w:rPr>
          <w:sz w:val="24"/>
          <w:szCs w:val="24"/>
        </w:rPr>
        <w:t>Reagents and Solutions</w:t>
      </w:r>
    </w:p>
    <w:p w:rsidR="009C26EA" w:rsidRPr="00D22A36" w:rsidRDefault="009C26EA" w:rsidP="000207AC">
      <w:pPr>
        <w:numPr>
          <w:ilvl w:val="3"/>
          <w:numId w:val="8"/>
        </w:numPr>
        <w:tabs>
          <w:tab w:val="clear" w:pos="2880"/>
          <w:tab w:val="num" w:pos="540"/>
        </w:tabs>
        <w:ind w:left="540" w:right="-1800" w:hanging="540"/>
      </w:pPr>
      <w:proofErr w:type="spellStart"/>
      <w:r w:rsidRPr="00D22A36">
        <w:t>Mitomycin</w:t>
      </w:r>
      <w:proofErr w:type="spellEnd"/>
      <w:r w:rsidRPr="00D22A36">
        <w:t xml:space="preserve"> C (Sigma, Cat. #M-0503).</w:t>
      </w:r>
    </w:p>
    <w:p w:rsidR="009C26EA" w:rsidRPr="00D22A36" w:rsidRDefault="009C26EA" w:rsidP="000207AC">
      <w:pPr>
        <w:numPr>
          <w:ilvl w:val="3"/>
          <w:numId w:val="8"/>
        </w:numPr>
        <w:tabs>
          <w:tab w:val="clear" w:pos="2880"/>
          <w:tab w:val="num" w:pos="540"/>
        </w:tabs>
        <w:ind w:left="540" w:right="-1800" w:hanging="540"/>
      </w:pPr>
      <w:proofErr w:type="spellStart"/>
      <w:r w:rsidRPr="00D22A36">
        <w:t>HCl</w:t>
      </w:r>
      <w:proofErr w:type="spellEnd"/>
      <w:r w:rsidRPr="00D22A36">
        <w:t xml:space="preserve"> (diluted to 50%).</w:t>
      </w:r>
    </w:p>
    <w:p w:rsidR="009C26EA" w:rsidRPr="00D22A36" w:rsidRDefault="009C26EA" w:rsidP="000207AC">
      <w:pPr>
        <w:numPr>
          <w:ilvl w:val="3"/>
          <w:numId w:val="8"/>
        </w:numPr>
        <w:tabs>
          <w:tab w:val="clear" w:pos="2880"/>
          <w:tab w:val="num" w:pos="540"/>
        </w:tabs>
        <w:ind w:left="540" w:right="-1800" w:hanging="540"/>
      </w:pPr>
      <w:proofErr w:type="spellStart"/>
      <w:r w:rsidRPr="00D22A36">
        <w:t>Diepoxybutane</w:t>
      </w:r>
      <w:proofErr w:type="spellEnd"/>
      <w:r w:rsidRPr="00D22A36">
        <w:t xml:space="preserve"> (DEB) (Sigma, Cat. #20,253-3).</w:t>
      </w:r>
    </w:p>
    <w:p w:rsidR="009C26EA" w:rsidRPr="00D22A36" w:rsidRDefault="009C26EA" w:rsidP="000207AC">
      <w:pPr>
        <w:ind w:right="-1800"/>
      </w:pPr>
    </w:p>
    <w:p w:rsidR="009C26EA" w:rsidRPr="00D22A36" w:rsidRDefault="009C26EA" w:rsidP="000207AC">
      <w:pPr>
        <w:pStyle w:val="Heading3"/>
        <w:numPr>
          <w:ilvl w:val="2"/>
          <w:numId w:val="8"/>
        </w:numPr>
        <w:tabs>
          <w:tab w:val="clear" w:pos="2340"/>
          <w:tab w:val="num" w:pos="0"/>
        </w:tabs>
        <w:ind w:left="0" w:right="-1800" w:hanging="540"/>
        <w:rPr>
          <w:sz w:val="24"/>
          <w:szCs w:val="24"/>
        </w:rPr>
      </w:pPr>
      <w:r w:rsidRPr="00D22A36">
        <w:rPr>
          <w:sz w:val="24"/>
          <w:szCs w:val="24"/>
        </w:rPr>
        <w:t>Procedure</w:t>
      </w:r>
    </w:p>
    <w:p w:rsidR="009C26EA" w:rsidRPr="00D22A36" w:rsidRDefault="009C26EA" w:rsidP="00D22A36">
      <w:pPr>
        <w:pStyle w:val="Normal1"/>
        <w:ind w:left="540" w:right="-360"/>
        <w:rPr>
          <w:sz w:val="24"/>
          <w:szCs w:val="24"/>
        </w:rPr>
      </w:pPr>
      <w:r w:rsidRPr="00D22A36">
        <w:rPr>
          <w:b/>
          <w:i/>
          <w:sz w:val="24"/>
          <w:szCs w:val="24"/>
        </w:rPr>
        <w:t>Note</w:t>
      </w:r>
      <w:r w:rsidRPr="00D22A36">
        <w:rPr>
          <w:sz w:val="24"/>
          <w:szCs w:val="24"/>
        </w:rPr>
        <w:t>:  No mouth pipetting.  Adhere to sterile techniques.  Use tissue culture hood [Biosafety Hood (</w:t>
      </w:r>
      <w:proofErr w:type="spellStart"/>
      <w:r w:rsidRPr="00D22A36">
        <w:rPr>
          <w:sz w:val="24"/>
          <w:szCs w:val="24"/>
        </w:rPr>
        <w:t>BioGard</w:t>
      </w:r>
      <w:proofErr w:type="spellEnd"/>
      <w:r w:rsidRPr="00D22A36">
        <w:rPr>
          <w:sz w:val="24"/>
          <w:szCs w:val="24"/>
        </w:rPr>
        <w:t>)]. Use gloves</w:t>
      </w:r>
      <w:r>
        <w:rPr>
          <w:sz w:val="24"/>
          <w:szCs w:val="24"/>
        </w:rPr>
        <w:t xml:space="preserve"> and lab coat</w:t>
      </w:r>
      <w:r w:rsidRPr="00D22A36">
        <w:rPr>
          <w:sz w:val="24"/>
          <w:szCs w:val="24"/>
        </w:rPr>
        <w:t>.</w:t>
      </w:r>
    </w:p>
    <w:p w:rsidR="009C26EA" w:rsidRPr="00D22A36" w:rsidRDefault="009C26EA" w:rsidP="000207AC">
      <w:pPr>
        <w:ind w:right="-1800"/>
      </w:pPr>
    </w:p>
    <w:p w:rsidR="009C26EA" w:rsidRPr="00D22A36" w:rsidRDefault="009C26EA" w:rsidP="00D22A36">
      <w:pPr>
        <w:pStyle w:val="Normal1"/>
        <w:ind w:left="0" w:right="-1800"/>
        <w:rPr>
          <w:sz w:val="24"/>
          <w:szCs w:val="24"/>
        </w:rPr>
      </w:pPr>
      <w:proofErr w:type="gramStart"/>
      <w:r w:rsidRPr="00D22A36">
        <w:rPr>
          <w:sz w:val="24"/>
          <w:szCs w:val="24"/>
        </w:rPr>
        <w:t>Accession specimen and log into PB book.</w:t>
      </w:r>
      <w:proofErr w:type="gramEnd"/>
      <w:r w:rsidRPr="00D22A36">
        <w:rPr>
          <w:sz w:val="24"/>
          <w:szCs w:val="24"/>
        </w:rPr>
        <w:t xml:space="preserve"> Set up cultures according to blood procedure and the table below. The control specimen is accessioned as a RE (research) case. Log into RE book. Use the following cultures, additives and conditions.</w:t>
      </w:r>
    </w:p>
    <w:p w:rsidR="009C26EA" w:rsidRPr="00D22A36" w:rsidRDefault="009C26EA" w:rsidP="000207AC">
      <w:pPr>
        <w:ind w:right="-1800"/>
      </w:pPr>
    </w:p>
    <w:p w:rsidR="009C26EA" w:rsidRPr="00D22A36" w:rsidRDefault="009C26EA" w:rsidP="00D22A36">
      <w:pPr>
        <w:numPr>
          <w:ilvl w:val="0"/>
          <w:numId w:val="10"/>
        </w:numPr>
        <w:tabs>
          <w:tab w:val="clear" w:pos="2340"/>
          <w:tab w:val="num" w:pos="540"/>
        </w:tabs>
        <w:ind w:left="540" w:right="-1800" w:hanging="540"/>
        <w:rPr>
          <w:b/>
        </w:rPr>
      </w:pPr>
      <w:r w:rsidRPr="00D22A36">
        <w:rPr>
          <w:b/>
        </w:rPr>
        <w:t>Culture Initiation</w:t>
      </w:r>
    </w:p>
    <w:p w:rsidR="009C26EA" w:rsidRPr="00D22A36" w:rsidRDefault="009C26EA" w:rsidP="000207AC">
      <w:pPr>
        <w:ind w:right="-1800"/>
      </w:pPr>
    </w:p>
    <w:p w:rsidR="009C26EA" w:rsidRPr="00D22A36" w:rsidRDefault="009C26EA" w:rsidP="00D22A36">
      <w:pPr>
        <w:pStyle w:val="Normal2"/>
        <w:ind w:left="1260" w:right="-360" w:hanging="720"/>
        <w:rPr>
          <w:sz w:val="24"/>
          <w:szCs w:val="24"/>
        </w:rPr>
      </w:pPr>
      <w:r w:rsidRPr="00D22A36">
        <w:rPr>
          <w:b/>
          <w:bCs/>
          <w:i/>
          <w:sz w:val="24"/>
          <w:szCs w:val="24"/>
        </w:rPr>
        <w:t>Note</w:t>
      </w:r>
      <w:r w:rsidRPr="00D22A36">
        <w:rPr>
          <w:i/>
          <w:sz w:val="24"/>
          <w:szCs w:val="24"/>
        </w:rPr>
        <w:t>:</w:t>
      </w:r>
      <w:r w:rsidRPr="00D22A36">
        <w:rPr>
          <w:sz w:val="24"/>
          <w:szCs w:val="24"/>
        </w:rPr>
        <w:t xml:space="preserve">  Cultures E, F, and G should be wrapped with aluminum foil to protect against light degradation of </w:t>
      </w:r>
      <w:proofErr w:type="spellStart"/>
      <w:r w:rsidRPr="00D22A36">
        <w:rPr>
          <w:sz w:val="24"/>
          <w:szCs w:val="24"/>
        </w:rPr>
        <w:t>clastogens</w:t>
      </w:r>
      <w:proofErr w:type="spellEnd"/>
      <w:r w:rsidRPr="00D22A36">
        <w:rPr>
          <w:sz w:val="24"/>
          <w:szCs w:val="24"/>
        </w:rPr>
        <w:t>.</w:t>
      </w:r>
    </w:p>
    <w:p w:rsidR="009C26EA" w:rsidRDefault="009C26EA" w:rsidP="00CF1F96"/>
    <w:p w:rsidR="009C26EA" w:rsidRDefault="009C26EA" w:rsidP="00CF1F96"/>
    <w:tbl>
      <w:tblPr>
        <w:tblW w:w="10097" w:type="dxa"/>
        <w:tblInd w:w="-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341"/>
        <w:gridCol w:w="2180"/>
        <w:gridCol w:w="3385"/>
      </w:tblGrid>
      <w:tr w:rsidR="009C26EA" w:rsidTr="0075200A">
        <w:trPr>
          <w:trHeight w:val="30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b/>
                <w:bCs/>
              </w:rPr>
              <w:t>Fanconi's</w:t>
            </w:r>
            <w:proofErr w:type="spellEnd"/>
            <w:r>
              <w:rPr>
                <w:b/>
                <w:bCs/>
              </w:rPr>
              <w:t xml:space="preserve"> Anemia Breakage Study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</w:rPr>
            </w:pPr>
            <w:r>
              <w:t>Add:</w:t>
            </w:r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A—72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4.5 ml RPMI + 0.5 ml blood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15 ml tube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Nothing</w:t>
            </w:r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B—72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9 ml RPMI + 1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T25 flask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0.3 ml of 1% thymidine after 48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E—72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4.5 ml RPMI + 0.5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15 ml tube (foil wrapped)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 xml:space="preserve">l-0.1 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 xml:space="preserve">g/ml DEB (after 24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F—96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 xml:space="preserve"> (4 day)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4.5 ml RPMI + 0.5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15 ml tube (foil wrapped)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12.5 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 xml:space="preserve">l-20 </w:t>
            </w: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 xml:space="preserve">/ml </w:t>
            </w:r>
            <w:proofErr w:type="spellStart"/>
            <w:r>
              <w:rPr>
                <w:sz w:val="18"/>
              </w:rPr>
              <w:t>mitomycin</w:t>
            </w:r>
            <w:proofErr w:type="spellEnd"/>
            <w:r>
              <w:rPr>
                <w:sz w:val="18"/>
              </w:rPr>
              <w:t xml:space="preserve"> C (add during set-up)</w:t>
            </w:r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G—96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 xml:space="preserve"> (4 day)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4.5 ml RPMI + 0.5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15 ml tube (foil wrapped)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 xml:space="preserve">l-40 </w:t>
            </w: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 xml:space="preserve">/ml </w:t>
            </w:r>
            <w:proofErr w:type="spellStart"/>
            <w:r>
              <w:rPr>
                <w:sz w:val="18"/>
              </w:rPr>
              <w:t>mitomycin</w:t>
            </w:r>
            <w:proofErr w:type="spellEnd"/>
            <w:r>
              <w:rPr>
                <w:sz w:val="18"/>
              </w:rPr>
              <w:t xml:space="preserve"> C (add during set-up)</w:t>
            </w:r>
          </w:p>
        </w:tc>
      </w:tr>
      <w:tr w:rsidR="009C26EA" w:rsidTr="00D22A36">
        <w:trPr>
          <w:trHeight w:val="300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Control (same age and sex)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</w:rPr>
            </w:pPr>
            <w:r>
              <w:t> </w:t>
            </w:r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E—72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4.5 ml RPMI + 0.5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15 ml tube (foil wrapped)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>l-0.1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 xml:space="preserve">g/ml DEB after 24 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9C26EA" w:rsidTr="00D22A3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G—96 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 xml:space="preserve"> (4 day)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4.5 ml RPMI + 0.5 ml blood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15 ml tube (foil wrapped)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C26EA" w:rsidRDefault="009C26EA" w:rsidP="008C0EDC">
            <w:pPr>
              <w:pStyle w:val="NormalTable"/>
              <w:rPr>
                <w:rFonts w:eastAsia="Arial Unicode MS"/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rFonts w:ascii="Symbol" w:hAnsi="Symbol"/>
                <w:sz w:val="18"/>
              </w:rPr>
              <w:t></w:t>
            </w:r>
            <w:r>
              <w:rPr>
                <w:sz w:val="18"/>
              </w:rPr>
              <w:t xml:space="preserve">l-40 </w:t>
            </w: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 xml:space="preserve">/ml </w:t>
            </w:r>
            <w:proofErr w:type="spellStart"/>
            <w:r>
              <w:rPr>
                <w:sz w:val="18"/>
              </w:rPr>
              <w:t>mitomycin</w:t>
            </w:r>
            <w:proofErr w:type="spellEnd"/>
            <w:r>
              <w:rPr>
                <w:sz w:val="18"/>
              </w:rPr>
              <w:t xml:space="preserve"> C (add during set-up)</w:t>
            </w:r>
          </w:p>
        </w:tc>
      </w:tr>
    </w:tbl>
    <w:p w:rsidR="009C26EA" w:rsidRDefault="009C26EA" w:rsidP="00CF1F96"/>
    <w:p w:rsidR="009C26EA" w:rsidRDefault="009C26EA" w:rsidP="00824013">
      <w:pPr>
        <w:numPr>
          <w:ilvl w:val="0"/>
          <w:numId w:val="12"/>
        </w:numPr>
        <w:tabs>
          <w:tab w:val="clear" w:pos="1980"/>
          <w:tab w:val="num" w:pos="900"/>
        </w:tabs>
        <w:ind w:left="900" w:right="-1800"/>
      </w:pPr>
      <w:proofErr w:type="spellStart"/>
      <w:r>
        <w:t>Mitomycin</w:t>
      </w:r>
      <w:proofErr w:type="spellEnd"/>
      <w:r>
        <w:t xml:space="preserve"> C is made according to the </w:t>
      </w:r>
      <w:proofErr w:type="spellStart"/>
      <w:r>
        <w:t>mitomycin</w:t>
      </w:r>
      <w:proofErr w:type="spellEnd"/>
      <w:r>
        <w:t xml:space="preserve"> C serial dilution chart (below).*</w:t>
      </w:r>
    </w:p>
    <w:p w:rsidR="009C26EA" w:rsidRDefault="009C26EA" w:rsidP="00824013">
      <w:pPr>
        <w:ind w:left="540" w:right="-1800"/>
      </w:pPr>
    </w:p>
    <w:p w:rsidR="009C26EA" w:rsidRDefault="009C26EA" w:rsidP="00824013">
      <w:pPr>
        <w:numPr>
          <w:ilvl w:val="0"/>
          <w:numId w:val="12"/>
        </w:numPr>
        <w:tabs>
          <w:tab w:val="num" w:pos="900"/>
        </w:tabs>
        <w:ind w:left="900" w:right="-1800"/>
      </w:pPr>
      <w:r>
        <w:t xml:space="preserve">The stock solution can be kept frozen and in the dark for </w:t>
      </w:r>
      <w:r>
        <w:rPr>
          <w:u w:val="single"/>
        </w:rPr>
        <w:t>six months</w:t>
      </w:r>
      <w:r>
        <w:t>.  DEB is made according to DEB serial dilution chart (below).*   Pure DEB solution is good for one year when refrigerated.</w:t>
      </w:r>
    </w:p>
    <w:p w:rsidR="009C26EA" w:rsidRDefault="009C26EA" w:rsidP="00824013">
      <w:pPr>
        <w:ind w:left="540" w:right="-1800"/>
      </w:pPr>
    </w:p>
    <w:p w:rsidR="009C26EA" w:rsidRDefault="009C26EA" w:rsidP="00824013">
      <w:pPr>
        <w:numPr>
          <w:ilvl w:val="0"/>
          <w:numId w:val="12"/>
        </w:numPr>
        <w:tabs>
          <w:tab w:val="num" w:pos="900"/>
        </w:tabs>
        <w:ind w:left="900" w:right="-1800"/>
      </w:pPr>
      <w:r>
        <w:t>Make dilution of MMC (working solution) fresh each time using the frozen stock solution.</w:t>
      </w:r>
    </w:p>
    <w:p w:rsidR="009C26EA" w:rsidRDefault="009C26EA" w:rsidP="00824013">
      <w:pPr>
        <w:ind w:left="540" w:right="-1800"/>
      </w:pPr>
    </w:p>
    <w:p w:rsidR="009C26EA" w:rsidRDefault="009C26EA" w:rsidP="00824013">
      <w:pPr>
        <w:numPr>
          <w:ilvl w:val="0"/>
          <w:numId w:val="12"/>
        </w:numPr>
        <w:tabs>
          <w:tab w:val="num" w:pos="900"/>
        </w:tabs>
        <w:ind w:left="900" w:right="-1800"/>
      </w:pPr>
      <w:r w:rsidRPr="00824013">
        <w:rPr>
          <w:b/>
          <w:i/>
        </w:rPr>
        <w:t>Note</w:t>
      </w:r>
      <w:r>
        <w:rPr>
          <w:b/>
        </w:rPr>
        <w:t xml:space="preserve">: </w:t>
      </w:r>
      <w:proofErr w:type="spellStart"/>
      <w:r>
        <w:t>Mitomycin</w:t>
      </w:r>
      <w:proofErr w:type="spellEnd"/>
      <w:r>
        <w:t xml:space="preserve"> C is a mutagen </w:t>
      </w:r>
      <w:r>
        <w:noBreakHyphen/>
        <w:t xml:space="preserve"> </w:t>
      </w:r>
      <w:r>
        <w:rPr>
          <w:u w:val="single"/>
        </w:rPr>
        <w:t>use extreme caution</w:t>
      </w:r>
      <w:r>
        <w:t xml:space="preserve">!  Inactivate </w:t>
      </w:r>
      <w:proofErr w:type="gramStart"/>
      <w:r>
        <w:t>spills,</w:t>
      </w:r>
      <w:proofErr w:type="gramEnd"/>
      <w:r>
        <w:t xml:space="preserve"> discard dilutions, plastic and glassware with 50% </w:t>
      </w:r>
      <w:proofErr w:type="spellStart"/>
      <w:r>
        <w:t>HCl</w:t>
      </w:r>
      <w:proofErr w:type="spellEnd"/>
      <w:r>
        <w:t>.</w:t>
      </w:r>
    </w:p>
    <w:p w:rsidR="009C26EA" w:rsidRDefault="009C26EA" w:rsidP="00824013">
      <w:pPr>
        <w:ind w:left="540" w:right="-1800"/>
      </w:pPr>
    </w:p>
    <w:p w:rsidR="009C26EA" w:rsidRPr="00824013" w:rsidRDefault="009C26EA" w:rsidP="00824013">
      <w:pPr>
        <w:numPr>
          <w:ilvl w:val="0"/>
          <w:numId w:val="12"/>
        </w:numPr>
        <w:tabs>
          <w:tab w:val="num" w:pos="900"/>
        </w:tabs>
        <w:ind w:left="900" w:right="-1800"/>
        <w:rPr>
          <w:b/>
        </w:rPr>
      </w:pPr>
      <w:proofErr w:type="spellStart"/>
      <w:r w:rsidRPr="00824013">
        <w:rPr>
          <w:b/>
          <w:bCs/>
        </w:rPr>
        <w:t>Mitomycin</w:t>
      </w:r>
      <w:proofErr w:type="spellEnd"/>
      <w:r w:rsidRPr="00824013">
        <w:rPr>
          <w:b/>
          <w:bCs/>
        </w:rPr>
        <w:t xml:space="preserve"> C Dilution Chart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Dilution I</w:t>
      </w:r>
      <w:r w:rsidRPr="00D22A36">
        <w:rPr>
          <w:sz w:val="24"/>
          <w:szCs w:val="24"/>
        </w:rPr>
        <w:tab/>
        <w:t>2 mg (in vial) + 5 ml dH</w:t>
      </w:r>
      <w:r w:rsidRPr="00D22A36">
        <w:rPr>
          <w:sz w:val="24"/>
          <w:szCs w:val="24"/>
          <w:vertAlign w:val="subscript"/>
        </w:rPr>
        <w:t>2</w:t>
      </w:r>
      <w:r w:rsidRPr="00D22A36">
        <w:rPr>
          <w:sz w:val="24"/>
          <w:szCs w:val="24"/>
        </w:rPr>
        <w:t>O</w:t>
      </w:r>
      <w:r w:rsidRPr="00D22A36">
        <w:rPr>
          <w:sz w:val="24"/>
          <w:szCs w:val="24"/>
        </w:rPr>
        <w:tab/>
        <w:t>(0 .4 mg/ml)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Dilution II</w:t>
      </w:r>
      <w:r w:rsidRPr="00D22A36">
        <w:rPr>
          <w:sz w:val="24"/>
          <w:szCs w:val="24"/>
        </w:rPr>
        <w:tab/>
        <w:t>0.5 ml Dilution I + 2 ml PBS</w:t>
      </w:r>
      <w:r w:rsidRPr="00D22A36">
        <w:rPr>
          <w:sz w:val="24"/>
          <w:szCs w:val="24"/>
        </w:rPr>
        <w:tab/>
        <w:t>(80 µg/ml)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proofErr w:type="gramStart"/>
      <w:r w:rsidRPr="00D22A36">
        <w:rPr>
          <w:sz w:val="24"/>
          <w:szCs w:val="24"/>
        </w:rPr>
        <w:t>Dilution III</w:t>
      </w:r>
      <w:r w:rsidRPr="00D22A36">
        <w:rPr>
          <w:sz w:val="24"/>
          <w:szCs w:val="24"/>
        </w:rPr>
        <w:tab/>
        <w:t>0.5 ml Dilution II + 4.5 ml PBS</w:t>
      </w:r>
      <w:r w:rsidRPr="00D22A36">
        <w:rPr>
          <w:sz w:val="24"/>
          <w:szCs w:val="24"/>
        </w:rPr>
        <w:tab/>
        <w:t xml:space="preserve"> (8.</w:t>
      </w:r>
      <w:proofErr w:type="gramEnd"/>
      <w:r w:rsidRPr="00D22A36">
        <w:rPr>
          <w:sz w:val="24"/>
          <w:szCs w:val="24"/>
        </w:rPr>
        <w:t xml:space="preserve"> </w:t>
      </w:r>
      <w:proofErr w:type="gramStart"/>
      <w:r w:rsidRPr="00D22A36">
        <w:rPr>
          <w:sz w:val="24"/>
          <w:szCs w:val="24"/>
        </w:rPr>
        <w:t>µg/ml) (working solution.)</w:t>
      </w:r>
      <w:proofErr w:type="gramEnd"/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Add this much Dilution III</w:t>
      </w:r>
      <w:r w:rsidRPr="00D22A36">
        <w:rPr>
          <w:sz w:val="24"/>
          <w:szCs w:val="24"/>
        </w:rPr>
        <w:tab/>
        <w:t>G</w:t>
      </w:r>
      <w:r w:rsidRPr="00D22A36">
        <w:rPr>
          <w:sz w:val="24"/>
          <w:szCs w:val="24"/>
        </w:rPr>
        <w:tab/>
      </w:r>
      <w:r w:rsidRPr="00D22A36">
        <w:rPr>
          <w:sz w:val="24"/>
          <w:szCs w:val="24"/>
        </w:rPr>
        <w:tab/>
        <w:t>F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proofErr w:type="gramStart"/>
      <w:r w:rsidRPr="00D22A36">
        <w:rPr>
          <w:sz w:val="24"/>
          <w:szCs w:val="24"/>
        </w:rPr>
        <w:t>to</w:t>
      </w:r>
      <w:proofErr w:type="gramEnd"/>
      <w:r w:rsidRPr="00D22A36">
        <w:rPr>
          <w:sz w:val="24"/>
          <w:szCs w:val="24"/>
        </w:rPr>
        <w:t xml:space="preserve"> 5.0 cc culture</w:t>
      </w:r>
      <w:r w:rsidRPr="00D22A36">
        <w:rPr>
          <w:sz w:val="24"/>
          <w:szCs w:val="24"/>
        </w:rPr>
        <w:tab/>
      </w:r>
      <w:r w:rsidRPr="00D22A36">
        <w:rPr>
          <w:sz w:val="24"/>
          <w:szCs w:val="24"/>
        </w:rPr>
        <w:tab/>
        <w:t>25 µl</w:t>
      </w:r>
      <w:r w:rsidRPr="00D22A36">
        <w:rPr>
          <w:sz w:val="24"/>
          <w:szCs w:val="24"/>
        </w:rPr>
        <w:tab/>
      </w:r>
      <w:r w:rsidRPr="00D22A36">
        <w:rPr>
          <w:sz w:val="24"/>
          <w:szCs w:val="24"/>
        </w:rPr>
        <w:tab/>
        <w:t>12.5 µl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proofErr w:type="gramStart"/>
      <w:r w:rsidRPr="00D22A36">
        <w:rPr>
          <w:sz w:val="24"/>
          <w:szCs w:val="24"/>
        </w:rPr>
        <w:t>to</w:t>
      </w:r>
      <w:proofErr w:type="gramEnd"/>
      <w:r w:rsidRPr="00D22A36">
        <w:rPr>
          <w:sz w:val="24"/>
          <w:szCs w:val="24"/>
        </w:rPr>
        <w:t xml:space="preserve"> get</w:t>
      </w:r>
      <w:r>
        <w:rPr>
          <w:sz w:val="24"/>
          <w:szCs w:val="24"/>
        </w:rPr>
        <w:t xml:space="preserve"> final concentration.</w:t>
      </w:r>
      <w:r>
        <w:rPr>
          <w:sz w:val="24"/>
          <w:szCs w:val="24"/>
        </w:rPr>
        <w:tab/>
        <w:t xml:space="preserve">40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</w:t>
      </w:r>
      <w:r>
        <w:rPr>
          <w:sz w:val="24"/>
          <w:szCs w:val="24"/>
        </w:rPr>
        <w:tab/>
      </w:r>
      <w:r w:rsidRPr="00D22A36">
        <w:rPr>
          <w:sz w:val="24"/>
          <w:szCs w:val="24"/>
        </w:rPr>
        <w:t xml:space="preserve">20 </w:t>
      </w:r>
      <w:proofErr w:type="spellStart"/>
      <w:r w:rsidRPr="00D22A36">
        <w:rPr>
          <w:sz w:val="24"/>
          <w:szCs w:val="24"/>
        </w:rPr>
        <w:t>ng</w:t>
      </w:r>
      <w:proofErr w:type="spellEnd"/>
      <w:r w:rsidRPr="00D22A36">
        <w:rPr>
          <w:sz w:val="24"/>
          <w:szCs w:val="24"/>
        </w:rPr>
        <w:t>/ml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*</w:t>
      </w:r>
      <w:proofErr w:type="spellStart"/>
      <w:r w:rsidRPr="00D22A36">
        <w:rPr>
          <w:sz w:val="24"/>
          <w:szCs w:val="24"/>
        </w:rPr>
        <w:t>Mitomycin</w:t>
      </w:r>
      <w:proofErr w:type="spellEnd"/>
      <w:r w:rsidRPr="00D22A36">
        <w:rPr>
          <w:sz w:val="24"/>
          <w:szCs w:val="24"/>
        </w:rPr>
        <w:t xml:space="preserve"> C is added to cultures when the case is set up*</w:t>
      </w:r>
    </w:p>
    <w:p w:rsidR="009C26EA" w:rsidRDefault="009C26EA" w:rsidP="00824013">
      <w:pPr>
        <w:ind w:left="540" w:right="-1800"/>
        <w:rPr>
          <w:b/>
          <w:bCs/>
        </w:rPr>
      </w:pPr>
    </w:p>
    <w:p w:rsidR="009C26EA" w:rsidRDefault="009C26EA" w:rsidP="00824013">
      <w:pPr>
        <w:ind w:left="540" w:right="-1800"/>
        <w:rPr>
          <w:b/>
          <w:bCs/>
        </w:rPr>
      </w:pPr>
    </w:p>
    <w:p w:rsidR="009C26EA" w:rsidRDefault="009C26EA" w:rsidP="00824013">
      <w:pPr>
        <w:ind w:left="540" w:right="-1800"/>
        <w:rPr>
          <w:b/>
          <w:bCs/>
        </w:rPr>
      </w:pPr>
    </w:p>
    <w:p w:rsidR="009C26EA" w:rsidRPr="00824013" w:rsidRDefault="009C26EA" w:rsidP="00824013">
      <w:pPr>
        <w:ind w:left="540" w:right="-1800"/>
        <w:rPr>
          <w:b/>
        </w:rPr>
      </w:pPr>
    </w:p>
    <w:p w:rsidR="009C26EA" w:rsidRPr="00824013" w:rsidRDefault="009C26EA" w:rsidP="00824013">
      <w:pPr>
        <w:numPr>
          <w:ilvl w:val="0"/>
          <w:numId w:val="12"/>
        </w:numPr>
        <w:tabs>
          <w:tab w:val="num" w:pos="900"/>
        </w:tabs>
        <w:ind w:left="900" w:right="-1800"/>
        <w:rPr>
          <w:b/>
        </w:rPr>
      </w:pPr>
      <w:r w:rsidRPr="00824013">
        <w:rPr>
          <w:b/>
        </w:rPr>
        <w:t>DEB Dilution Chart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Dilution I</w:t>
      </w:r>
      <w:r w:rsidRPr="00D22A36">
        <w:rPr>
          <w:sz w:val="24"/>
          <w:szCs w:val="24"/>
        </w:rPr>
        <w:tab/>
      </w:r>
      <w:r w:rsidRPr="00D22A36">
        <w:rPr>
          <w:sz w:val="24"/>
          <w:szCs w:val="24"/>
        </w:rPr>
        <w:tab/>
        <w:t>5 ml PBS + 5 µl DEB (pure)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Dilution II</w:t>
      </w:r>
      <w:r w:rsidRPr="00D22A36">
        <w:rPr>
          <w:sz w:val="24"/>
          <w:szCs w:val="24"/>
        </w:rPr>
        <w:tab/>
      </w:r>
      <w:r w:rsidRPr="00D22A36">
        <w:rPr>
          <w:sz w:val="24"/>
          <w:szCs w:val="24"/>
        </w:rPr>
        <w:tab/>
        <w:t>3 ml PBS + 2 ml Dilution I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Dilution III</w:t>
      </w:r>
      <w:r w:rsidRPr="00D22A36">
        <w:rPr>
          <w:sz w:val="24"/>
          <w:szCs w:val="24"/>
        </w:rPr>
        <w:tab/>
      </w:r>
      <w:r w:rsidRPr="00D22A36">
        <w:rPr>
          <w:sz w:val="24"/>
          <w:szCs w:val="24"/>
        </w:rPr>
        <w:tab/>
        <w:t>2.25 ml PBS + 0.25 ml Dilution II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(</w:t>
      </w:r>
      <w:proofErr w:type="gramStart"/>
      <w:r w:rsidRPr="00D22A36">
        <w:rPr>
          <w:sz w:val="24"/>
          <w:szCs w:val="24"/>
        </w:rPr>
        <w:t>working</w:t>
      </w:r>
      <w:proofErr w:type="gramEnd"/>
      <w:r w:rsidRPr="00D22A36">
        <w:rPr>
          <w:sz w:val="24"/>
          <w:szCs w:val="24"/>
        </w:rPr>
        <w:t xml:space="preserve"> solution)</w:t>
      </w:r>
    </w:p>
    <w:p w:rsidR="009C26EA" w:rsidRPr="00D22A36" w:rsidRDefault="009C26EA" w:rsidP="00824013">
      <w:pPr>
        <w:ind w:left="900" w:right="-1800"/>
      </w:pP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Add 12.5 µl Dilution III to 5 cc culture D to get final concentration.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Add 25 µl Dilution III to 5 cc culture E to get final concentration.</w:t>
      </w: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</w:p>
    <w:p w:rsidR="009C26EA" w:rsidRPr="00D22A36" w:rsidRDefault="009C26EA" w:rsidP="00824013">
      <w:pPr>
        <w:pStyle w:val="Normal1"/>
        <w:ind w:left="900" w:right="-1800"/>
        <w:rPr>
          <w:sz w:val="24"/>
          <w:szCs w:val="24"/>
        </w:rPr>
      </w:pPr>
      <w:r w:rsidRPr="00D22A36">
        <w:rPr>
          <w:sz w:val="24"/>
          <w:szCs w:val="24"/>
        </w:rPr>
        <w:t>*DEB is added to culture after it has incubated 24 hr.*</w:t>
      </w:r>
    </w:p>
    <w:p w:rsidR="009C26EA" w:rsidRDefault="009C26EA" w:rsidP="000207AC">
      <w:pPr>
        <w:ind w:right="-1800"/>
      </w:pPr>
    </w:p>
    <w:p w:rsidR="009C26EA" w:rsidRPr="001F0A86" w:rsidRDefault="009C26EA" w:rsidP="00D22A36">
      <w:pPr>
        <w:pStyle w:val="InsideAddress"/>
        <w:numPr>
          <w:ilvl w:val="0"/>
          <w:numId w:val="10"/>
        </w:numPr>
        <w:tabs>
          <w:tab w:val="clear" w:pos="2340"/>
          <w:tab w:val="num" w:pos="540"/>
        </w:tabs>
        <w:ind w:left="540" w:right="-1800" w:hanging="540"/>
        <w:rPr>
          <w:b/>
          <w:bCs/>
          <w:sz w:val="24"/>
          <w:szCs w:val="24"/>
        </w:rPr>
      </w:pPr>
      <w:r w:rsidRPr="001F0A86">
        <w:rPr>
          <w:b/>
          <w:bCs/>
          <w:sz w:val="24"/>
          <w:szCs w:val="24"/>
        </w:rPr>
        <w:t>Harvest</w:t>
      </w:r>
    </w:p>
    <w:p w:rsidR="009C26EA" w:rsidRPr="001F0A86" w:rsidRDefault="009C26EA" w:rsidP="00D22A36">
      <w:pPr>
        <w:pStyle w:val="Normal1"/>
        <w:ind w:left="540" w:right="-1800"/>
        <w:rPr>
          <w:sz w:val="24"/>
          <w:szCs w:val="24"/>
        </w:rPr>
      </w:pPr>
      <w:r w:rsidRPr="001F0A86">
        <w:rPr>
          <w:sz w:val="24"/>
          <w:szCs w:val="24"/>
        </w:rPr>
        <w:t xml:space="preserve">Cultures A, B, E for patient and for control are harvested at 72 </w:t>
      </w:r>
      <w:proofErr w:type="spellStart"/>
      <w:r w:rsidRPr="001F0A86">
        <w:rPr>
          <w:sz w:val="24"/>
          <w:szCs w:val="24"/>
        </w:rPr>
        <w:t>hr</w:t>
      </w:r>
      <w:proofErr w:type="spellEnd"/>
      <w:r w:rsidRPr="001F0A86">
        <w:rPr>
          <w:sz w:val="24"/>
          <w:szCs w:val="24"/>
        </w:rPr>
        <w:t xml:space="preserve"> (3 days), and cultures F, G are harvested at 96 </w:t>
      </w:r>
      <w:proofErr w:type="spellStart"/>
      <w:r w:rsidRPr="001F0A86">
        <w:rPr>
          <w:sz w:val="24"/>
          <w:szCs w:val="24"/>
        </w:rPr>
        <w:t>hr</w:t>
      </w:r>
      <w:proofErr w:type="spellEnd"/>
      <w:r w:rsidRPr="001F0A86">
        <w:rPr>
          <w:sz w:val="24"/>
          <w:szCs w:val="24"/>
        </w:rPr>
        <w:t xml:space="preserve"> (4 days).  Harvest procedures are the same a</w:t>
      </w:r>
      <w:r>
        <w:rPr>
          <w:sz w:val="24"/>
          <w:szCs w:val="24"/>
        </w:rPr>
        <w:t xml:space="preserve">s routine for Peripheral Blood Cultures in </w:t>
      </w:r>
      <w:proofErr w:type="spellStart"/>
      <w:r>
        <w:rPr>
          <w:sz w:val="24"/>
          <w:szCs w:val="24"/>
        </w:rPr>
        <w:t>Hanabi</w:t>
      </w:r>
      <w:proofErr w:type="spellEnd"/>
      <w:r>
        <w:rPr>
          <w:sz w:val="24"/>
          <w:szCs w:val="24"/>
        </w:rPr>
        <w:t xml:space="preserve"> Harvester.</w:t>
      </w:r>
    </w:p>
    <w:p w:rsidR="009C26EA" w:rsidRDefault="009C26EA" w:rsidP="000207AC">
      <w:pPr>
        <w:ind w:right="-1800"/>
      </w:pPr>
    </w:p>
    <w:p w:rsidR="009C26EA" w:rsidRDefault="009C26EA" w:rsidP="00D22A36">
      <w:pPr>
        <w:numPr>
          <w:ilvl w:val="0"/>
          <w:numId w:val="10"/>
        </w:numPr>
        <w:tabs>
          <w:tab w:val="clear" w:pos="2340"/>
          <w:tab w:val="num" w:pos="540"/>
        </w:tabs>
        <w:ind w:left="540" w:right="-1800" w:hanging="540"/>
        <w:rPr>
          <w:bCs/>
        </w:rPr>
      </w:pPr>
      <w:r>
        <w:rPr>
          <w:b/>
          <w:bCs/>
        </w:rPr>
        <w:t xml:space="preserve">Slide Making and Analysis - </w:t>
      </w:r>
    </w:p>
    <w:p w:rsidR="009C26EA" w:rsidRPr="001F0A86" w:rsidRDefault="009C26EA" w:rsidP="00D22A36">
      <w:pPr>
        <w:pStyle w:val="Normal1"/>
        <w:ind w:left="540" w:right="-1800"/>
        <w:rPr>
          <w:sz w:val="24"/>
          <w:szCs w:val="24"/>
        </w:rPr>
      </w:pPr>
      <w:r>
        <w:rPr>
          <w:sz w:val="24"/>
          <w:szCs w:val="24"/>
        </w:rPr>
        <w:t>Make s</w:t>
      </w:r>
      <w:r w:rsidRPr="001F0A86">
        <w:rPr>
          <w:sz w:val="24"/>
          <w:szCs w:val="24"/>
        </w:rPr>
        <w:t>lides from A, B, E, G for both patient and control</w:t>
      </w:r>
      <w:r>
        <w:rPr>
          <w:sz w:val="24"/>
          <w:szCs w:val="24"/>
        </w:rPr>
        <w:t xml:space="preserve"> slides</w:t>
      </w:r>
      <w:r w:rsidRPr="001F0A86">
        <w:rPr>
          <w:sz w:val="24"/>
          <w:szCs w:val="24"/>
        </w:rPr>
        <w:t xml:space="preserve"> are stained with Wright-stained (do not use trypsin).  50 cells are scored from 40 </w:t>
      </w:r>
      <w:proofErr w:type="spellStart"/>
      <w:r w:rsidRPr="001F0A86">
        <w:rPr>
          <w:sz w:val="24"/>
          <w:szCs w:val="24"/>
        </w:rPr>
        <w:t>ng</w:t>
      </w:r>
      <w:proofErr w:type="spellEnd"/>
      <w:r w:rsidRPr="001F0A86">
        <w:rPr>
          <w:sz w:val="24"/>
          <w:szCs w:val="24"/>
        </w:rPr>
        <w:t xml:space="preserve">/ml MMC culture G and DEB culture E.  If an adequate number of metaphases </w:t>
      </w:r>
      <w:proofErr w:type="gramStart"/>
      <w:r w:rsidRPr="001F0A86">
        <w:rPr>
          <w:sz w:val="24"/>
          <w:szCs w:val="24"/>
        </w:rPr>
        <w:t>is</w:t>
      </w:r>
      <w:proofErr w:type="gramEnd"/>
      <w:r w:rsidRPr="001F0A86">
        <w:rPr>
          <w:sz w:val="24"/>
          <w:szCs w:val="24"/>
        </w:rPr>
        <w:t xml:space="preserve"> not obtained from 40 </w:t>
      </w:r>
      <w:proofErr w:type="spellStart"/>
      <w:r w:rsidRPr="001F0A86">
        <w:rPr>
          <w:sz w:val="24"/>
          <w:szCs w:val="24"/>
        </w:rPr>
        <w:t>ng</w:t>
      </w:r>
      <w:proofErr w:type="spellEnd"/>
      <w:r w:rsidRPr="001F0A86">
        <w:rPr>
          <w:sz w:val="24"/>
          <w:szCs w:val="24"/>
        </w:rPr>
        <w:t xml:space="preserve">/ml MMC culture, go to 20 </w:t>
      </w:r>
      <w:proofErr w:type="spellStart"/>
      <w:r w:rsidRPr="001F0A86">
        <w:rPr>
          <w:sz w:val="24"/>
          <w:szCs w:val="24"/>
        </w:rPr>
        <w:t>ng</w:t>
      </w:r>
      <w:proofErr w:type="spellEnd"/>
      <w:r w:rsidRPr="001F0A86">
        <w:rPr>
          <w:sz w:val="24"/>
          <w:szCs w:val="24"/>
        </w:rPr>
        <w:t xml:space="preserve">/ml MMC culture F.  Score the A and B cultures (no </w:t>
      </w:r>
      <w:proofErr w:type="spellStart"/>
      <w:r w:rsidRPr="001F0A86">
        <w:rPr>
          <w:sz w:val="24"/>
          <w:szCs w:val="24"/>
        </w:rPr>
        <w:t>clastogens</w:t>
      </w:r>
      <w:proofErr w:type="spellEnd"/>
      <w:r w:rsidRPr="001F0A86">
        <w:rPr>
          <w:sz w:val="24"/>
          <w:szCs w:val="24"/>
        </w:rPr>
        <w:t xml:space="preserve">) only if MMC &amp; DEB cultures are positive.  Take sample photographs of some "pertinent" cells.  Results are tabulated in the table shown below. Reference ranges for radial figures are: </w:t>
      </w:r>
      <w:smartTag w:uri="urn:schemas-microsoft-com:office:smarttags" w:element="City">
        <w:smartTag w:uri="urn:schemas-microsoft-com:office:smarttags" w:element="place">
          <w:r w:rsidRPr="001F0A86">
            <w:rPr>
              <w:sz w:val="24"/>
              <w:szCs w:val="24"/>
            </w:rPr>
            <w:t>Normal</w:t>
          </w:r>
        </w:smartTag>
      </w:smartTag>
      <w:r w:rsidRPr="001F0A86">
        <w:rPr>
          <w:sz w:val="24"/>
          <w:szCs w:val="24"/>
        </w:rPr>
        <w:t xml:space="preserve">: 0-4%, </w:t>
      </w:r>
      <w:proofErr w:type="spellStart"/>
      <w:r w:rsidRPr="001F0A86">
        <w:rPr>
          <w:sz w:val="24"/>
          <w:szCs w:val="24"/>
        </w:rPr>
        <w:t>Fanconi</w:t>
      </w:r>
      <w:proofErr w:type="spellEnd"/>
      <w:r w:rsidRPr="001F0A86">
        <w:rPr>
          <w:sz w:val="24"/>
          <w:szCs w:val="24"/>
        </w:rPr>
        <w:t>: 30-100%</w:t>
      </w:r>
    </w:p>
    <w:p w:rsidR="009C26EA" w:rsidRDefault="009C26EA" w:rsidP="00D22A36">
      <w:pPr>
        <w:rPr>
          <w:sz w:val="28"/>
          <w:szCs w:val="28"/>
        </w:rPr>
      </w:pPr>
    </w:p>
    <w:p w:rsidR="009C26EA" w:rsidRPr="00263643" w:rsidRDefault="009C26EA" w:rsidP="000207AC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9C26EA" w:rsidRDefault="009C26EA" w:rsidP="00D22A36">
      <w:pPr>
        <w:numPr>
          <w:ilvl w:val="0"/>
          <w:numId w:val="11"/>
        </w:numPr>
        <w:tabs>
          <w:tab w:val="clear" w:pos="2340"/>
          <w:tab w:val="num" w:pos="0"/>
        </w:tabs>
        <w:ind w:left="0" w:right="-1800" w:hanging="540"/>
      </w:pPr>
      <w:proofErr w:type="spellStart"/>
      <w:r w:rsidRPr="00D22A36">
        <w:t>Auerbach</w:t>
      </w:r>
      <w:proofErr w:type="spellEnd"/>
      <w:r w:rsidRPr="00D22A36">
        <w:t xml:space="preserve">, A.D., Adler, B., and </w:t>
      </w:r>
      <w:proofErr w:type="spellStart"/>
      <w:r w:rsidRPr="00D22A36">
        <w:t>Chaganti</w:t>
      </w:r>
      <w:proofErr w:type="spellEnd"/>
      <w:r w:rsidRPr="00D22A36">
        <w:t xml:space="preserve">, R.S.K.  Prenatal and postnatal diagnosis and carrier detection of </w:t>
      </w:r>
      <w:proofErr w:type="spellStart"/>
      <w:r w:rsidRPr="00D22A36">
        <w:t>Fanconi</w:t>
      </w:r>
      <w:proofErr w:type="spellEnd"/>
      <w:r w:rsidRPr="00D22A36">
        <w:t xml:space="preserve"> anemia by a cytogenetic method.  </w:t>
      </w:r>
      <w:r w:rsidRPr="00D22A36">
        <w:rPr>
          <w:i/>
        </w:rPr>
        <w:t>Pediatrics</w:t>
      </w:r>
      <w:r w:rsidRPr="00D22A36">
        <w:t xml:space="preserve"> 67:128-135, 1981.</w:t>
      </w:r>
    </w:p>
    <w:p w:rsidR="009C26EA" w:rsidRDefault="009C26EA" w:rsidP="00D22A36">
      <w:pPr>
        <w:numPr>
          <w:ilvl w:val="0"/>
          <w:numId w:val="11"/>
        </w:numPr>
        <w:tabs>
          <w:tab w:val="clear" w:pos="2340"/>
          <w:tab w:val="num" w:pos="0"/>
        </w:tabs>
        <w:ind w:left="0" w:right="-1800" w:hanging="540"/>
      </w:pPr>
      <w:proofErr w:type="spellStart"/>
      <w:r w:rsidRPr="00D22A36">
        <w:t>Cervenka</w:t>
      </w:r>
      <w:proofErr w:type="spellEnd"/>
      <w:r w:rsidRPr="00D22A36">
        <w:t xml:space="preserve">, J., and Hirsh, B.A.  Cytogenetic differentiation of </w:t>
      </w:r>
      <w:proofErr w:type="spellStart"/>
      <w:r w:rsidRPr="00D22A36">
        <w:t>Fanconi</w:t>
      </w:r>
      <w:proofErr w:type="spellEnd"/>
      <w:r w:rsidRPr="00D22A36">
        <w:t xml:space="preserve"> Anemia, idiopathic aplastic anemia, and </w:t>
      </w:r>
      <w:proofErr w:type="spellStart"/>
      <w:r w:rsidRPr="00D22A36">
        <w:t>Fanconi</w:t>
      </w:r>
      <w:proofErr w:type="spellEnd"/>
      <w:r w:rsidRPr="00D22A36">
        <w:t xml:space="preserve"> anemia heterozygotes.  </w:t>
      </w:r>
      <w:r w:rsidRPr="00D22A36">
        <w:rPr>
          <w:i/>
        </w:rPr>
        <w:t>Am. J. Med. Genet.</w:t>
      </w:r>
      <w:r w:rsidRPr="00D22A36">
        <w:t xml:space="preserve"> 15:211-223, 1983.</w:t>
      </w:r>
    </w:p>
    <w:p w:rsidR="009C26EA" w:rsidRPr="00D22A36" w:rsidRDefault="009C26EA" w:rsidP="00D22A36">
      <w:pPr>
        <w:numPr>
          <w:ilvl w:val="0"/>
          <w:numId w:val="11"/>
        </w:numPr>
        <w:tabs>
          <w:tab w:val="clear" w:pos="2340"/>
          <w:tab w:val="num" w:pos="0"/>
        </w:tabs>
        <w:ind w:left="0" w:right="-1800" w:hanging="540"/>
      </w:pPr>
      <w:r w:rsidRPr="00D22A36">
        <w:t>Schroeder-</w:t>
      </w:r>
      <w:proofErr w:type="spellStart"/>
      <w:r w:rsidRPr="00D22A36">
        <w:t>Kurth</w:t>
      </w:r>
      <w:proofErr w:type="spellEnd"/>
      <w:r w:rsidRPr="00D22A36">
        <w:t xml:space="preserve">, T.M., </w:t>
      </w:r>
      <w:proofErr w:type="spellStart"/>
      <w:r w:rsidRPr="00D22A36">
        <w:t>Auerbach</w:t>
      </w:r>
      <w:proofErr w:type="spellEnd"/>
      <w:r w:rsidRPr="00D22A36">
        <w:t xml:space="preserve">, A.D., and </w:t>
      </w:r>
      <w:proofErr w:type="spellStart"/>
      <w:r w:rsidRPr="00D22A36">
        <w:t>Obe</w:t>
      </w:r>
      <w:proofErr w:type="spellEnd"/>
      <w:r w:rsidRPr="00D22A36">
        <w:t xml:space="preserve">, G., eds.  </w:t>
      </w:r>
      <w:proofErr w:type="spellStart"/>
      <w:r w:rsidRPr="00D22A36">
        <w:rPr>
          <w:i/>
        </w:rPr>
        <w:t>Fanconi</w:t>
      </w:r>
      <w:proofErr w:type="spellEnd"/>
      <w:r w:rsidRPr="00D22A36">
        <w:rPr>
          <w:i/>
        </w:rPr>
        <w:t xml:space="preserve"> Anemia: Clinical, Cytogenetic, and Experimental Aspects</w:t>
      </w:r>
      <w:r w:rsidRPr="00D22A36">
        <w:t xml:space="preserve">.  </w:t>
      </w:r>
      <w:smartTag w:uri="urn:schemas-microsoft-com:office:smarttags" w:element="place">
        <w:smartTag w:uri="urn:schemas-microsoft-com:office:smarttags" w:element="State">
          <w:r w:rsidRPr="00D22A36">
            <w:t>Berlin</w:t>
          </w:r>
        </w:smartTag>
      </w:smartTag>
      <w:r w:rsidRPr="00D22A36">
        <w:t>: Springer-</w:t>
      </w:r>
      <w:proofErr w:type="spellStart"/>
      <w:r w:rsidRPr="00D22A36">
        <w:t>Verlag</w:t>
      </w:r>
      <w:proofErr w:type="spellEnd"/>
      <w:r w:rsidRPr="00D22A36">
        <w:t>, 1989.</w:t>
      </w:r>
    </w:p>
    <w:p w:rsidR="009C26EA" w:rsidRDefault="009C26EA" w:rsidP="00CF1F96">
      <w:pPr>
        <w:rPr>
          <w:sz w:val="20"/>
          <w:szCs w:val="20"/>
        </w:rPr>
      </w:pPr>
    </w:p>
    <w:p w:rsidR="009C26EA" w:rsidRDefault="009C26EA" w:rsidP="00CF1F96">
      <w:pPr>
        <w:rPr>
          <w:sz w:val="20"/>
          <w:szCs w:val="20"/>
        </w:rPr>
      </w:pPr>
    </w:p>
    <w:p w:rsidR="009C26EA" w:rsidRPr="00E4733E" w:rsidRDefault="009C26EA" w:rsidP="000207AC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APPENDIXES</w:t>
      </w:r>
    </w:p>
    <w:p w:rsidR="009C26EA" w:rsidRPr="000207AC" w:rsidRDefault="009C26EA" w:rsidP="00CF1F96">
      <w:pPr>
        <w:ind w:left="-540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504"/>
        <w:gridCol w:w="504"/>
        <w:gridCol w:w="504"/>
        <w:gridCol w:w="504"/>
        <w:gridCol w:w="504"/>
        <w:gridCol w:w="504"/>
        <w:gridCol w:w="504"/>
        <w:gridCol w:w="504"/>
        <w:gridCol w:w="684"/>
        <w:gridCol w:w="900"/>
        <w:gridCol w:w="1080"/>
        <w:gridCol w:w="864"/>
      </w:tblGrid>
      <w:tr w:rsidR="009C26EA" w:rsidTr="00C644B8">
        <w:tc>
          <w:tcPr>
            <w:tcW w:w="1080" w:type="dxa"/>
            <w:vMerge w:val="restart"/>
          </w:tcPr>
          <w:p w:rsidR="009C26EA" w:rsidRPr="00C644B8" w:rsidRDefault="009C26EA" w:rsidP="00C644B8">
            <w:pPr>
              <w:ind w:left="-108"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Lab Number</w:t>
            </w:r>
          </w:p>
        </w:tc>
        <w:tc>
          <w:tcPr>
            <w:tcW w:w="2124" w:type="dxa"/>
            <w:gridSpan w:val="2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proofErr w:type="spellStart"/>
            <w:r w:rsidRPr="00C644B8">
              <w:rPr>
                <w:i/>
                <w:sz w:val="20"/>
                <w:szCs w:val="20"/>
              </w:rPr>
              <w:t>Clastogen</w:t>
            </w:r>
            <w:proofErr w:type="spellEnd"/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  <w:vMerge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&gt;=8</w:t>
            </w:r>
          </w:p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Radials</w:t>
            </w: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% Cells w/</w:t>
            </w:r>
          </w:p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 xml:space="preserve"> radials</w:t>
            </w: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>Total #</w:t>
            </w:r>
          </w:p>
          <w:p w:rsidR="009C26EA" w:rsidRPr="00C644B8" w:rsidRDefault="009C26EA" w:rsidP="00C644B8">
            <w:pPr>
              <w:ind w:right="-1800"/>
              <w:rPr>
                <w:i/>
                <w:sz w:val="20"/>
                <w:szCs w:val="20"/>
              </w:rPr>
            </w:pPr>
            <w:r w:rsidRPr="00C644B8">
              <w:rPr>
                <w:i/>
                <w:sz w:val="20"/>
                <w:szCs w:val="20"/>
              </w:rPr>
              <w:t xml:space="preserve"> Cells</w:t>
            </w: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proofErr w:type="spellStart"/>
            <w:r w:rsidRPr="00C644B8">
              <w:rPr>
                <w:sz w:val="20"/>
                <w:szCs w:val="20"/>
              </w:rPr>
              <w:t>Proband</w:t>
            </w:r>
            <w:proofErr w:type="spellEnd"/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No </w:t>
            </w:r>
            <w:proofErr w:type="spellStart"/>
            <w:r w:rsidRPr="00C644B8">
              <w:rPr>
                <w:sz w:val="20"/>
                <w:szCs w:val="20"/>
              </w:rPr>
              <w:t>clastogen</w:t>
            </w:r>
            <w:proofErr w:type="spellEnd"/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20 </w:t>
            </w:r>
            <w:proofErr w:type="spellStart"/>
            <w:r w:rsidRPr="00C644B8">
              <w:rPr>
                <w:sz w:val="20"/>
                <w:szCs w:val="20"/>
              </w:rPr>
              <w:t>ng</w:t>
            </w:r>
            <w:proofErr w:type="spellEnd"/>
            <w:r w:rsidRPr="00C644B8">
              <w:rPr>
                <w:sz w:val="20"/>
                <w:szCs w:val="20"/>
              </w:rPr>
              <w:t>/ml MMC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10 </w:t>
            </w:r>
            <w:proofErr w:type="spellStart"/>
            <w:r w:rsidRPr="00C644B8">
              <w:rPr>
                <w:sz w:val="20"/>
                <w:szCs w:val="20"/>
              </w:rPr>
              <w:t>ng</w:t>
            </w:r>
            <w:proofErr w:type="spellEnd"/>
            <w:r w:rsidRPr="00C644B8">
              <w:rPr>
                <w:sz w:val="20"/>
                <w:szCs w:val="20"/>
              </w:rPr>
              <w:t>/ml MMC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>0.01</w:t>
            </w:r>
            <w:r w:rsidRPr="00C644B8">
              <w:rPr>
                <w:snapToGrid w:val="0"/>
                <w:sz w:val="20"/>
                <w:szCs w:val="20"/>
              </w:rPr>
              <w:t xml:space="preserve"> µg/ml DEB</w:t>
            </w:r>
            <w:r w:rsidRPr="00C6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>Control</w:t>
            </w: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No </w:t>
            </w:r>
            <w:proofErr w:type="spellStart"/>
            <w:r w:rsidRPr="00C644B8">
              <w:rPr>
                <w:sz w:val="20"/>
                <w:szCs w:val="20"/>
              </w:rPr>
              <w:t>clastogen</w:t>
            </w:r>
            <w:proofErr w:type="spellEnd"/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20 </w:t>
            </w:r>
            <w:proofErr w:type="spellStart"/>
            <w:r w:rsidRPr="00C644B8">
              <w:rPr>
                <w:sz w:val="20"/>
                <w:szCs w:val="20"/>
              </w:rPr>
              <w:t>ng</w:t>
            </w:r>
            <w:proofErr w:type="spellEnd"/>
            <w:r w:rsidRPr="00C644B8">
              <w:rPr>
                <w:sz w:val="20"/>
                <w:szCs w:val="20"/>
              </w:rPr>
              <w:t>/ml MMC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10 </w:t>
            </w:r>
            <w:proofErr w:type="spellStart"/>
            <w:r w:rsidRPr="00C644B8">
              <w:rPr>
                <w:sz w:val="20"/>
                <w:szCs w:val="20"/>
              </w:rPr>
              <w:t>ng</w:t>
            </w:r>
            <w:proofErr w:type="spellEnd"/>
            <w:r w:rsidRPr="00C644B8">
              <w:rPr>
                <w:sz w:val="20"/>
                <w:szCs w:val="20"/>
              </w:rPr>
              <w:t>/ml MMC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>0.01</w:t>
            </w:r>
            <w:r w:rsidRPr="00C644B8">
              <w:rPr>
                <w:snapToGrid w:val="0"/>
                <w:sz w:val="20"/>
                <w:szCs w:val="20"/>
              </w:rPr>
              <w:t xml:space="preserve"> µg/ml DEB</w:t>
            </w:r>
            <w:r w:rsidRPr="00C6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2700" w:type="dxa"/>
            <w:gridSpan w:val="2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>MMC=</w:t>
            </w:r>
            <w:proofErr w:type="spellStart"/>
            <w:r w:rsidRPr="00C644B8">
              <w:rPr>
                <w:sz w:val="20"/>
                <w:szCs w:val="20"/>
              </w:rPr>
              <w:t>Mitomycin</w:t>
            </w:r>
            <w:proofErr w:type="spellEnd"/>
            <w:r w:rsidRPr="00C644B8">
              <w:rPr>
                <w:sz w:val="20"/>
                <w:szCs w:val="20"/>
              </w:rPr>
              <w:t xml:space="preserve"> C</w:t>
            </w: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</w:p>
        </w:tc>
      </w:tr>
      <w:tr w:rsidR="009C26EA" w:rsidTr="00C644B8">
        <w:tc>
          <w:tcPr>
            <w:tcW w:w="2700" w:type="dxa"/>
            <w:gridSpan w:val="2"/>
          </w:tcPr>
          <w:p w:rsidR="009C26EA" w:rsidRPr="00C644B8" w:rsidRDefault="009C26EA" w:rsidP="00C644B8">
            <w:pPr>
              <w:ind w:right="-1800"/>
              <w:rPr>
                <w:sz w:val="20"/>
                <w:szCs w:val="20"/>
              </w:rPr>
            </w:pPr>
            <w:r w:rsidRPr="00C644B8">
              <w:rPr>
                <w:sz w:val="20"/>
                <w:szCs w:val="20"/>
              </w:rPr>
              <w:t xml:space="preserve">DEB - </w:t>
            </w:r>
            <w:proofErr w:type="spellStart"/>
            <w:r w:rsidRPr="00C644B8">
              <w:rPr>
                <w:sz w:val="20"/>
                <w:szCs w:val="20"/>
              </w:rPr>
              <w:t>Diepoxybutane</w:t>
            </w:r>
            <w:proofErr w:type="spellEnd"/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50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684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900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1080" w:type="dxa"/>
          </w:tcPr>
          <w:p w:rsidR="009C26EA" w:rsidRDefault="009C26EA" w:rsidP="00C644B8">
            <w:pPr>
              <w:ind w:right="-1800"/>
            </w:pPr>
          </w:p>
        </w:tc>
        <w:tc>
          <w:tcPr>
            <w:tcW w:w="864" w:type="dxa"/>
          </w:tcPr>
          <w:p w:rsidR="009C26EA" w:rsidRDefault="009C26EA" w:rsidP="00C644B8">
            <w:pPr>
              <w:ind w:right="-1800"/>
            </w:pPr>
          </w:p>
        </w:tc>
      </w:tr>
    </w:tbl>
    <w:p w:rsidR="009C26EA" w:rsidRDefault="009C26EA" w:rsidP="00D22A36">
      <w:pPr>
        <w:ind w:left="-540"/>
      </w:pPr>
    </w:p>
    <w:p w:rsidR="009C26EA" w:rsidRPr="00D22A36" w:rsidRDefault="009C26EA" w:rsidP="00D22A36">
      <w:pPr>
        <w:ind w:left="-540"/>
        <w:rPr>
          <w:b/>
        </w:rPr>
      </w:pPr>
      <w:r w:rsidRPr="00D22A36">
        <w:rPr>
          <w:b/>
        </w:rPr>
        <w:t>Breakage/Radial Analysis</w:t>
      </w:r>
    </w:p>
    <w:p w:rsidR="009C26EA" w:rsidRDefault="009C26EA" w:rsidP="00374EC4">
      <w:pPr>
        <w:ind w:right="-1800"/>
      </w:pPr>
    </w:p>
    <w:p w:rsidR="009C26EA" w:rsidRDefault="009C26EA" w:rsidP="004A695F">
      <w:pPr>
        <w:rPr>
          <w:sz w:val="20"/>
          <w:szCs w:val="20"/>
        </w:rPr>
      </w:pPr>
    </w:p>
    <w:p w:rsidR="009C26EA" w:rsidRDefault="009C26EA" w:rsidP="00D26371">
      <w:pPr>
        <w:ind w:left="-540"/>
      </w:pPr>
    </w:p>
    <w:p w:rsidR="009C26EA" w:rsidRDefault="009C26EA" w:rsidP="00D26371">
      <w:pPr>
        <w:ind w:left="-540"/>
      </w:pPr>
    </w:p>
    <w:p w:rsidR="009C26EA" w:rsidRDefault="009C26EA" w:rsidP="00D26371">
      <w:pPr>
        <w:ind w:left="-540"/>
      </w:pPr>
    </w:p>
    <w:p w:rsidR="009C26EA" w:rsidRDefault="009C26EA" w:rsidP="00D26371">
      <w:pPr>
        <w:ind w:left="-540"/>
      </w:pPr>
    </w:p>
    <w:p w:rsidR="009C26EA" w:rsidRDefault="009C26EA" w:rsidP="00D26371">
      <w:pPr>
        <w:ind w:left="-540"/>
      </w:pPr>
      <w:r w:rsidRPr="007A464A">
        <w:lastRenderedPageBreak/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9C26EA" w:rsidRPr="008A212E" w:rsidRDefault="009C26EA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9C26EA" w:rsidRPr="007A464A" w:rsidRDefault="009C26EA" w:rsidP="00D26371">
      <w:pPr>
        <w:ind w:left="-540"/>
      </w:pPr>
    </w:p>
    <w:p w:rsidR="009C26EA" w:rsidRDefault="009C26EA" w:rsidP="00C86AA9"/>
    <w:p w:rsidR="009C26EA" w:rsidRDefault="009C26EA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9C26EA" w:rsidRPr="008F04F3" w:rsidRDefault="009C26EA" w:rsidP="00D26371">
      <w:pPr>
        <w:ind w:left="-540"/>
      </w:pPr>
      <w:r>
        <w:t xml:space="preserve"> Cytogenetics Supervisor</w:t>
      </w:r>
      <w:r>
        <w:tab/>
      </w:r>
    </w:p>
    <w:sectPr w:rsidR="009C26EA" w:rsidRPr="008F04F3" w:rsidSect="00824013">
      <w:footerReference w:type="default" r:id="rId8"/>
      <w:pgSz w:w="12240" w:h="15840" w:code="1"/>
      <w:pgMar w:top="1000" w:right="288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EA" w:rsidRDefault="009C26EA">
      <w:r>
        <w:separator/>
      </w:r>
    </w:p>
  </w:endnote>
  <w:endnote w:type="continuationSeparator" w:id="0">
    <w:p w:rsidR="009C26EA" w:rsidRDefault="009C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EA" w:rsidRPr="002C1CD7" w:rsidRDefault="009C26EA" w:rsidP="005A49BB">
    <w:pPr>
      <w:pStyle w:val="Footer"/>
      <w:ind w:left="-540" w:firstLine="0"/>
      <w:rPr>
        <w:color w:val="999999"/>
      </w:rPr>
    </w:pPr>
    <w:proofErr w:type="spellStart"/>
    <w:r>
      <w:rPr>
        <w:color w:val="999999"/>
      </w:rPr>
      <w:t>Fanconi's</w:t>
    </w:r>
    <w:proofErr w:type="spellEnd"/>
    <w:r>
      <w:rPr>
        <w:color w:val="999999"/>
      </w:rPr>
      <w:t xml:space="preserve"> Anemia Breakage Study</w:t>
    </w:r>
  </w:p>
  <w:p w:rsidR="009C26EA" w:rsidRPr="002C1CD7" w:rsidRDefault="009C26EA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EA" w:rsidRDefault="009C26EA">
      <w:r>
        <w:separator/>
      </w:r>
    </w:p>
  </w:footnote>
  <w:footnote w:type="continuationSeparator" w:id="0">
    <w:p w:rsidR="009C26EA" w:rsidRDefault="009C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868"/>
    <w:multiLevelType w:val="hybridMultilevel"/>
    <w:tmpl w:val="A8B6FAB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D93161"/>
    <w:multiLevelType w:val="hybridMultilevel"/>
    <w:tmpl w:val="8DEAC484"/>
    <w:lvl w:ilvl="0" w:tplc="307C6A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176832"/>
    <w:multiLevelType w:val="hybridMultilevel"/>
    <w:tmpl w:val="69A8C65C"/>
    <w:lvl w:ilvl="0" w:tplc="718CA33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EC39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4C287F"/>
    <w:multiLevelType w:val="hybridMultilevel"/>
    <w:tmpl w:val="EE249AC6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B878C5"/>
    <w:multiLevelType w:val="hybridMultilevel"/>
    <w:tmpl w:val="C980D522"/>
    <w:lvl w:ilvl="0" w:tplc="470AD56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315630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DC754F"/>
    <w:multiLevelType w:val="hybridMultilevel"/>
    <w:tmpl w:val="73284D16"/>
    <w:lvl w:ilvl="0" w:tplc="1FC8898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315630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226891"/>
    <w:multiLevelType w:val="hybridMultilevel"/>
    <w:tmpl w:val="A25C202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FA7464"/>
    <w:multiLevelType w:val="multilevel"/>
    <w:tmpl w:val="8D789EAA"/>
    <w:lvl w:ilvl="0">
      <w:start w:val="1"/>
      <w:numFmt w:val="decimal"/>
      <w:lvlText w:val="%1."/>
      <w:lvlJc w:val="left"/>
      <w:pPr>
        <w:tabs>
          <w:tab w:val="num" w:pos="1620"/>
        </w:tabs>
        <w:ind w:left="20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9715B82"/>
    <w:multiLevelType w:val="hybridMultilevel"/>
    <w:tmpl w:val="90407070"/>
    <w:lvl w:ilvl="0" w:tplc="E05CE8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A33EF6"/>
    <w:multiLevelType w:val="hybridMultilevel"/>
    <w:tmpl w:val="FB5CAC80"/>
    <w:lvl w:ilvl="0" w:tplc="7654FBA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CA3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403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0F09BB"/>
    <w:multiLevelType w:val="hybridMultilevel"/>
    <w:tmpl w:val="AFA83B12"/>
    <w:lvl w:ilvl="0" w:tplc="BE4032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DC290A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E46133"/>
    <w:multiLevelType w:val="multilevel"/>
    <w:tmpl w:val="0D30489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EC2B3F"/>
    <w:multiLevelType w:val="hybridMultilevel"/>
    <w:tmpl w:val="9B70AE44"/>
    <w:lvl w:ilvl="0" w:tplc="F3C4697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07AC"/>
    <w:rsid w:val="000212BF"/>
    <w:rsid w:val="000236D2"/>
    <w:rsid w:val="00025F1E"/>
    <w:rsid w:val="000333F4"/>
    <w:rsid w:val="00034AE3"/>
    <w:rsid w:val="000401C1"/>
    <w:rsid w:val="00042E0F"/>
    <w:rsid w:val="00043ED0"/>
    <w:rsid w:val="00045FED"/>
    <w:rsid w:val="00053748"/>
    <w:rsid w:val="0006047B"/>
    <w:rsid w:val="000621D1"/>
    <w:rsid w:val="00065823"/>
    <w:rsid w:val="00067F59"/>
    <w:rsid w:val="00074CCF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E5BF5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0A86"/>
    <w:rsid w:val="001F3440"/>
    <w:rsid w:val="001F4B56"/>
    <w:rsid w:val="001F5AC1"/>
    <w:rsid w:val="001F5C07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59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0823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CB6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74EC4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77DCF"/>
    <w:rsid w:val="00485059"/>
    <w:rsid w:val="00485259"/>
    <w:rsid w:val="00486E1B"/>
    <w:rsid w:val="00494C7B"/>
    <w:rsid w:val="004955DF"/>
    <w:rsid w:val="0049624D"/>
    <w:rsid w:val="004A5D69"/>
    <w:rsid w:val="004A67C5"/>
    <w:rsid w:val="004A695F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49BB"/>
    <w:rsid w:val="005A5C27"/>
    <w:rsid w:val="005B071F"/>
    <w:rsid w:val="005B3660"/>
    <w:rsid w:val="005B6F80"/>
    <w:rsid w:val="005C27B5"/>
    <w:rsid w:val="005C390A"/>
    <w:rsid w:val="005D3A11"/>
    <w:rsid w:val="005E53D7"/>
    <w:rsid w:val="005E5EF3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7664C"/>
    <w:rsid w:val="006867C5"/>
    <w:rsid w:val="00686F1B"/>
    <w:rsid w:val="00691CA9"/>
    <w:rsid w:val="006941FA"/>
    <w:rsid w:val="006A000B"/>
    <w:rsid w:val="006A092B"/>
    <w:rsid w:val="006A3EDE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E99"/>
    <w:rsid w:val="00742D36"/>
    <w:rsid w:val="00751990"/>
    <w:rsid w:val="0075200A"/>
    <w:rsid w:val="00752075"/>
    <w:rsid w:val="007522ED"/>
    <w:rsid w:val="00753393"/>
    <w:rsid w:val="00754017"/>
    <w:rsid w:val="0075583D"/>
    <w:rsid w:val="0075597D"/>
    <w:rsid w:val="00760CEB"/>
    <w:rsid w:val="00764B38"/>
    <w:rsid w:val="00767859"/>
    <w:rsid w:val="007678F2"/>
    <w:rsid w:val="0077147A"/>
    <w:rsid w:val="00776D6A"/>
    <w:rsid w:val="00782E0E"/>
    <w:rsid w:val="00783C3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5201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4013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0C0A"/>
    <w:rsid w:val="008C0EDC"/>
    <w:rsid w:val="008C0F83"/>
    <w:rsid w:val="008C2662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6EA"/>
    <w:rsid w:val="009C27E2"/>
    <w:rsid w:val="009C36C1"/>
    <w:rsid w:val="009C3A1E"/>
    <w:rsid w:val="009C3D8A"/>
    <w:rsid w:val="009C60D4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1A5E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5B7F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44B3"/>
    <w:rsid w:val="00BC4C52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44B8"/>
    <w:rsid w:val="00C730AD"/>
    <w:rsid w:val="00C738D7"/>
    <w:rsid w:val="00C75613"/>
    <w:rsid w:val="00C827E9"/>
    <w:rsid w:val="00C84FC2"/>
    <w:rsid w:val="00C85018"/>
    <w:rsid w:val="00C86AA9"/>
    <w:rsid w:val="00C954E2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1F96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2A36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76E3E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2AC2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5C10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B7009"/>
    <w:rsid w:val="00EC6997"/>
    <w:rsid w:val="00ED0520"/>
    <w:rsid w:val="00EE4CC0"/>
    <w:rsid w:val="00EF13FB"/>
    <w:rsid w:val="00EF4153"/>
    <w:rsid w:val="00F000C1"/>
    <w:rsid w:val="00F0180E"/>
    <w:rsid w:val="00F01AE3"/>
    <w:rsid w:val="00F02733"/>
    <w:rsid w:val="00F116C1"/>
    <w:rsid w:val="00F14B81"/>
    <w:rsid w:val="00F163F1"/>
    <w:rsid w:val="00F23EEC"/>
    <w:rsid w:val="00F25747"/>
    <w:rsid w:val="00F3035A"/>
    <w:rsid w:val="00F303AE"/>
    <w:rsid w:val="00F360CE"/>
    <w:rsid w:val="00F37D8A"/>
    <w:rsid w:val="00F50A53"/>
    <w:rsid w:val="00F53397"/>
    <w:rsid w:val="00F54990"/>
    <w:rsid w:val="00F617A1"/>
    <w:rsid w:val="00F61E6B"/>
    <w:rsid w:val="00F63E08"/>
    <w:rsid w:val="00F768E0"/>
    <w:rsid w:val="00F7718C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3D1A"/>
    <w:rsid w:val="00FC791E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207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13D0401A.dotm</Template>
  <TotalTime>6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9</cp:revision>
  <cp:lastPrinted>2013-04-02T21:53:00Z</cp:lastPrinted>
  <dcterms:created xsi:type="dcterms:W3CDTF">2013-01-28T18:24:00Z</dcterms:created>
  <dcterms:modified xsi:type="dcterms:W3CDTF">2013-04-02T21:54:00Z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