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C7" w:rsidRDefault="004851C7" w:rsidP="0022445E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</w:p>
    <w:p w:rsidR="004851C7" w:rsidRDefault="00F20330" w:rsidP="0022445E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kern w:val="0"/>
          <w:sz w:val="22"/>
          <w:szCs w:val="22"/>
        </w:rPr>
      </w:pPr>
      <w:r w:rsidRPr="0022445E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22445E">
        <w:rPr>
          <w:rFonts w:ascii="Arial" w:hAnsi="Arial" w:cs="Arial"/>
          <w:kern w:val="0"/>
          <w:sz w:val="22"/>
          <w:szCs w:val="22"/>
        </w:rPr>
        <w:t xml:space="preserve"> </w:t>
      </w:r>
      <w:r w:rsidRPr="0022445E">
        <w:rPr>
          <w:rFonts w:ascii="Arial" w:hAnsi="Arial" w:cs="Arial"/>
          <w:kern w:val="0"/>
          <w:sz w:val="22"/>
          <w:szCs w:val="22"/>
        </w:rPr>
        <w:tab/>
      </w:r>
    </w:p>
    <w:p w:rsidR="00F20330" w:rsidRDefault="00F20330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2445E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22445E">
        <w:rPr>
          <w:rFonts w:ascii="Arial" w:hAnsi="Arial" w:cs="Arial"/>
          <w:kern w:val="0"/>
          <w:sz w:val="22"/>
          <w:szCs w:val="22"/>
        </w:rPr>
        <w:t xml:space="preserve">es instructions for </w:t>
      </w:r>
      <w:r w:rsidR="006D703C" w:rsidRPr="0022445E">
        <w:rPr>
          <w:rFonts w:ascii="Arial" w:hAnsi="Arial" w:cs="Arial"/>
          <w:kern w:val="0"/>
          <w:sz w:val="22"/>
          <w:szCs w:val="22"/>
        </w:rPr>
        <w:t xml:space="preserve">reading and grading test tube </w:t>
      </w:r>
      <w:r w:rsidR="004851C7">
        <w:rPr>
          <w:rFonts w:ascii="Arial" w:hAnsi="Arial" w:cs="Arial"/>
          <w:kern w:val="0"/>
          <w:sz w:val="22"/>
          <w:szCs w:val="22"/>
        </w:rPr>
        <w:t xml:space="preserve">hemagglutination </w:t>
      </w:r>
      <w:r w:rsidR="006D703C" w:rsidRPr="0022445E">
        <w:rPr>
          <w:rFonts w:ascii="Arial" w:hAnsi="Arial" w:cs="Arial"/>
          <w:kern w:val="0"/>
          <w:sz w:val="22"/>
          <w:szCs w:val="22"/>
        </w:rPr>
        <w:t>reactions.</w:t>
      </w:r>
    </w:p>
    <w:p w:rsidR="003D0344" w:rsidRDefault="003D0344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</w:p>
    <w:p w:rsidR="003D0344" w:rsidRPr="00923071" w:rsidRDefault="003D0344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3D0344">
        <w:rPr>
          <w:rFonts w:ascii="Arial" w:hAnsi="Arial" w:cs="Arial"/>
          <w:b/>
          <w:kern w:val="0"/>
          <w:sz w:val="22"/>
          <w:szCs w:val="22"/>
        </w:rPr>
        <w:t xml:space="preserve">Policy:  </w:t>
      </w:r>
      <w:r w:rsidR="00923071">
        <w:rPr>
          <w:rFonts w:ascii="Arial" w:hAnsi="Arial" w:cs="Arial"/>
          <w:kern w:val="0"/>
          <w:sz w:val="22"/>
          <w:szCs w:val="22"/>
        </w:rPr>
        <w:t xml:space="preserve">Observations of all tube test results are recorded properly </w:t>
      </w:r>
      <w:r w:rsidR="00FD3784" w:rsidRPr="00FD3784">
        <w:rPr>
          <w:rFonts w:ascii="Arial" w:hAnsi="Arial" w:cs="Arial"/>
          <w:kern w:val="0"/>
          <w:sz w:val="22"/>
          <w:szCs w:val="22"/>
          <w:highlight w:val="yellow"/>
        </w:rPr>
        <w:t>and promptly</w:t>
      </w:r>
      <w:r w:rsidR="00FD3784">
        <w:rPr>
          <w:rFonts w:ascii="Arial" w:hAnsi="Arial" w:cs="Arial"/>
          <w:kern w:val="0"/>
          <w:sz w:val="22"/>
          <w:szCs w:val="22"/>
        </w:rPr>
        <w:t xml:space="preserve"> </w:t>
      </w:r>
      <w:r w:rsidR="00923071">
        <w:rPr>
          <w:rFonts w:ascii="Arial" w:hAnsi="Arial" w:cs="Arial"/>
          <w:kern w:val="0"/>
          <w:sz w:val="22"/>
          <w:szCs w:val="22"/>
        </w:rPr>
        <w:t>at the time the test is performed.</w:t>
      </w:r>
    </w:p>
    <w:p w:rsidR="0022445E" w:rsidRPr="0022445E" w:rsidRDefault="0022445E" w:rsidP="0022445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F20330" w:rsidRPr="0022445E" w:rsidRDefault="00F20330" w:rsidP="0022445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 w:rsidRPr="0022445E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990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40"/>
        <w:gridCol w:w="6660"/>
        <w:gridCol w:w="2700"/>
      </w:tblGrid>
      <w:tr w:rsidR="00660965" w:rsidRPr="00DA1D21" w:rsidTr="004851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" w:type="dxa"/>
            <w:gridSpan w:val="2"/>
            <w:textDirection w:val="btLr"/>
            <w:vAlign w:val="center"/>
          </w:tcPr>
          <w:p w:rsidR="00660965" w:rsidRPr="00DA1D21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vAlign w:val="center"/>
          </w:tcPr>
          <w:p w:rsidR="00660965" w:rsidRPr="004851C7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51C7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660965" w:rsidRPr="004851C7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51C7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22445E" w:rsidTr="004851C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20330" w:rsidRPr="0022445E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  <w:p w:rsidR="00F20330" w:rsidRPr="0022445E" w:rsidRDefault="00F20330" w:rsidP="00DA1D2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6D703C" w:rsidRPr="0022445E" w:rsidRDefault="006D703C" w:rsidP="004851C7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Remove a tube</w:t>
            </w:r>
            <w:r w:rsidR="0048484E" w:rsidRPr="0022445E">
              <w:rPr>
                <w:rFonts w:ascii="Arial" w:hAnsi="Arial" w:cs="Arial"/>
                <w:sz w:val="22"/>
                <w:szCs w:val="22"/>
              </w:rPr>
              <w:t>(s)</w:t>
            </w:r>
            <w:r w:rsidRPr="0022445E">
              <w:rPr>
                <w:rFonts w:ascii="Arial" w:hAnsi="Arial" w:cs="Arial"/>
                <w:sz w:val="22"/>
                <w:szCs w:val="22"/>
              </w:rPr>
              <w:t xml:space="preserve"> from the centrifuge head </w:t>
            </w:r>
          </w:p>
          <w:p w:rsidR="006D703C" w:rsidRDefault="00CA3493" w:rsidP="004851C7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the supernatant</w:t>
            </w:r>
            <w:r w:rsidR="006D703C" w:rsidRPr="0022445E">
              <w:rPr>
                <w:rFonts w:ascii="Arial" w:hAnsi="Arial" w:cs="Arial"/>
                <w:sz w:val="22"/>
                <w:szCs w:val="22"/>
              </w:rPr>
              <w:t xml:space="preserve"> for hemolysis over a white background.</w:t>
            </w:r>
          </w:p>
          <w:p w:rsidR="004851C7" w:rsidRPr="004851C7" w:rsidRDefault="004851C7" w:rsidP="004851C7">
            <w:pPr>
              <w:suppressAutoHyphens/>
              <w:rPr>
                <w:sz w:val="16"/>
                <w:szCs w:val="16"/>
              </w:rPr>
            </w:pPr>
          </w:p>
          <w:p w:rsidR="00F20330" w:rsidRPr="0022445E" w:rsidRDefault="006D703C" w:rsidP="004851C7">
            <w:pPr>
              <w:pStyle w:val="Header"/>
              <w:numPr>
                <w:ilvl w:val="1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22445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Note:</w:t>
            </w:r>
            <w:r w:rsidR="0022445E" w:rsidRPr="0022445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48484E" w:rsidRPr="0022445E">
              <w:rPr>
                <w:rFonts w:ascii="Arial" w:hAnsi="Arial" w:cs="Arial"/>
                <w:bCs/>
                <w:i/>
                <w:sz w:val="22"/>
                <w:szCs w:val="22"/>
              </w:rPr>
              <w:t>Plasma/</w:t>
            </w:r>
            <w:r w:rsidRPr="0022445E">
              <w:rPr>
                <w:rFonts w:ascii="Arial" w:hAnsi="Arial" w:cs="Arial"/>
                <w:i/>
                <w:sz w:val="22"/>
                <w:szCs w:val="22"/>
              </w:rPr>
              <w:t>Serum surrounding the centrifuged RBC buttons must be inspected for hemolysis. Hemolysis must be regarded as a positive sign of an antigen-antibody reaction if the pretest serum was not hemolyzed and no hemolytic agent was added to the test.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F20330" w:rsidRPr="0022445E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2445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</w:tr>
      <w:tr w:rsidR="00BF4D56" w:rsidRPr="0022445E" w:rsidTr="004851C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F4D56" w:rsidRPr="0022445E" w:rsidRDefault="00BF4D5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BF4D56" w:rsidRPr="0022445E" w:rsidRDefault="006D703C" w:rsidP="0022445E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Record the degree of hemolysis if present.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BF4D56" w:rsidRPr="0022445E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2445E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F20330" w:rsidRPr="0022445E" w:rsidTr="004851C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20330" w:rsidRPr="0022445E" w:rsidRDefault="00BF4D56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F20330" w:rsidRPr="0022445E" w:rsidRDefault="006D703C" w:rsidP="0022445E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Hold the tube</w:t>
            </w:r>
            <w:r w:rsidR="0048484E" w:rsidRPr="0022445E">
              <w:rPr>
                <w:rFonts w:ascii="Arial" w:hAnsi="Arial" w:cs="Arial"/>
                <w:sz w:val="22"/>
                <w:szCs w:val="22"/>
              </w:rPr>
              <w:t>(s)</w:t>
            </w:r>
            <w:r w:rsidRPr="0022445E">
              <w:rPr>
                <w:rFonts w:ascii="Arial" w:hAnsi="Arial" w:cs="Arial"/>
                <w:sz w:val="22"/>
                <w:szCs w:val="22"/>
              </w:rPr>
              <w:t xml:space="preserve"> firmly between thumb and forefinger over an illuminated concave mirror.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A62C02" w:rsidRPr="0022445E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2445E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48484E" w:rsidRPr="0022445E" w:rsidTr="004851C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48484E" w:rsidRPr="0022445E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4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48484E" w:rsidRPr="0022445E" w:rsidRDefault="0048484E" w:rsidP="0022445E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Adjust the concave mirror to eliminate glare.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48484E" w:rsidRPr="0022445E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6D703C" w:rsidRPr="0022445E" w:rsidTr="004851C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6D703C" w:rsidRPr="0022445E" w:rsidRDefault="00B62BB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5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6D703C" w:rsidRPr="0022445E" w:rsidRDefault="006D703C" w:rsidP="0022445E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Adjust the tube</w:t>
            </w:r>
            <w:r w:rsidR="0048484E" w:rsidRPr="0022445E">
              <w:rPr>
                <w:rFonts w:ascii="Arial" w:hAnsi="Arial" w:cs="Arial"/>
                <w:sz w:val="22"/>
                <w:szCs w:val="22"/>
              </w:rPr>
              <w:t>(s)</w:t>
            </w:r>
            <w:r w:rsidRPr="0022445E">
              <w:rPr>
                <w:rFonts w:ascii="Arial" w:hAnsi="Arial" w:cs="Arial"/>
                <w:sz w:val="22"/>
                <w:szCs w:val="22"/>
              </w:rPr>
              <w:t xml:space="preserve"> so that the RBC button is closest to the mirror.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6D703C" w:rsidRPr="0022445E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2445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</w:tr>
      <w:tr w:rsidR="006D703C" w:rsidRPr="0022445E" w:rsidTr="004851C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6D703C" w:rsidRPr="0022445E" w:rsidRDefault="00B62BB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6D703C" w:rsidRPr="0022445E" w:rsidRDefault="006D703C" w:rsidP="0022445E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Dislodge the cell button gently.</w:t>
            </w:r>
            <w:r w:rsidRPr="0022445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6D703C" w:rsidRPr="0022445E" w:rsidRDefault="006D703C" w:rsidP="002244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6D703C" w:rsidRPr="0022445E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D703C" w:rsidRPr="0022445E" w:rsidTr="004851C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6D703C" w:rsidRPr="0022445E" w:rsidRDefault="00B62BB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22445E" w:rsidRPr="001E3ACB" w:rsidRDefault="0048484E" w:rsidP="004851C7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E3ACB">
              <w:rPr>
                <w:rFonts w:ascii="Arial" w:hAnsi="Arial" w:cs="Arial"/>
                <w:sz w:val="22"/>
                <w:szCs w:val="22"/>
              </w:rPr>
              <w:t>Looking into the mirror, o</w:t>
            </w:r>
            <w:r w:rsidR="006D703C" w:rsidRPr="001E3ACB">
              <w:rPr>
                <w:rFonts w:ascii="Arial" w:hAnsi="Arial" w:cs="Arial"/>
                <w:sz w:val="22"/>
                <w:szCs w:val="22"/>
              </w:rPr>
              <w:t>bserve the way the RBCs leave the cell button.</w:t>
            </w:r>
          </w:p>
          <w:p w:rsidR="004851C7" w:rsidRPr="001E3ACB" w:rsidRDefault="004851C7" w:rsidP="004851C7">
            <w:pPr>
              <w:suppressAutoHyphens/>
              <w:rPr>
                <w:sz w:val="16"/>
                <w:szCs w:val="16"/>
              </w:rPr>
            </w:pPr>
          </w:p>
          <w:p w:rsidR="001E3ACB" w:rsidRPr="001E3ACB" w:rsidRDefault="006D703C" w:rsidP="001E3ACB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E3AC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characteristics of the agglutination should be noted. </w:t>
            </w:r>
          </w:p>
          <w:p w:rsidR="006D703C" w:rsidRPr="001E3ACB" w:rsidRDefault="006D703C" w:rsidP="001E3ACB">
            <w:pPr>
              <w:numPr>
                <w:ilvl w:val="1"/>
                <w:numId w:val="36"/>
              </w:numPr>
              <w:suppressAutoHyphens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E3ACB">
              <w:rPr>
                <w:rFonts w:ascii="Arial" w:hAnsi="Arial" w:cs="Arial"/>
                <w:sz w:val="22"/>
                <w:szCs w:val="22"/>
                <w:highlight w:val="yellow"/>
              </w:rPr>
              <w:t>Loose, “stringy,” mixed field, or refractile agglutinates should be recorded as they provide valuable clues in the investigation of aberrant findings.</w:t>
            </w:r>
          </w:p>
          <w:p w:rsidR="001E3ACB" w:rsidRPr="001E3ACB" w:rsidRDefault="001E3ACB" w:rsidP="001E3ACB">
            <w:pPr>
              <w:numPr>
                <w:ilvl w:val="1"/>
                <w:numId w:val="36"/>
              </w:num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1E3ACB">
              <w:rPr>
                <w:rFonts w:ascii="Arial" w:hAnsi="Arial" w:cs="Arial"/>
                <w:sz w:val="22"/>
                <w:szCs w:val="22"/>
                <w:highlight w:val="yellow"/>
              </w:rPr>
              <w:t>Utilize BBCS comments to record atypical findings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6D703C" w:rsidRPr="0022445E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484E" w:rsidRPr="0022445E" w:rsidTr="004851C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48484E" w:rsidRPr="0022445E" w:rsidRDefault="00B62BB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48484E" w:rsidRPr="0022445E" w:rsidRDefault="0048484E" w:rsidP="0022445E">
            <w:pPr>
              <w:numPr>
                <w:ilvl w:val="0"/>
                <w:numId w:val="31"/>
              </w:num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Continue observation until cell button is completely resuspended.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48484E" w:rsidRPr="0022445E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BF4D56" w:rsidRPr="0022445E" w:rsidRDefault="00BF4D56" w:rsidP="00EC69A6">
      <w:pPr>
        <w:pStyle w:val="Header"/>
        <w:tabs>
          <w:tab w:val="clear" w:pos="4320"/>
          <w:tab w:val="clear" w:pos="8640"/>
        </w:tabs>
        <w:spacing w:before="60" w:after="60" w:line="220" w:lineRule="exact"/>
        <w:jc w:val="right"/>
        <w:rPr>
          <w:rFonts w:ascii="Arial" w:hAnsi="Arial" w:cs="Arial"/>
          <w:bCs/>
          <w:i/>
          <w:sz w:val="22"/>
          <w:szCs w:val="22"/>
        </w:rPr>
      </w:pPr>
    </w:p>
    <w:tbl>
      <w:tblPr>
        <w:tblW w:w="10008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"/>
        <w:gridCol w:w="7"/>
        <w:gridCol w:w="2173"/>
        <w:gridCol w:w="4648"/>
        <w:gridCol w:w="2699"/>
      </w:tblGrid>
      <w:tr w:rsidR="00B51ED0" w:rsidRPr="0022445E" w:rsidTr="001E3AC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88" w:type="dxa"/>
            <w:gridSpan w:val="2"/>
            <w:textDirection w:val="btLr"/>
            <w:vAlign w:val="center"/>
          </w:tcPr>
          <w:p w:rsidR="00B51ED0" w:rsidRPr="0022445E" w:rsidRDefault="00D422E3" w:rsidP="006D703C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Cs/>
                <w:i/>
                <w:sz w:val="22"/>
                <w:szCs w:val="22"/>
              </w:rPr>
              <w:br w:type="page"/>
            </w:r>
          </w:p>
        </w:tc>
        <w:tc>
          <w:tcPr>
            <w:tcW w:w="6821" w:type="dxa"/>
            <w:gridSpan w:val="2"/>
            <w:vAlign w:val="center"/>
          </w:tcPr>
          <w:p w:rsidR="00B51ED0" w:rsidRPr="0022445E" w:rsidRDefault="00B51ED0" w:rsidP="006D703C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B51ED0" w:rsidRPr="0022445E" w:rsidRDefault="00B51ED0" w:rsidP="006D703C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48484E" w:rsidRPr="0022445E" w:rsidTr="001E3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48484E" w:rsidRPr="0022445E" w:rsidRDefault="00B62BBE" w:rsidP="004848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48484E" w:rsidRPr="004851C7" w:rsidRDefault="0048484E" w:rsidP="004848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1C7">
              <w:rPr>
                <w:rFonts w:ascii="Arial" w:hAnsi="Arial" w:cs="Arial"/>
                <w:b/>
                <w:sz w:val="22"/>
                <w:szCs w:val="22"/>
              </w:rPr>
              <w:t>Interpret reactions as follows: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84E" w:rsidRPr="0022445E" w:rsidRDefault="0048484E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CB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/>
        </w:trPr>
        <w:tc>
          <w:tcPr>
            <w:tcW w:w="4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ACB" w:rsidRPr="0022445E" w:rsidRDefault="001E3ACB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4851C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If agglutination and/or lysis are…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4851C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Then…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4851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CB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CB" w:rsidRPr="0022445E" w:rsidRDefault="001E3ACB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22445E" w:rsidRDefault="001E3ACB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Not observed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22445E" w:rsidRDefault="001E3ACB" w:rsidP="004851C7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The test result is negative; the reaction grade and score are both 0 (zero).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CB" w:rsidRPr="0022445E" w:rsidRDefault="001E3ACB" w:rsidP="004851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CB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CB" w:rsidRPr="0022445E" w:rsidRDefault="001E3ACB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22445E" w:rsidRDefault="001E3ACB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Observed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22445E" w:rsidRDefault="001E3ACB" w:rsidP="004851C7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Grade and score reactions as follows: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CB" w:rsidRPr="0022445E" w:rsidRDefault="001E3ACB" w:rsidP="004851C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CB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1E3ACB" w:rsidRDefault="001E3ACB" w:rsidP="001E3AC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E3AC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Atypical Agglutination Observed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1E3ACB" w:rsidRDefault="001E3ACB" w:rsidP="001E3ACB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E3ACB">
              <w:rPr>
                <w:rFonts w:ascii="Arial" w:hAnsi="Arial" w:cs="Arial"/>
                <w:sz w:val="22"/>
                <w:szCs w:val="22"/>
                <w:highlight w:val="yellow"/>
              </w:rPr>
              <w:t>Record in BBCS comments.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4851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4D80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0" w:rsidRPr="0022445E" w:rsidRDefault="00664D80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0" w:rsidRPr="0022445E" w:rsidRDefault="00664D80" w:rsidP="004851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Appearance</w:t>
            </w:r>
          </w:p>
        </w:tc>
      </w:tr>
      <w:tr w:rsidR="00664D80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0" w:rsidRPr="0022445E" w:rsidRDefault="00664D80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4+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Complete Agglutination:  No unagglutinated RBCs</w:t>
            </w:r>
          </w:p>
        </w:tc>
      </w:tr>
      <w:tr w:rsidR="00664D80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0" w:rsidRPr="0022445E" w:rsidRDefault="00664D80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3+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Strong Reaction:  a few detached masses of agglutinated RBCs; no unagglutinated RBCs</w:t>
            </w:r>
          </w:p>
        </w:tc>
      </w:tr>
      <w:tr w:rsidR="00664D80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0" w:rsidRPr="0022445E" w:rsidRDefault="00664D80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2+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Moderate Reaction:  Large agglutinates in a sea of smaller agglutinates; few  unagglutinated RBCs</w:t>
            </w:r>
          </w:p>
        </w:tc>
      </w:tr>
      <w:tr w:rsidR="00664D80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0" w:rsidRPr="0022445E" w:rsidRDefault="00664D80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1+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Weak Reaction:  Many agglutinates of up to 20 RBCs with smaller agglutinates and unagglutinated RBCs.</w:t>
            </w:r>
          </w:p>
        </w:tc>
      </w:tr>
      <w:tr w:rsidR="00664D80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0" w:rsidRPr="0022445E" w:rsidRDefault="00664D80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Trace Reaction:  Small agglutinates of 2-4 RBCs with many unagglutinated RBCs</w:t>
            </w:r>
          </w:p>
        </w:tc>
      </w:tr>
      <w:tr w:rsidR="00664D80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80" w:rsidRPr="0022445E" w:rsidRDefault="00664D80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80" w:rsidRPr="0022445E" w:rsidRDefault="00664D80" w:rsidP="004851C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No reaction:  All cells are smoothly in su</w:t>
            </w:r>
            <w:r w:rsidR="00FD3784">
              <w:rPr>
                <w:rFonts w:ascii="Arial" w:hAnsi="Arial" w:cs="Arial"/>
                <w:sz w:val="22"/>
                <w:szCs w:val="22"/>
              </w:rPr>
              <w:t>spension</w:t>
            </w:r>
          </w:p>
        </w:tc>
      </w:tr>
      <w:tr w:rsidR="00FD3784" w:rsidRPr="00FD3784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84" w:rsidRPr="0022445E" w:rsidRDefault="00FD3784" w:rsidP="002F38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4" w:rsidRPr="00FD3784" w:rsidRDefault="00FD3784" w:rsidP="002F381C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378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4" w:rsidRPr="00FD3784" w:rsidRDefault="00FD3784" w:rsidP="002F381C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3784">
              <w:rPr>
                <w:rFonts w:ascii="Arial" w:hAnsi="Arial" w:cs="Arial"/>
                <w:sz w:val="22"/>
                <w:szCs w:val="22"/>
                <w:highlight w:val="yellow"/>
              </w:rPr>
              <w:t>Hemolysis observed.  Objective evalua</w:t>
            </w:r>
            <w:r w:rsidR="00DE4B36">
              <w:rPr>
                <w:rFonts w:ascii="Arial" w:hAnsi="Arial" w:cs="Arial"/>
                <w:sz w:val="22"/>
                <w:szCs w:val="22"/>
                <w:highlight w:val="yellow"/>
              </w:rPr>
              <w:t>tion of slight, moderate or gross</w:t>
            </w:r>
            <w:r w:rsidRPr="00FD378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hemolysis should be recorded in BBCS comments</w:t>
            </w:r>
          </w:p>
        </w:tc>
      </w:tr>
      <w:tr w:rsidR="00FD3784" w:rsidRPr="0022445E" w:rsidTr="001E3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84" w:rsidRPr="00FD3784" w:rsidRDefault="00FD3784" w:rsidP="002F381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4" w:rsidRPr="00FD3784" w:rsidRDefault="00FD3784" w:rsidP="002F381C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84" w:rsidRPr="00FD3784" w:rsidRDefault="00FD3784" w:rsidP="002F381C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Mixed Field observed.  Objective grade evaluation and explanation of mixed field investigation should be recorded in BBCS comments</w:t>
            </w:r>
          </w:p>
        </w:tc>
      </w:tr>
    </w:tbl>
    <w:p w:rsidR="004851C7" w:rsidRDefault="004851C7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szCs w:val="24"/>
        </w:rPr>
      </w:pPr>
    </w:p>
    <w:p w:rsidR="004851C7" w:rsidRDefault="004851C7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szCs w:val="24"/>
        </w:rPr>
      </w:pPr>
    </w:p>
    <w:p w:rsidR="004851C7" w:rsidRDefault="00745CBA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4851C7">
        <w:rPr>
          <w:rFonts w:ascii="Arial" w:hAnsi="Arial" w:cs="Arial"/>
          <w:b/>
          <w:bCs/>
          <w:sz w:val="22"/>
          <w:szCs w:val="22"/>
        </w:rPr>
        <w:t>Reference</w:t>
      </w:r>
      <w:r w:rsidR="004851C7" w:rsidRPr="004851C7">
        <w:rPr>
          <w:rFonts w:ascii="Arial" w:hAnsi="Arial" w:cs="Arial"/>
          <w:b/>
          <w:bCs/>
          <w:sz w:val="22"/>
          <w:szCs w:val="22"/>
        </w:rPr>
        <w:t>s:</w:t>
      </w:r>
      <w:r w:rsidRPr="004851C7">
        <w:rPr>
          <w:rFonts w:ascii="Arial" w:hAnsi="Arial" w:cs="Arial"/>
          <w:b/>
          <w:bCs/>
          <w:sz w:val="22"/>
          <w:szCs w:val="22"/>
        </w:rPr>
        <w:br/>
      </w:r>
    </w:p>
    <w:p w:rsidR="00745CBA" w:rsidRPr="004851C7" w:rsidRDefault="00745CBA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4851C7">
        <w:rPr>
          <w:rFonts w:ascii="Arial" w:hAnsi="Arial" w:cs="Arial"/>
          <w:bCs/>
          <w:sz w:val="22"/>
          <w:szCs w:val="22"/>
        </w:rPr>
        <w:t>Judd’s Methods in Immunohematology</w:t>
      </w:r>
      <w:r w:rsidR="00AD55BD">
        <w:rPr>
          <w:rFonts w:ascii="Arial" w:hAnsi="Arial" w:cs="Arial"/>
          <w:bCs/>
          <w:sz w:val="22"/>
          <w:szCs w:val="22"/>
        </w:rPr>
        <w:t>, Current Edition</w:t>
      </w:r>
    </w:p>
    <w:p w:rsidR="0048484E" w:rsidRPr="00C57C5F" w:rsidRDefault="0048484E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:rsidR="0048484E" w:rsidRDefault="0048484E" w:rsidP="004851C7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Cs w:val="24"/>
        </w:rPr>
      </w:pPr>
    </w:p>
    <w:p w:rsidR="00F20330" w:rsidRDefault="00F20330" w:rsidP="004851C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rPr>
          <w:rFonts w:ascii="Arial" w:hAnsi="Arial" w:cs="Arial"/>
          <w:bCs/>
          <w:sz w:val="22"/>
        </w:rPr>
      </w:pPr>
    </w:p>
    <w:sectPr w:rsidR="00F20330" w:rsidSect="0022445E">
      <w:headerReference w:type="default" r:id="rId8"/>
      <w:footerReference w:type="default" r:id="rId9"/>
      <w:headerReference w:type="first" r:id="rId10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7A" w:rsidRDefault="00BC157A" w:rsidP="00F20330">
      <w:r>
        <w:separator/>
      </w:r>
    </w:p>
  </w:endnote>
  <w:endnote w:type="continuationSeparator" w:id="0">
    <w:p w:rsidR="00BC157A" w:rsidRDefault="00BC157A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5E" w:rsidRDefault="0022445E" w:rsidP="0022445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160B7C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160B7C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745CBA" w:rsidRPr="0022445E" w:rsidRDefault="0022445E" w:rsidP="0022445E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7A" w:rsidRDefault="00BC157A" w:rsidP="00F20330">
      <w:r>
        <w:separator/>
      </w:r>
    </w:p>
  </w:footnote>
  <w:footnote w:type="continuationSeparator" w:id="0">
    <w:p w:rsidR="00BC157A" w:rsidRDefault="00BC157A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5E" w:rsidRPr="00160B7C" w:rsidRDefault="0022445E" w:rsidP="0022445E">
    <w:pPr>
      <w:pStyle w:val="Header"/>
      <w:rPr>
        <w:rFonts w:ascii="Arial" w:hAnsi="Arial" w:cs="Arial"/>
        <w:b/>
        <w:sz w:val="22"/>
        <w:szCs w:val="22"/>
      </w:rPr>
    </w:pPr>
    <w:r w:rsidRPr="00160B7C">
      <w:rPr>
        <w:rFonts w:ascii="Arial" w:hAnsi="Arial" w:cs="Arial"/>
        <w:b/>
        <w:sz w:val="22"/>
        <w:szCs w:val="22"/>
      </w:rPr>
      <w:t>Reading and Grading Tube Hemagglutination</w:t>
    </w:r>
  </w:p>
  <w:p w:rsidR="00664D80" w:rsidRPr="00F21337" w:rsidRDefault="00664D80" w:rsidP="0022445E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5E" w:rsidRDefault="00160B7C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246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18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3224"/>
      <w:gridCol w:w="2194"/>
    </w:tblGrid>
    <w:tr w:rsidR="0022445E" w:rsidTr="0022445E">
      <w:tblPrEx>
        <w:tblCellMar>
          <w:top w:w="0" w:type="dxa"/>
          <w:bottom w:w="0" w:type="dxa"/>
        </w:tblCellMar>
      </w:tblPrEx>
      <w:trPr>
        <w:cantSplit/>
        <w:trHeight w:val="647"/>
      </w:trPr>
      <w:tc>
        <w:tcPr>
          <w:tcW w:w="450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B181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B181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98105</w:t>
              </w:r>
            </w:smartTag>
          </w:smartTag>
        </w:p>
        <w:p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22445E" w:rsidRDefault="0022445E" w:rsidP="004851C7">
          <w:pPr>
            <w:rPr>
              <w:b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22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22445E" w:rsidRPr="00160B7C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2445E" w:rsidRPr="00160B7C" w:rsidRDefault="0022445E" w:rsidP="004851C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160B7C">
            <w:rPr>
              <w:rFonts w:ascii="Arial" w:hAnsi="Arial" w:cs="Arial"/>
              <w:sz w:val="22"/>
              <w:szCs w:val="22"/>
            </w:rPr>
            <w:t>April 1</w:t>
          </w:r>
          <w:r w:rsidRPr="00160B7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160B7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94" w:type="dxa"/>
          <w:tcBorders>
            <w:top w:val="double" w:sz="4" w:space="0" w:color="auto"/>
            <w:left w:val="nil"/>
            <w:bottom w:val="nil"/>
          </w:tcBorders>
        </w:tcPr>
        <w:p w:rsidR="0022445E" w:rsidRPr="00160B7C" w:rsidRDefault="0022445E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22445E" w:rsidRPr="00160B7C" w:rsidRDefault="00FD3784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>5303-2</w:t>
          </w:r>
        </w:p>
      </w:tc>
    </w:tr>
    <w:tr w:rsidR="0022445E" w:rsidTr="0022445E">
      <w:tblPrEx>
        <w:tblCellMar>
          <w:top w:w="0" w:type="dxa"/>
          <w:bottom w:w="0" w:type="dxa"/>
        </w:tblCellMar>
      </w:tblPrEx>
      <w:trPr>
        <w:cantSplit/>
        <w:trHeight w:val="136"/>
      </w:trPr>
      <w:tc>
        <w:tcPr>
          <w:tcW w:w="450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22445E" w:rsidRDefault="0022445E" w:rsidP="004851C7">
          <w:pPr>
            <w:rPr>
              <w:b/>
            </w:rPr>
          </w:pPr>
        </w:p>
      </w:tc>
      <w:tc>
        <w:tcPr>
          <w:tcW w:w="322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445E" w:rsidRPr="003B1812" w:rsidRDefault="0022445E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22445E" w:rsidRPr="00160B7C" w:rsidRDefault="00160B7C" w:rsidP="004851C7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2/14/14</w:t>
          </w:r>
        </w:p>
      </w:tc>
      <w:tc>
        <w:tcPr>
          <w:tcW w:w="219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22445E" w:rsidRDefault="0022445E" w:rsidP="004851C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160B7C" w:rsidRPr="00160B7C" w:rsidRDefault="00160B7C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22445E" w:rsidTr="0022445E">
      <w:tblPrEx>
        <w:tblCellMar>
          <w:top w:w="0" w:type="dxa"/>
          <w:bottom w:w="0" w:type="dxa"/>
        </w:tblCellMar>
      </w:tblPrEx>
      <w:trPr>
        <w:cantSplit/>
        <w:trHeight w:val="608"/>
      </w:trPr>
      <w:tc>
        <w:tcPr>
          <w:tcW w:w="9918" w:type="dxa"/>
          <w:gridSpan w:val="3"/>
          <w:tcBorders>
            <w:top w:val="nil"/>
          </w:tcBorders>
          <w:vAlign w:val="center"/>
        </w:tcPr>
        <w:p w:rsidR="0022445E" w:rsidRPr="0022445E" w:rsidRDefault="0022445E" w:rsidP="0022445E">
          <w:pPr>
            <w:pStyle w:val="Header"/>
            <w:tabs>
              <w:tab w:val="clear" w:pos="4320"/>
              <w:tab w:val="clear" w:pos="8640"/>
            </w:tabs>
            <w:spacing w:before="60" w:after="60" w:line="420" w:lineRule="exact"/>
            <w:rPr>
              <w:rFonts w:ascii="Arial" w:hAnsi="Arial" w:cs="Arial"/>
              <w:b/>
              <w:kern w:val="0"/>
              <w:sz w:val="28"/>
              <w:szCs w:val="28"/>
            </w:rPr>
          </w:pPr>
          <w:r w:rsidRPr="0022445E">
            <w:rPr>
              <w:rFonts w:ascii="Arial" w:hAnsi="Arial" w:cs="Arial"/>
              <w:sz w:val="28"/>
              <w:szCs w:val="28"/>
            </w:rPr>
            <w:t xml:space="preserve">TITLE:  </w:t>
          </w:r>
          <w:smartTag w:uri="urn:schemas-microsoft-com:office:smarttags" w:element="City">
            <w:smartTag w:uri="urn:schemas-microsoft-com:office:smarttags" w:element="place">
              <w:r w:rsidRPr="0022445E">
                <w:rPr>
                  <w:rFonts w:ascii="Arial" w:hAnsi="Arial" w:cs="Arial"/>
                  <w:sz w:val="28"/>
                  <w:szCs w:val="28"/>
                </w:rPr>
                <w:t>Reading</w:t>
              </w:r>
            </w:smartTag>
          </w:smartTag>
          <w:r w:rsidRPr="0022445E">
            <w:rPr>
              <w:rFonts w:ascii="Arial" w:hAnsi="Arial" w:cs="Arial"/>
              <w:sz w:val="28"/>
              <w:szCs w:val="28"/>
            </w:rPr>
            <w:t xml:space="preserve"> and Grading Tube Hemagglutination</w:t>
          </w:r>
          <w:r w:rsidRPr="0022445E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22445E" w:rsidRDefault="00224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83735"/>
    <w:multiLevelType w:val="hybridMultilevel"/>
    <w:tmpl w:val="9F9A5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841D09"/>
    <w:multiLevelType w:val="hybridMultilevel"/>
    <w:tmpl w:val="8FD2E7C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C407D"/>
    <w:multiLevelType w:val="hybridMultilevel"/>
    <w:tmpl w:val="7390C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2E0EE2"/>
    <w:multiLevelType w:val="multilevel"/>
    <w:tmpl w:val="59E89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D073E2"/>
    <w:multiLevelType w:val="multilevel"/>
    <w:tmpl w:val="59E89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1E6E75"/>
    <w:multiLevelType w:val="hybridMultilevel"/>
    <w:tmpl w:val="C0F0286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4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4"/>
  </w:num>
  <w:num w:numId="4">
    <w:abstractNumId w:val="1"/>
  </w:num>
  <w:num w:numId="5">
    <w:abstractNumId w:val="29"/>
  </w:num>
  <w:num w:numId="6">
    <w:abstractNumId w:val="32"/>
  </w:num>
  <w:num w:numId="7">
    <w:abstractNumId w:val="2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24"/>
  </w:num>
  <w:num w:numId="14">
    <w:abstractNumId w:val="16"/>
  </w:num>
  <w:num w:numId="15">
    <w:abstractNumId w:val="34"/>
  </w:num>
  <w:num w:numId="16">
    <w:abstractNumId w:val="10"/>
  </w:num>
  <w:num w:numId="17">
    <w:abstractNumId w:val="2"/>
  </w:num>
  <w:num w:numId="18">
    <w:abstractNumId w:val="11"/>
  </w:num>
  <w:num w:numId="19">
    <w:abstractNumId w:val="20"/>
  </w:num>
  <w:num w:numId="20">
    <w:abstractNumId w:val="21"/>
  </w:num>
  <w:num w:numId="21">
    <w:abstractNumId w:val="15"/>
  </w:num>
  <w:num w:numId="22">
    <w:abstractNumId w:val="18"/>
  </w:num>
  <w:num w:numId="23">
    <w:abstractNumId w:val="19"/>
  </w:num>
  <w:num w:numId="24">
    <w:abstractNumId w:val="22"/>
  </w:num>
  <w:num w:numId="25">
    <w:abstractNumId w:val="17"/>
  </w:num>
  <w:num w:numId="26">
    <w:abstractNumId w:val="13"/>
  </w:num>
  <w:num w:numId="27">
    <w:abstractNumId w:val="30"/>
  </w:num>
  <w:num w:numId="28">
    <w:abstractNumId w:val="4"/>
  </w:num>
  <w:num w:numId="29">
    <w:abstractNumId w:val="33"/>
  </w:num>
  <w:num w:numId="30">
    <w:abstractNumId w:val="26"/>
  </w:num>
  <w:num w:numId="31">
    <w:abstractNumId w:val="3"/>
  </w:num>
  <w:num w:numId="32">
    <w:abstractNumId w:val="27"/>
  </w:num>
  <w:num w:numId="33">
    <w:abstractNumId w:val="5"/>
  </w:num>
  <w:num w:numId="34">
    <w:abstractNumId w:val="28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109E9"/>
    <w:rsid w:val="00070DCE"/>
    <w:rsid w:val="000D057B"/>
    <w:rsid w:val="0013542A"/>
    <w:rsid w:val="00142280"/>
    <w:rsid w:val="00160B7C"/>
    <w:rsid w:val="0017203B"/>
    <w:rsid w:val="00173019"/>
    <w:rsid w:val="001A4D5F"/>
    <w:rsid w:val="001C30E2"/>
    <w:rsid w:val="001D0652"/>
    <w:rsid w:val="001D21AC"/>
    <w:rsid w:val="001E3ACB"/>
    <w:rsid w:val="00200F28"/>
    <w:rsid w:val="0022445E"/>
    <w:rsid w:val="00244FEF"/>
    <w:rsid w:val="002842AE"/>
    <w:rsid w:val="002B7D17"/>
    <w:rsid w:val="002D4D89"/>
    <w:rsid w:val="002F381C"/>
    <w:rsid w:val="002F3F37"/>
    <w:rsid w:val="0033112B"/>
    <w:rsid w:val="003D0344"/>
    <w:rsid w:val="003D17A9"/>
    <w:rsid w:val="00404E58"/>
    <w:rsid w:val="00430316"/>
    <w:rsid w:val="004443BA"/>
    <w:rsid w:val="004622E2"/>
    <w:rsid w:val="0048484E"/>
    <w:rsid w:val="004851C7"/>
    <w:rsid w:val="004B4E17"/>
    <w:rsid w:val="004C2B2E"/>
    <w:rsid w:val="004F29BE"/>
    <w:rsid w:val="0051156D"/>
    <w:rsid w:val="0054539C"/>
    <w:rsid w:val="00550303"/>
    <w:rsid w:val="0055560E"/>
    <w:rsid w:val="00556606"/>
    <w:rsid w:val="00557243"/>
    <w:rsid w:val="005579D7"/>
    <w:rsid w:val="0058424D"/>
    <w:rsid w:val="00586116"/>
    <w:rsid w:val="005A515D"/>
    <w:rsid w:val="005D6A64"/>
    <w:rsid w:val="00645092"/>
    <w:rsid w:val="00660965"/>
    <w:rsid w:val="00661E04"/>
    <w:rsid w:val="00664D80"/>
    <w:rsid w:val="0066621D"/>
    <w:rsid w:val="006B02D4"/>
    <w:rsid w:val="006C0FD8"/>
    <w:rsid w:val="006D703C"/>
    <w:rsid w:val="007002E9"/>
    <w:rsid w:val="007204A5"/>
    <w:rsid w:val="00745CBA"/>
    <w:rsid w:val="0080600C"/>
    <w:rsid w:val="00870D0C"/>
    <w:rsid w:val="00882B5D"/>
    <w:rsid w:val="008C2C16"/>
    <w:rsid w:val="008C7F1E"/>
    <w:rsid w:val="009002A1"/>
    <w:rsid w:val="00923071"/>
    <w:rsid w:val="0092411B"/>
    <w:rsid w:val="00936792"/>
    <w:rsid w:val="009641FD"/>
    <w:rsid w:val="00996668"/>
    <w:rsid w:val="009971F9"/>
    <w:rsid w:val="009B10AA"/>
    <w:rsid w:val="009B242B"/>
    <w:rsid w:val="009B2991"/>
    <w:rsid w:val="009E7803"/>
    <w:rsid w:val="009F1952"/>
    <w:rsid w:val="00A171DB"/>
    <w:rsid w:val="00A57E84"/>
    <w:rsid w:val="00A62C02"/>
    <w:rsid w:val="00AB3ED9"/>
    <w:rsid w:val="00AD55BD"/>
    <w:rsid w:val="00B27896"/>
    <w:rsid w:val="00B51ED0"/>
    <w:rsid w:val="00B626EE"/>
    <w:rsid w:val="00B62BBE"/>
    <w:rsid w:val="00B632EE"/>
    <w:rsid w:val="00B94045"/>
    <w:rsid w:val="00BC157A"/>
    <w:rsid w:val="00BF4D56"/>
    <w:rsid w:val="00C03C16"/>
    <w:rsid w:val="00C57C5F"/>
    <w:rsid w:val="00CA3493"/>
    <w:rsid w:val="00CB7081"/>
    <w:rsid w:val="00CE75EF"/>
    <w:rsid w:val="00D26356"/>
    <w:rsid w:val="00D422E3"/>
    <w:rsid w:val="00D74BFA"/>
    <w:rsid w:val="00DA1D21"/>
    <w:rsid w:val="00DC5B9F"/>
    <w:rsid w:val="00DE142F"/>
    <w:rsid w:val="00DE4B36"/>
    <w:rsid w:val="00E47CC1"/>
    <w:rsid w:val="00E74B8E"/>
    <w:rsid w:val="00E812FD"/>
    <w:rsid w:val="00E86B23"/>
    <w:rsid w:val="00EB58CA"/>
    <w:rsid w:val="00EC6848"/>
    <w:rsid w:val="00EC69A6"/>
    <w:rsid w:val="00F20330"/>
    <w:rsid w:val="00F21337"/>
    <w:rsid w:val="00F60539"/>
    <w:rsid w:val="00F925EB"/>
    <w:rsid w:val="00F95940"/>
    <w:rsid w:val="00F97541"/>
    <w:rsid w:val="00FA2D3B"/>
    <w:rsid w:val="00FA7581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character" w:customStyle="1" w:styleId="HeaderChar">
    <w:name w:val="Header Char"/>
    <w:link w:val="Header"/>
    <w:uiPriority w:val="99"/>
    <w:rsid w:val="00F21337"/>
    <w:rPr>
      <w:rFonts w:ascii="Georgia" w:hAnsi="Georgia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character" w:customStyle="1" w:styleId="HeaderChar">
    <w:name w:val="Header Char"/>
    <w:link w:val="Header"/>
    <w:uiPriority w:val="99"/>
    <w:rsid w:val="00F21337"/>
    <w:rPr>
      <w:rFonts w:ascii="Georgia" w:hAnsi="Georgia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2493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2</cp:revision>
  <cp:lastPrinted>2013-08-04T17:18:00Z</cp:lastPrinted>
  <dcterms:created xsi:type="dcterms:W3CDTF">2014-02-05T21:01:00Z</dcterms:created>
  <dcterms:modified xsi:type="dcterms:W3CDTF">2014-02-05T21:01:00Z</dcterms:modified>
  <cp:contentStatus/>
</cp:coreProperties>
</file>