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7D7" w:rsidRDefault="007877D7">
      <w:pPr>
        <w:rPr>
          <w:rFonts w:ascii="Arial" w:hAnsi="Arial" w:cs="Arial"/>
        </w:rPr>
      </w:pPr>
    </w:p>
    <w:p w:rsidR="004B3465" w:rsidRDefault="0014520E" w:rsidP="004B3465">
      <w:pPr>
        <w:jc w:val="center"/>
        <w:rPr>
          <w:rFonts w:ascii="Arial" w:hAnsi="Arial" w:cs="Arial"/>
          <w:b/>
          <w:sz w:val="28"/>
          <w:szCs w:val="28"/>
        </w:rPr>
      </w:pPr>
      <w:r>
        <w:rPr>
          <w:rFonts w:ascii="Arial" w:hAnsi="Arial" w:cs="Arial"/>
          <w:b/>
          <w:sz w:val="28"/>
          <w:szCs w:val="28"/>
        </w:rPr>
        <w:t>Microscopes</w:t>
      </w:r>
    </w:p>
    <w:p w:rsidR="00492032" w:rsidRDefault="00492032" w:rsidP="003D26D4">
      <w:pPr>
        <w:rPr>
          <w:rFonts w:ascii="Arial" w:hAnsi="Arial" w:cs="Arial"/>
        </w:rPr>
      </w:pPr>
    </w:p>
    <w:p w:rsidR="00A344E2" w:rsidRDefault="0014520E">
      <w:pPr>
        <w:rPr>
          <w:rFonts w:ascii="Arial" w:hAnsi="Arial" w:cs="Arial"/>
        </w:rPr>
      </w:pPr>
      <w:r>
        <w:rPr>
          <w:rFonts w:ascii="Arial" w:hAnsi="Arial" w:cs="Arial"/>
        </w:rPr>
        <w:t>TSL has two microscopes for use in problem resolution.</w:t>
      </w:r>
    </w:p>
    <w:p w:rsidR="0014520E" w:rsidRDefault="0014520E">
      <w:pPr>
        <w:rPr>
          <w:rFonts w:ascii="Arial" w:hAnsi="Arial" w:cs="Arial"/>
        </w:rPr>
      </w:pPr>
    </w:p>
    <w:p w:rsidR="0014520E" w:rsidRPr="008268DA" w:rsidRDefault="0014520E" w:rsidP="008268DA">
      <w:pPr>
        <w:pStyle w:val="ListParagraph"/>
        <w:numPr>
          <w:ilvl w:val="0"/>
          <w:numId w:val="17"/>
        </w:numPr>
        <w:rPr>
          <w:rFonts w:ascii="Arial" w:hAnsi="Arial" w:cs="Arial"/>
          <w:i/>
        </w:rPr>
      </w:pPr>
      <w:r w:rsidRPr="008268DA">
        <w:rPr>
          <w:rFonts w:ascii="Arial" w:hAnsi="Arial" w:cs="Arial"/>
          <w:b/>
          <w:i/>
        </w:rPr>
        <w:t>JENCO</w:t>
      </w:r>
      <w:r w:rsidRPr="008268DA">
        <w:rPr>
          <w:rFonts w:ascii="Arial" w:hAnsi="Arial" w:cs="Arial"/>
          <w:i/>
        </w:rPr>
        <w:t>:  dissecting scope, limited magnification</w:t>
      </w:r>
    </w:p>
    <w:p w:rsidR="000D027B" w:rsidRPr="008268DA" w:rsidRDefault="0014520E" w:rsidP="008268DA">
      <w:pPr>
        <w:pStyle w:val="ListParagraph"/>
        <w:numPr>
          <w:ilvl w:val="0"/>
          <w:numId w:val="17"/>
        </w:numPr>
        <w:rPr>
          <w:rFonts w:ascii="Arial" w:hAnsi="Arial" w:cs="Arial"/>
          <w:i/>
        </w:rPr>
      </w:pPr>
      <w:r w:rsidRPr="008268DA">
        <w:rPr>
          <w:rFonts w:ascii="Arial" w:hAnsi="Arial" w:cs="Arial"/>
          <w:b/>
          <w:i/>
        </w:rPr>
        <w:t>Olympus BH-2:</w:t>
      </w:r>
      <w:r w:rsidRPr="008268DA">
        <w:rPr>
          <w:rFonts w:ascii="Arial" w:hAnsi="Arial" w:cs="Arial"/>
          <w:i/>
        </w:rPr>
        <w:t xml:space="preserve">  multiple oculars; tube support or wet mount</w:t>
      </w:r>
    </w:p>
    <w:p w:rsidR="000D027B" w:rsidRDefault="0014520E">
      <w:pPr>
        <w:rPr>
          <w:rFonts w:ascii="Arial" w:hAnsi="Arial" w:cs="Arial"/>
        </w:rPr>
      </w:pPr>
      <w:r>
        <w:rPr>
          <w:rFonts w:ascii="Arial" w:hAnsi="Arial" w:cs="Arial"/>
        </w:rPr>
        <w:pict>
          <v:rect id="_x0000_i1033" style="width:0;height:1.5pt" o:hralign="center" o:hrstd="t" o:hr="t" fillcolor="gray" stroked="f"/>
        </w:pict>
      </w:r>
    </w:p>
    <w:p w:rsidR="0014520E" w:rsidRPr="008268DA" w:rsidRDefault="0014520E">
      <w:pPr>
        <w:rPr>
          <w:rFonts w:ascii="Arial" w:hAnsi="Arial" w:cs="Arial"/>
          <w:b/>
          <w:u w:val="single"/>
        </w:rPr>
      </w:pPr>
      <w:r w:rsidRPr="008268DA">
        <w:rPr>
          <w:rFonts w:ascii="Arial" w:hAnsi="Arial" w:cs="Arial"/>
          <w:b/>
          <w:u w:val="single"/>
        </w:rPr>
        <w:t>When to use microscope?</w:t>
      </w:r>
    </w:p>
    <w:p w:rsidR="0014520E" w:rsidRDefault="0014520E">
      <w:pPr>
        <w:rPr>
          <w:rFonts w:ascii="Arial" w:hAnsi="Arial" w:cs="Arial"/>
        </w:rPr>
      </w:pPr>
    </w:p>
    <w:p w:rsidR="0014520E" w:rsidRPr="008268DA" w:rsidRDefault="0014520E" w:rsidP="008268DA">
      <w:pPr>
        <w:pStyle w:val="ListParagraph"/>
        <w:numPr>
          <w:ilvl w:val="0"/>
          <w:numId w:val="15"/>
        </w:numPr>
        <w:rPr>
          <w:rFonts w:ascii="Arial" w:hAnsi="Arial" w:cs="Arial"/>
          <w:sz w:val="22"/>
          <w:szCs w:val="22"/>
        </w:rPr>
      </w:pPr>
      <w:r w:rsidRPr="008268DA">
        <w:rPr>
          <w:rFonts w:ascii="Arial" w:hAnsi="Arial" w:cs="Arial"/>
          <w:sz w:val="22"/>
          <w:szCs w:val="22"/>
        </w:rPr>
        <w:t>Confirm rouleaux prior to saline replacement technique when resolving ABO reverse typing problems.</w:t>
      </w:r>
    </w:p>
    <w:p w:rsidR="0014520E" w:rsidRPr="008268DA" w:rsidRDefault="0014520E" w:rsidP="008268DA">
      <w:pPr>
        <w:pStyle w:val="ListParagraph"/>
        <w:numPr>
          <w:ilvl w:val="0"/>
          <w:numId w:val="15"/>
        </w:numPr>
        <w:rPr>
          <w:rFonts w:ascii="Arial" w:hAnsi="Arial" w:cs="Arial"/>
          <w:sz w:val="22"/>
          <w:szCs w:val="22"/>
        </w:rPr>
      </w:pPr>
      <w:r w:rsidRPr="008268DA">
        <w:rPr>
          <w:rFonts w:ascii="Arial" w:hAnsi="Arial" w:cs="Arial"/>
          <w:sz w:val="22"/>
          <w:szCs w:val="22"/>
        </w:rPr>
        <w:t>Examination of weak reactions in tube testing.</w:t>
      </w:r>
    </w:p>
    <w:p w:rsidR="0001450F" w:rsidRPr="008268DA" w:rsidRDefault="0014520E" w:rsidP="008268DA">
      <w:pPr>
        <w:pStyle w:val="ListParagraph"/>
        <w:numPr>
          <w:ilvl w:val="0"/>
          <w:numId w:val="15"/>
        </w:numPr>
        <w:rPr>
          <w:rFonts w:ascii="Arial" w:hAnsi="Arial" w:cs="Arial"/>
          <w:sz w:val="22"/>
          <w:szCs w:val="22"/>
        </w:rPr>
      </w:pPr>
      <w:r w:rsidRPr="008268DA">
        <w:rPr>
          <w:rFonts w:ascii="Arial" w:hAnsi="Arial" w:cs="Arial"/>
          <w:sz w:val="22"/>
          <w:szCs w:val="22"/>
        </w:rPr>
        <w:t>Confirm mixed field in tube testing.</w:t>
      </w:r>
    </w:p>
    <w:p w:rsidR="0014520E" w:rsidRPr="008268DA" w:rsidRDefault="0001450F" w:rsidP="008268DA">
      <w:pPr>
        <w:pStyle w:val="ListParagraph"/>
        <w:numPr>
          <w:ilvl w:val="0"/>
          <w:numId w:val="15"/>
        </w:numPr>
        <w:rPr>
          <w:rFonts w:ascii="Arial" w:hAnsi="Arial" w:cs="Arial"/>
          <w:sz w:val="22"/>
          <w:szCs w:val="22"/>
        </w:rPr>
      </w:pPr>
      <w:r w:rsidRPr="008268DA">
        <w:rPr>
          <w:rFonts w:ascii="Arial" w:hAnsi="Arial" w:cs="Arial"/>
          <w:sz w:val="22"/>
          <w:szCs w:val="22"/>
        </w:rPr>
        <w:t>Detecting specific patterns of agglutination.  Example is anti-Sda which produces small refractile agglutinates in a sea of free red cells, giving the appearance of mixed field.</w:t>
      </w:r>
    </w:p>
    <w:p w:rsidR="0014520E" w:rsidRDefault="0014520E">
      <w:pPr>
        <w:rPr>
          <w:rFonts w:ascii="Arial" w:hAnsi="Arial" w:cs="Arial"/>
        </w:rPr>
      </w:pPr>
      <w:r>
        <w:rPr>
          <w:rFonts w:ascii="Arial" w:hAnsi="Arial" w:cs="Arial"/>
        </w:rPr>
        <w:pict>
          <v:rect id="_x0000_i1034" style="width:0;height:1.5pt" o:hralign="center" o:hrstd="t" o:hr="t" fillcolor="gray" stroked="f"/>
        </w:pict>
      </w:r>
    </w:p>
    <w:p w:rsidR="0014520E" w:rsidRPr="008268DA" w:rsidRDefault="0014520E">
      <w:pPr>
        <w:rPr>
          <w:rFonts w:ascii="Arial" w:hAnsi="Arial" w:cs="Arial"/>
          <w:b/>
          <w:u w:val="single"/>
        </w:rPr>
      </w:pPr>
      <w:r w:rsidRPr="008268DA">
        <w:rPr>
          <w:rFonts w:ascii="Arial" w:hAnsi="Arial" w:cs="Arial"/>
          <w:b/>
          <w:u w:val="single"/>
        </w:rPr>
        <w:t>Limitations</w:t>
      </w:r>
    </w:p>
    <w:p w:rsidR="0014520E" w:rsidRDefault="0014520E">
      <w:pPr>
        <w:rPr>
          <w:rFonts w:ascii="Arial" w:hAnsi="Arial" w:cs="Arial"/>
        </w:rPr>
      </w:pPr>
    </w:p>
    <w:p w:rsidR="0014520E" w:rsidRPr="008268DA" w:rsidRDefault="0014520E" w:rsidP="0001450F">
      <w:pPr>
        <w:pStyle w:val="ListParagraph"/>
        <w:numPr>
          <w:ilvl w:val="0"/>
          <w:numId w:val="16"/>
        </w:numPr>
        <w:rPr>
          <w:rFonts w:ascii="Arial" w:hAnsi="Arial" w:cs="Arial"/>
          <w:sz w:val="22"/>
          <w:szCs w:val="22"/>
        </w:rPr>
      </w:pPr>
      <w:r w:rsidRPr="008268DA">
        <w:rPr>
          <w:rFonts w:ascii="Arial" w:hAnsi="Arial" w:cs="Arial"/>
          <w:sz w:val="22"/>
          <w:szCs w:val="22"/>
        </w:rPr>
        <w:t xml:space="preserve">Not a </w:t>
      </w:r>
      <w:r w:rsidR="0001450F" w:rsidRPr="008268DA">
        <w:rPr>
          <w:rFonts w:ascii="Arial" w:hAnsi="Arial" w:cs="Arial"/>
          <w:sz w:val="22"/>
          <w:szCs w:val="22"/>
        </w:rPr>
        <w:t xml:space="preserve">replacement </w:t>
      </w:r>
      <w:r w:rsidRPr="008268DA">
        <w:rPr>
          <w:rFonts w:ascii="Arial" w:hAnsi="Arial" w:cs="Arial"/>
          <w:sz w:val="22"/>
          <w:szCs w:val="22"/>
        </w:rPr>
        <w:t>for accurate tube reading technique</w:t>
      </w:r>
    </w:p>
    <w:p w:rsidR="0014520E" w:rsidRPr="008268DA" w:rsidRDefault="0001450F" w:rsidP="0001450F">
      <w:pPr>
        <w:pStyle w:val="ListParagraph"/>
        <w:numPr>
          <w:ilvl w:val="0"/>
          <w:numId w:val="16"/>
        </w:numPr>
        <w:rPr>
          <w:rFonts w:ascii="Arial" w:hAnsi="Arial" w:cs="Arial"/>
          <w:sz w:val="22"/>
          <w:szCs w:val="22"/>
        </w:rPr>
      </w:pPr>
      <w:r w:rsidRPr="008268DA">
        <w:rPr>
          <w:rFonts w:ascii="Arial" w:hAnsi="Arial" w:cs="Arial"/>
          <w:sz w:val="22"/>
          <w:szCs w:val="22"/>
        </w:rPr>
        <w:t xml:space="preserve">Can create </w:t>
      </w:r>
      <w:r w:rsidR="0014520E" w:rsidRPr="008268DA">
        <w:rPr>
          <w:rFonts w:ascii="Arial" w:hAnsi="Arial" w:cs="Arial"/>
          <w:sz w:val="22"/>
          <w:szCs w:val="22"/>
        </w:rPr>
        <w:t>more trouble if tubes are “over read”.</w:t>
      </w:r>
    </w:p>
    <w:p w:rsidR="0014520E" w:rsidRPr="008268DA" w:rsidRDefault="0014520E" w:rsidP="0001450F">
      <w:pPr>
        <w:pStyle w:val="ListParagraph"/>
        <w:numPr>
          <w:ilvl w:val="0"/>
          <w:numId w:val="16"/>
        </w:numPr>
        <w:rPr>
          <w:rFonts w:ascii="Arial" w:hAnsi="Arial" w:cs="Arial"/>
          <w:sz w:val="22"/>
          <w:szCs w:val="22"/>
        </w:rPr>
      </w:pPr>
      <w:r w:rsidRPr="008268DA">
        <w:rPr>
          <w:rFonts w:ascii="Arial" w:hAnsi="Arial" w:cs="Arial"/>
          <w:sz w:val="22"/>
          <w:szCs w:val="22"/>
        </w:rPr>
        <w:t xml:space="preserve">Is not </w:t>
      </w:r>
      <w:r w:rsidR="0001450F" w:rsidRPr="008268DA">
        <w:rPr>
          <w:rFonts w:ascii="Arial" w:hAnsi="Arial" w:cs="Arial"/>
          <w:sz w:val="22"/>
          <w:szCs w:val="22"/>
        </w:rPr>
        <w:t>reliable</w:t>
      </w:r>
      <w:r w:rsidRPr="008268DA">
        <w:rPr>
          <w:rFonts w:ascii="Arial" w:hAnsi="Arial" w:cs="Arial"/>
          <w:sz w:val="22"/>
          <w:szCs w:val="22"/>
        </w:rPr>
        <w:t xml:space="preserve"> for detecting a FMH</w:t>
      </w:r>
      <w:r w:rsidR="00094F62">
        <w:rPr>
          <w:rFonts w:ascii="Arial" w:hAnsi="Arial" w:cs="Arial"/>
          <w:sz w:val="22"/>
          <w:szCs w:val="22"/>
        </w:rPr>
        <w:t xml:space="preserve"> in maternal anti-D tube at AHG</w:t>
      </w:r>
      <w:r w:rsidR="0001450F" w:rsidRPr="008268DA">
        <w:rPr>
          <w:rFonts w:ascii="Arial" w:hAnsi="Arial" w:cs="Arial"/>
          <w:sz w:val="22"/>
          <w:szCs w:val="22"/>
        </w:rPr>
        <w:t xml:space="preserve"> in determining RhIg dosage</w:t>
      </w:r>
    </w:p>
    <w:p w:rsidR="0001450F" w:rsidRPr="008268DA" w:rsidRDefault="0001450F" w:rsidP="0001450F">
      <w:pPr>
        <w:pStyle w:val="ListParagraph"/>
        <w:numPr>
          <w:ilvl w:val="0"/>
          <w:numId w:val="16"/>
        </w:numPr>
        <w:rPr>
          <w:rFonts w:ascii="Arial" w:hAnsi="Arial" w:cs="Arial"/>
          <w:sz w:val="22"/>
          <w:szCs w:val="22"/>
        </w:rPr>
      </w:pPr>
      <w:r w:rsidRPr="008268DA">
        <w:rPr>
          <w:rFonts w:ascii="Arial" w:hAnsi="Arial" w:cs="Arial"/>
          <w:sz w:val="22"/>
          <w:szCs w:val="22"/>
        </w:rPr>
        <w:t>Manufacturer package insert will specify if microscopic examination is recom</w:t>
      </w:r>
      <w:r w:rsidR="00094F62">
        <w:rPr>
          <w:rFonts w:ascii="Arial" w:hAnsi="Arial" w:cs="Arial"/>
          <w:sz w:val="22"/>
          <w:szCs w:val="22"/>
        </w:rPr>
        <w:t xml:space="preserve">mended.  Typically, it is not </w:t>
      </w:r>
      <w:bookmarkStart w:id="0" w:name="_GoBack"/>
      <w:bookmarkEnd w:id="0"/>
      <w:r w:rsidRPr="008268DA">
        <w:rPr>
          <w:rFonts w:ascii="Arial" w:hAnsi="Arial" w:cs="Arial"/>
          <w:sz w:val="22"/>
          <w:szCs w:val="22"/>
        </w:rPr>
        <w:t>a routine indication by the manufacturer.</w:t>
      </w:r>
    </w:p>
    <w:p w:rsidR="0001450F" w:rsidRDefault="0001450F" w:rsidP="0001450F">
      <w:pPr>
        <w:rPr>
          <w:rFonts w:ascii="Arial" w:hAnsi="Arial" w:cs="Arial"/>
        </w:rPr>
      </w:pPr>
      <w:r>
        <w:rPr>
          <w:rFonts w:ascii="Arial" w:hAnsi="Arial" w:cs="Arial"/>
        </w:rPr>
        <w:pict>
          <v:rect id="_x0000_i1035" style="width:0;height:1.5pt" o:hralign="center" o:hrstd="t" o:hr="t" fillcolor="gray" stroked="f"/>
        </w:pict>
      </w:r>
    </w:p>
    <w:p w:rsidR="0001450F" w:rsidRPr="008268DA" w:rsidRDefault="0001450F" w:rsidP="0001450F">
      <w:pPr>
        <w:rPr>
          <w:rFonts w:ascii="Arial" w:hAnsi="Arial" w:cs="Arial"/>
          <w:b/>
          <w:u w:val="single"/>
        </w:rPr>
      </w:pPr>
      <w:r w:rsidRPr="008268DA">
        <w:rPr>
          <w:rFonts w:ascii="Arial" w:hAnsi="Arial" w:cs="Arial"/>
          <w:b/>
          <w:u w:val="single"/>
        </w:rPr>
        <w:t>Practice</w:t>
      </w:r>
    </w:p>
    <w:p w:rsidR="0001450F" w:rsidRDefault="0001450F" w:rsidP="0001450F">
      <w:pPr>
        <w:rPr>
          <w:rFonts w:ascii="Arial" w:hAnsi="Arial" w:cs="Arial"/>
        </w:rPr>
      </w:pPr>
    </w:p>
    <w:p w:rsidR="0001450F" w:rsidRPr="008268DA" w:rsidRDefault="0001450F" w:rsidP="008268DA">
      <w:pPr>
        <w:pStyle w:val="ListParagraph"/>
        <w:numPr>
          <w:ilvl w:val="0"/>
          <w:numId w:val="18"/>
        </w:numPr>
        <w:rPr>
          <w:rFonts w:ascii="Arial" w:hAnsi="Arial" w:cs="Arial"/>
          <w:sz w:val="22"/>
          <w:szCs w:val="22"/>
        </w:rPr>
      </w:pPr>
      <w:r w:rsidRPr="008268DA">
        <w:rPr>
          <w:rFonts w:ascii="Arial" w:hAnsi="Arial" w:cs="Arial"/>
          <w:sz w:val="22"/>
          <w:szCs w:val="22"/>
        </w:rPr>
        <w:t>Put a drop of any reagent red cell suspension into a tube and take it to the Olympus.</w:t>
      </w:r>
    </w:p>
    <w:p w:rsidR="0001450F" w:rsidRPr="008268DA" w:rsidRDefault="0001450F" w:rsidP="008268DA">
      <w:pPr>
        <w:pStyle w:val="ListParagraph"/>
        <w:numPr>
          <w:ilvl w:val="0"/>
          <w:numId w:val="18"/>
        </w:numPr>
        <w:rPr>
          <w:rFonts w:ascii="Arial" w:hAnsi="Arial" w:cs="Arial"/>
          <w:sz w:val="22"/>
          <w:szCs w:val="22"/>
        </w:rPr>
      </w:pPr>
      <w:r w:rsidRPr="008268DA">
        <w:rPr>
          <w:rFonts w:ascii="Arial" w:hAnsi="Arial" w:cs="Arial"/>
          <w:sz w:val="22"/>
          <w:szCs w:val="22"/>
        </w:rPr>
        <w:t xml:space="preserve">With the tube holder in a stationary position, adjust the focus until the cell suspension is in focus for you. </w:t>
      </w:r>
    </w:p>
    <w:p w:rsidR="0001450F" w:rsidRPr="008268DA" w:rsidRDefault="0001450F" w:rsidP="008268DA">
      <w:pPr>
        <w:pStyle w:val="ListParagraph"/>
        <w:numPr>
          <w:ilvl w:val="0"/>
          <w:numId w:val="18"/>
        </w:numPr>
        <w:rPr>
          <w:rFonts w:ascii="Arial" w:hAnsi="Arial" w:cs="Arial"/>
          <w:sz w:val="22"/>
          <w:szCs w:val="22"/>
        </w:rPr>
      </w:pPr>
      <w:r w:rsidRPr="008268DA">
        <w:rPr>
          <w:rFonts w:ascii="Arial" w:hAnsi="Arial" w:cs="Arial"/>
          <w:sz w:val="22"/>
          <w:szCs w:val="22"/>
        </w:rPr>
        <w:t>Move the tube back and forth observing multiple fields.</w:t>
      </w:r>
    </w:p>
    <w:p w:rsidR="0001450F" w:rsidRPr="008268DA" w:rsidRDefault="008268DA" w:rsidP="0001450F">
      <w:pPr>
        <w:rPr>
          <w:rFonts w:ascii="Arial" w:hAnsi="Arial" w:cs="Arial"/>
          <w:sz w:val="22"/>
          <w:szCs w:val="22"/>
        </w:rPr>
      </w:pPr>
      <w:r>
        <w:rPr>
          <w:rFonts w:ascii="Arial" w:hAnsi="Arial" w:cs="Arial"/>
        </w:rPr>
        <w:pict>
          <v:rect id="_x0000_i1036" style="width:0;height:1.5pt" o:hralign="center" o:hrstd="t" o:hr="t" fillcolor="gray" stroked="f"/>
        </w:pict>
      </w:r>
    </w:p>
    <w:p w:rsidR="0001450F" w:rsidRPr="008268DA" w:rsidRDefault="0001450F" w:rsidP="008268DA">
      <w:pPr>
        <w:pStyle w:val="ListParagraph"/>
        <w:numPr>
          <w:ilvl w:val="0"/>
          <w:numId w:val="19"/>
        </w:numPr>
        <w:rPr>
          <w:rFonts w:ascii="Arial" w:hAnsi="Arial" w:cs="Arial"/>
          <w:sz w:val="22"/>
          <w:szCs w:val="22"/>
        </w:rPr>
      </w:pPr>
      <w:r w:rsidRPr="008268DA">
        <w:rPr>
          <w:rFonts w:ascii="Arial" w:hAnsi="Arial" w:cs="Arial"/>
          <w:sz w:val="22"/>
          <w:szCs w:val="22"/>
        </w:rPr>
        <w:t>Mix a drop of A1 and B cells with 1 drop anti-A or anti-B.</w:t>
      </w:r>
    </w:p>
    <w:p w:rsidR="0001450F" w:rsidRPr="008268DA" w:rsidRDefault="0001450F" w:rsidP="008268DA">
      <w:pPr>
        <w:pStyle w:val="ListParagraph"/>
        <w:numPr>
          <w:ilvl w:val="0"/>
          <w:numId w:val="19"/>
        </w:numPr>
        <w:rPr>
          <w:rFonts w:ascii="Arial" w:hAnsi="Arial" w:cs="Arial"/>
          <w:sz w:val="22"/>
          <w:szCs w:val="22"/>
        </w:rPr>
      </w:pPr>
      <w:r w:rsidRPr="008268DA">
        <w:rPr>
          <w:rFonts w:ascii="Arial" w:hAnsi="Arial" w:cs="Arial"/>
          <w:sz w:val="22"/>
          <w:szCs w:val="22"/>
        </w:rPr>
        <w:t>Centrifuge and read with agglutination viewer.</w:t>
      </w:r>
    </w:p>
    <w:p w:rsidR="0001450F" w:rsidRPr="008268DA" w:rsidRDefault="008268DA" w:rsidP="008268DA">
      <w:pPr>
        <w:pStyle w:val="ListParagraph"/>
        <w:numPr>
          <w:ilvl w:val="0"/>
          <w:numId w:val="19"/>
        </w:numPr>
        <w:rPr>
          <w:rFonts w:ascii="Arial" w:hAnsi="Arial" w:cs="Arial"/>
          <w:sz w:val="22"/>
          <w:szCs w:val="22"/>
        </w:rPr>
      </w:pPr>
      <w:r>
        <w:rPr>
          <w:rFonts w:ascii="Arial" w:hAnsi="Arial" w:cs="Arial"/>
          <w:sz w:val="22"/>
          <w:szCs w:val="22"/>
        </w:rPr>
        <w:t>T</w:t>
      </w:r>
      <w:r w:rsidR="0001450F" w:rsidRPr="008268DA">
        <w:rPr>
          <w:rFonts w:ascii="Arial" w:hAnsi="Arial" w:cs="Arial"/>
          <w:sz w:val="22"/>
          <w:szCs w:val="22"/>
        </w:rPr>
        <w:t>ake it to the Olympus.</w:t>
      </w:r>
    </w:p>
    <w:p w:rsidR="0001450F" w:rsidRPr="008268DA" w:rsidRDefault="0001450F" w:rsidP="008268DA">
      <w:pPr>
        <w:pStyle w:val="ListParagraph"/>
        <w:numPr>
          <w:ilvl w:val="0"/>
          <w:numId w:val="19"/>
        </w:numPr>
        <w:rPr>
          <w:rFonts w:ascii="Arial" w:hAnsi="Arial" w:cs="Arial"/>
          <w:sz w:val="22"/>
          <w:szCs w:val="22"/>
        </w:rPr>
      </w:pPr>
      <w:r w:rsidRPr="008268DA">
        <w:rPr>
          <w:rFonts w:ascii="Arial" w:hAnsi="Arial" w:cs="Arial"/>
          <w:sz w:val="22"/>
          <w:szCs w:val="22"/>
        </w:rPr>
        <w:t xml:space="preserve">With the tube holder in a stationary position, adjust the focus until the cell suspension is in focus for you. </w:t>
      </w:r>
    </w:p>
    <w:p w:rsidR="0001450F" w:rsidRPr="008268DA" w:rsidRDefault="0001450F" w:rsidP="008268DA">
      <w:pPr>
        <w:pStyle w:val="ListParagraph"/>
        <w:numPr>
          <w:ilvl w:val="0"/>
          <w:numId w:val="19"/>
        </w:numPr>
        <w:rPr>
          <w:rFonts w:ascii="Arial" w:hAnsi="Arial" w:cs="Arial"/>
          <w:sz w:val="22"/>
          <w:szCs w:val="22"/>
        </w:rPr>
      </w:pPr>
      <w:r w:rsidRPr="008268DA">
        <w:rPr>
          <w:rFonts w:ascii="Arial" w:hAnsi="Arial" w:cs="Arial"/>
          <w:sz w:val="22"/>
          <w:szCs w:val="22"/>
        </w:rPr>
        <w:t>Move the tube back and forth observing multiple fields.</w:t>
      </w:r>
    </w:p>
    <w:p w:rsidR="0001450F" w:rsidRPr="008268DA" w:rsidRDefault="008268DA" w:rsidP="008268DA">
      <w:pPr>
        <w:pStyle w:val="ListParagraph"/>
        <w:numPr>
          <w:ilvl w:val="0"/>
          <w:numId w:val="19"/>
        </w:numPr>
        <w:rPr>
          <w:rFonts w:ascii="Arial" w:hAnsi="Arial" w:cs="Arial"/>
          <w:sz w:val="22"/>
          <w:szCs w:val="22"/>
        </w:rPr>
      </w:pPr>
      <w:r w:rsidRPr="008268DA">
        <w:rPr>
          <w:rFonts w:ascii="Arial" w:hAnsi="Arial" w:cs="Arial"/>
          <w:sz w:val="22"/>
          <w:szCs w:val="22"/>
        </w:rPr>
        <w:t xml:space="preserve">Confirm </w:t>
      </w:r>
      <w:r>
        <w:rPr>
          <w:rFonts w:ascii="Arial" w:hAnsi="Arial" w:cs="Arial"/>
          <w:sz w:val="22"/>
          <w:szCs w:val="22"/>
        </w:rPr>
        <w:t xml:space="preserve">50% </w:t>
      </w:r>
      <w:r w:rsidRPr="008268DA">
        <w:rPr>
          <w:rFonts w:ascii="Arial" w:hAnsi="Arial" w:cs="Arial"/>
          <w:sz w:val="22"/>
          <w:szCs w:val="22"/>
        </w:rPr>
        <w:t>mixed field findings</w:t>
      </w:r>
    </w:p>
    <w:p w:rsidR="008268DA" w:rsidRPr="008268DA" w:rsidRDefault="008268DA" w:rsidP="0001450F">
      <w:pPr>
        <w:rPr>
          <w:rFonts w:ascii="Arial" w:hAnsi="Arial" w:cs="Arial"/>
          <w:sz w:val="22"/>
          <w:szCs w:val="22"/>
        </w:rPr>
      </w:pPr>
      <w:r>
        <w:rPr>
          <w:rFonts w:ascii="Arial" w:hAnsi="Arial" w:cs="Arial"/>
        </w:rPr>
        <w:pict>
          <v:rect id="_x0000_i1037" style="width:0;height:1.5pt" o:hralign="center" o:hrstd="t" o:hr="t" fillcolor="gray" stroked="f"/>
        </w:pict>
      </w:r>
    </w:p>
    <w:p w:rsidR="008268DA" w:rsidRPr="008268DA" w:rsidRDefault="008268DA" w:rsidP="008268DA">
      <w:pPr>
        <w:pStyle w:val="ListParagraph"/>
        <w:numPr>
          <w:ilvl w:val="0"/>
          <w:numId w:val="20"/>
        </w:numPr>
        <w:rPr>
          <w:rFonts w:ascii="Arial" w:hAnsi="Arial" w:cs="Arial"/>
          <w:sz w:val="22"/>
          <w:szCs w:val="22"/>
        </w:rPr>
      </w:pPr>
      <w:r w:rsidRPr="008268DA">
        <w:rPr>
          <w:rFonts w:ascii="Arial" w:hAnsi="Arial" w:cs="Arial"/>
          <w:sz w:val="22"/>
          <w:szCs w:val="22"/>
        </w:rPr>
        <w:t>Perform a DAT with Polyspecific or anti-IgG on the sample in the blue rack.</w:t>
      </w:r>
    </w:p>
    <w:p w:rsidR="008268DA" w:rsidRPr="008268DA" w:rsidRDefault="008268DA" w:rsidP="008268DA">
      <w:pPr>
        <w:pStyle w:val="ListParagraph"/>
        <w:numPr>
          <w:ilvl w:val="0"/>
          <w:numId w:val="20"/>
        </w:numPr>
        <w:rPr>
          <w:rFonts w:ascii="Arial" w:hAnsi="Arial" w:cs="Arial"/>
          <w:sz w:val="22"/>
          <w:szCs w:val="22"/>
        </w:rPr>
      </w:pPr>
      <w:r w:rsidRPr="008268DA">
        <w:rPr>
          <w:rFonts w:ascii="Arial" w:hAnsi="Arial" w:cs="Arial"/>
          <w:sz w:val="22"/>
          <w:szCs w:val="22"/>
        </w:rPr>
        <w:t>Confirm agglutination viewer findings with the Olympus.</w:t>
      </w:r>
    </w:p>
    <w:p w:rsidR="008268DA" w:rsidRDefault="008268DA" w:rsidP="008268DA">
      <w:pPr>
        <w:pStyle w:val="ListParagraph"/>
        <w:numPr>
          <w:ilvl w:val="0"/>
          <w:numId w:val="20"/>
        </w:numPr>
        <w:rPr>
          <w:rFonts w:ascii="Arial" w:hAnsi="Arial" w:cs="Arial"/>
          <w:sz w:val="22"/>
          <w:szCs w:val="22"/>
        </w:rPr>
      </w:pPr>
      <w:r w:rsidRPr="008268DA">
        <w:rPr>
          <w:rFonts w:ascii="Arial" w:hAnsi="Arial" w:cs="Arial"/>
          <w:sz w:val="22"/>
          <w:szCs w:val="22"/>
        </w:rPr>
        <w:t>This is a patient who has had a POS DAT – Mixed Field – following multiple transfusions of antigen pos units.  The Eluate contained anti-K.</w:t>
      </w:r>
    </w:p>
    <w:p w:rsidR="008268DA" w:rsidRPr="008268DA" w:rsidRDefault="008268DA" w:rsidP="008268DA">
      <w:pPr>
        <w:pStyle w:val="ListParagraph"/>
        <w:ind w:left="360"/>
        <w:rPr>
          <w:rFonts w:ascii="Arial" w:hAnsi="Arial" w:cs="Arial"/>
          <w:sz w:val="22"/>
          <w:szCs w:val="22"/>
        </w:rPr>
      </w:pPr>
      <w:r>
        <w:rPr>
          <w:rFonts w:ascii="Arial" w:hAnsi="Arial" w:cs="Arial"/>
        </w:rPr>
        <w:pict>
          <v:rect id="_x0000_i1038" style="width:0;height:1.5pt" o:hralign="center" o:hrstd="t" o:hr="t" fillcolor="gray" stroked="f"/>
        </w:pict>
      </w:r>
    </w:p>
    <w:p w:rsidR="008268DA" w:rsidRDefault="008268DA" w:rsidP="008268DA">
      <w:pPr>
        <w:pStyle w:val="ListParagraph"/>
        <w:numPr>
          <w:ilvl w:val="0"/>
          <w:numId w:val="21"/>
        </w:numPr>
        <w:rPr>
          <w:rFonts w:ascii="Arial" w:hAnsi="Arial" w:cs="Arial"/>
          <w:sz w:val="22"/>
          <w:szCs w:val="22"/>
        </w:rPr>
      </w:pPr>
      <w:r w:rsidRPr="008268DA">
        <w:rPr>
          <w:rFonts w:ascii="Arial" w:hAnsi="Arial" w:cs="Arial"/>
          <w:sz w:val="22"/>
          <w:szCs w:val="22"/>
        </w:rPr>
        <w:t xml:space="preserve">Mix 1 drop CC cells with 9 drops patient cells.  Perform a DAT.  Use microscope to confirm weak mixed field.  It is almost impossible to differentiate a W+ reaction from MF without the scope. </w:t>
      </w:r>
    </w:p>
    <w:p w:rsidR="001C6BCD" w:rsidRDefault="001C6BCD" w:rsidP="001C6BCD">
      <w:pPr>
        <w:rPr>
          <w:rFonts w:ascii="Arial" w:hAnsi="Arial" w:cs="Arial"/>
          <w:sz w:val="22"/>
          <w:szCs w:val="22"/>
        </w:rPr>
      </w:pPr>
    </w:p>
    <w:p w:rsidR="001C6BCD" w:rsidRPr="001C6BCD" w:rsidRDefault="001C6BCD" w:rsidP="001C6BCD">
      <w:pPr>
        <w:rPr>
          <w:rFonts w:ascii="Arial" w:hAnsi="Arial" w:cs="Arial"/>
          <w:b/>
          <w:sz w:val="22"/>
          <w:szCs w:val="22"/>
          <w:u w:val="single"/>
        </w:rPr>
      </w:pPr>
      <w:r w:rsidRPr="001C6BCD">
        <w:rPr>
          <w:rFonts w:ascii="Arial" w:hAnsi="Arial" w:cs="Arial"/>
          <w:b/>
          <w:sz w:val="22"/>
          <w:szCs w:val="22"/>
          <w:u w:val="single"/>
        </w:rPr>
        <w:lastRenderedPageBreak/>
        <w:t>Additional Microscope Info:</w:t>
      </w:r>
    </w:p>
    <w:p w:rsidR="001C6BCD" w:rsidRDefault="001C6BCD" w:rsidP="001C6BCD">
      <w:pPr>
        <w:rPr>
          <w:rFonts w:ascii="Arial" w:hAnsi="Arial" w:cs="Arial"/>
          <w:sz w:val="22"/>
          <w:szCs w:val="22"/>
        </w:rPr>
      </w:pPr>
    </w:p>
    <w:p w:rsidR="001C6BCD" w:rsidRPr="007816A0" w:rsidRDefault="001C6BCD" w:rsidP="001C6BCD">
      <w:pPr>
        <w:rPr>
          <w:rFonts w:ascii="Arial" w:hAnsi="Arial" w:cs="Arial"/>
          <w:b/>
          <w:i/>
          <w:sz w:val="22"/>
          <w:szCs w:val="22"/>
        </w:rPr>
      </w:pPr>
      <w:r w:rsidRPr="007816A0">
        <w:rPr>
          <w:rFonts w:ascii="Arial" w:hAnsi="Arial" w:cs="Arial"/>
          <w:b/>
          <w:i/>
          <w:sz w:val="22"/>
          <w:szCs w:val="22"/>
        </w:rPr>
        <w:t>February 22, 2012 by Scott Warner</w:t>
      </w:r>
    </w:p>
    <w:p w:rsidR="001C6BCD" w:rsidRDefault="001C6BCD" w:rsidP="001C6BCD">
      <w:pPr>
        <w:rPr>
          <w:rFonts w:ascii="Arial" w:hAnsi="Arial" w:cs="Arial"/>
          <w:sz w:val="22"/>
          <w:szCs w:val="22"/>
        </w:rPr>
      </w:pPr>
    </w:p>
    <w:p w:rsidR="001C6BCD" w:rsidRPr="007816A0" w:rsidRDefault="001C6BCD" w:rsidP="001C6BCD">
      <w:pPr>
        <w:rPr>
          <w:rFonts w:ascii="Arial" w:hAnsi="Arial" w:cs="Arial"/>
          <w:b/>
          <w:sz w:val="22"/>
          <w:szCs w:val="22"/>
        </w:rPr>
      </w:pPr>
      <w:r w:rsidRPr="007816A0">
        <w:rPr>
          <w:rFonts w:ascii="Arial" w:hAnsi="Arial" w:cs="Arial"/>
          <w:b/>
          <w:sz w:val="22"/>
          <w:szCs w:val="22"/>
        </w:rPr>
        <w:t>Why do we read a DAT under the microscope?</w:t>
      </w:r>
    </w:p>
    <w:p w:rsidR="001C6BCD" w:rsidRDefault="001C6BCD" w:rsidP="001C6BCD">
      <w:pPr>
        <w:rPr>
          <w:rFonts w:ascii="Arial" w:hAnsi="Arial" w:cs="Arial"/>
          <w:sz w:val="22"/>
          <w:szCs w:val="22"/>
        </w:rPr>
      </w:pPr>
    </w:p>
    <w:p w:rsidR="001C6BCD" w:rsidRDefault="001C6BCD" w:rsidP="001C6BCD">
      <w:pPr>
        <w:rPr>
          <w:rFonts w:ascii="Arial" w:hAnsi="Arial" w:cs="Arial"/>
          <w:sz w:val="22"/>
          <w:szCs w:val="22"/>
        </w:rPr>
      </w:pPr>
      <w:r>
        <w:rPr>
          <w:rFonts w:ascii="Arial" w:hAnsi="Arial" w:cs="Arial"/>
          <w:sz w:val="22"/>
          <w:szCs w:val="22"/>
        </w:rPr>
        <w:t>To look for mixed field agglutination.</w:t>
      </w:r>
    </w:p>
    <w:p w:rsidR="001C6BCD" w:rsidRDefault="001C6BCD" w:rsidP="001C6BCD">
      <w:pPr>
        <w:rPr>
          <w:rFonts w:ascii="Arial" w:hAnsi="Arial" w:cs="Arial"/>
          <w:sz w:val="22"/>
          <w:szCs w:val="22"/>
        </w:rPr>
      </w:pPr>
    </w:p>
    <w:p w:rsidR="001C6BCD" w:rsidRDefault="001C6BCD" w:rsidP="001C6BCD">
      <w:pPr>
        <w:rPr>
          <w:rFonts w:ascii="Arial" w:hAnsi="Arial" w:cs="Arial"/>
          <w:sz w:val="22"/>
          <w:szCs w:val="22"/>
        </w:rPr>
      </w:pPr>
      <w:r>
        <w:rPr>
          <w:rFonts w:ascii="Arial" w:hAnsi="Arial" w:cs="Arial"/>
          <w:sz w:val="22"/>
          <w:szCs w:val="22"/>
        </w:rPr>
        <w:t xml:space="preserve">But when should we look for mixed field agglutination?  </w:t>
      </w:r>
    </w:p>
    <w:p w:rsidR="001C6BCD" w:rsidRPr="001C6BCD" w:rsidRDefault="001C6BCD" w:rsidP="001C6BCD">
      <w:pPr>
        <w:pStyle w:val="ListParagraph"/>
        <w:numPr>
          <w:ilvl w:val="0"/>
          <w:numId w:val="21"/>
        </w:numPr>
        <w:rPr>
          <w:rFonts w:ascii="Arial" w:hAnsi="Arial" w:cs="Arial"/>
          <w:sz w:val="22"/>
          <w:szCs w:val="22"/>
        </w:rPr>
      </w:pPr>
      <w:r w:rsidRPr="001C6BCD">
        <w:rPr>
          <w:rFonts w:ascii="Arial" w:hAnsi="Arial" w:cs="Arial"/>
          <w:sz w:val="22"/>
          <w:szCs w:val="22"/>
        </w:rPr>
        <w:t>A DAT can detect red cells coated with antibodies of complement, an insensitive and nonspecific test.</w:t>
      </w:r>
    </w:p>
    <w:p w:rsidR="001C6BCD" w:rsidRPr="001C6BCD" w:rsidRDefault="001C6BCD" w:rsidP="001C6BCD">
      <w:pPr>
        <w:pStyle w:val="ListParagraph"/>
        <w:numPr>
          <w:ilvl w:val="0"/>
          <w:numId w:val="21"/>
        </w:numPr>
        <w:rPr>
          <w:rFonts w:ascii="Arial" w:hAnsi="Arial" w:cs="Arial"/>
          <w:sz w:val="22"/>
          <w:szCs w:val="22"/>
        </w:rPr>
      </w:pPr>
      <w:r w:rsidRPr="001C6BCD">
        <w:rPr>
          <w:rFonts w:ascii="Arial" w:hAnsi="Arial" w:cs="Arial"/>
          <w:sz w:val="22"/>
          <w:szCs w:val="22"/>
        </w:rPr>
        <w:t>AABB Technical Manual states that a microscopic can be useful in distinguishin</w:t>
      </w:r>
      <w:r w:rsidR="007816A0">
        <w:rPr>
          <w:rFonts w:ascii="Arial" w:hAnsi="Arial" w:cs="Arial"/>
          <w:sz w:val="22"/>
          <w:szCs w:val="22"/>
        </w:rPr>
        <w:t>g rouleaux from true agglutination</w:t>
      </w:r>
      <w:r w:rsidRPr="001C6BCD">
        <w:rPr>
          <w:rFonts w:ascii="Arial" w:hAnsi="Arial" w:cs="Arial"/>
          <w:sz w:val="22"/>
          <w:szCs w:val="22"/>
        </w:rPr>
        <w:t xml:space="preserve"> and may also allow for the detection of specific patterns of agglutination that are characteristic of some antibodies.  </w:t>
      </w:r>
    </w:p>
    <w:p w:rsidR="001C6BCD" w:rsidRPr="001C6BCD" w:rsidRDefault="001C6BCD" w:rsidP="001C6BCD">
      <w:pPr>
        <w:pStyle w:val="ListParagraph"/>
        <w:numPr>
          <w:ilvl w:val="0"/>
          <w:numId w:val="21"/>
        </w:numPr>
        <w:rPr>
          <w:rFonts w:ascii="Arial" w:hAnsi="Arial" w:cs="Arial"/>
          <w:sz w:val="22"/>
          <w:szCs w:val="22"/>
        </w:rPr>
      </w:pPr>
      <w:r w:rsidRPr="001C6BCD">
        <w:rPr>
          <w:rFonts w:ascii="Arial" w:hAnsi="Arial" w:cs="Arial"/>
          <w:sz w:val="22"/>
          <w:szCs w:val="22"/>
        </w:rPr>
        <w:t>A mixed field appearance in the posttransfusion DAT (i.e. agglutination of donor red cells and no agglutination of the patient’s red cells) may or may not be observed.</w:t>
      </w:r>
    </w:p>
    <w:p w:rsidR="001C6BCD" w:rsidRDefault="001C6BCD" w:rsidP="001C6BCD">
      <w:pPr>
        <w:rPr>
          <w:rFonts w:ascii="Arial" w:hAnsi="Arial" w:cs="Arial"/>
          <w:sz w:val="22"/>
          <w:szCs w:val="22"/>
        </w:rPr>
      </w:pPr>
    </w:p>
    <w:p w:rsidR="001C6BCD" w:rsidRDefault="001C6BCD" w:rsidP="001C6BCD">
      <w:pPr>
        <w:rPr>
          <w:rFonts w:ascii="Arial" w:hAnsi="Arial" w:cs="Arial"/>
          <w:sz w:val="22"/>
          <w:szCs w:val="22"/>
        </w:rPr>
      </w:pPr>
    </w:p>
    <w:p w:rsidR="001C6BCD" w:rsidRDefault="001C6BCD" w:rsidP="001C6BCD">
      <w:pPr>
        <w:rPr>
          <w:rFonts w:ascii="Arial" w:hAnsi="Arial" w:cs="Arial"/>
          <w:sz w:val="22"/>
          <w:szCs w:val="22"/>
        </w:rPr>
      </w:pPr>
      <w:r>
        <w:rPr>
          <w:rFonts w:ascii="Arial" w:hAnsi="Arial" w:cs="Arial"/>
          <w:sz w:val="22"/>
          <w:szCs w:val="22"/>
        </w:rPr>
        <w:t>Thus, Scott assumes that we should read a DAT microscopically when evaluating equivocal reactions and confirming negative posttransfusion specimens, a potentially confusing choice between working smarter (conserving resources and avoiding over-reading) and simpler (one procedure for all specimens).  Both have value.</w:t>
      </w:r>
    </w:p>
    <w:p w:rsidR="001C6BCD" w:rsidRDefault="001C6BCD" w:rsidP="001C6BCD">
      <w:pPr>
        <w:rPr>
          <w:rFonts w:ascii="Arial" w:hAnsi="Arial" w:cs="Arial"/>
          <w:sz w:val="22"/>
          <w:szCs w:val="22"/>
        </w:rPr>
      </w:pPr>
    </w:p>
    <w:p w:rsidR="001C6BCD" w:rsidRDefault="001C6BCD" w:rsidP="001C6BCD">
      <w:pPr>
        <w:rPr>
          <w:rFonts w:ascii="Arial" w:hAnsi="Arial" w:cs="Arial"/>
          <w:sz w:val="22"/>
          <w:szCs w:val="22"/>
        </w:rPr>
      </w:pPr>
    </w:p>
    <w:p w:rsidR="001C6BCD" w:rsidRDefault="001C6BCD" w:rsidP="001C6BCD">
      <w:pPr>
        <w:rPr>
          <w:rFonts w:ascii="Arial" w:hAnsi="Arial" w:cs="Arial"/>
          <w:sz w:val="22"/>
          <w:szCs w:val="22"/>
        </w:rPr>
      </w:pPr>
      <w:r>
        <w:rPr>
          <w:rFonts w:ascii="Arial" w:hAnsi="Arial" w:cs="Arial"/>
        </w:rPr>
        <w:pict>
          <v:rect id="_x0000_i1039" style="width:0;height:1.5pt" o:hralign="center" o:hrstd="t" o:hr="t" fillcolor="gray" stroked="f"/>
        </w:pict>
      </w:r>
    </w:p>
    <w:p w:rsidR="001C6BCD" w:rsidRDefault="001C6BCD" w:rsidP="001C6BCD">
      <w:pPr>
        <w:rPr>
          <w:rFonts w:ascii="Arial" w:hAnsi="Arial" w:cs="Arial"/>
          <w:sz w:val="22"/>
          <w:szCs w:val="22"/>
        </w:rPr>
      </w:pPr>
    </w:p>
    <w:p w:rsidR="001C6BCD" w:rsidRPr="007816A0" w:rsidRDefault="001C6BCD" w:rsidP="001C6BCD">
      <w:pPr>
        <w:rPr>
          <w:rFonts w:ascii="Arial" w:hAnsi="Arial" w:cs="Arial"/>
          <w:b/>
          <w:sz w:val="22"/>
          <w:szCs w:val="22"/>
        </w:rPr>
      </w:pPr>
      <w:r w:rsidRPr="007816A0">
        <w:rPr>
          <w:rFonts w:ascii="Arial" w:hAnsi="Arial" w:cs="Arial"/>
          <w:b/>
          <w:sz w:val="22"/>
          <w:szCs w:val="22"/>
        </w:rPr>
        <w:t>Microscopically Speaking by Blood Bank Guy</w:t>
      </w:r>
    </w:p>
    <w:p w:rsidR="007816A0" w:rsidRDefault="007816A0" w:rsidP="001C6BCD">
      <w:pPr>
        <w:rPr>
          <w:rFonts w:ascii="Arial" w:hAnsi="Arial" w:cs="Arial"/>
          <w:sz w:val="22"/>
          <w:szCs w:val="22"/>
        </w:rPr>
      </w:pPr>
    </w:p>
    <w:p w:rsidR="007816A0" w:rsidRPr="007816A0" w:rsidRDefault="007816A0" w:rsidP="001C6BCD">
      <w:pPr>
        <w:rPr>
          <w:rFonts w:ascii="Arial" w:hAnsi="Arial" w:cs="Arial"/>
          <w:i/>
          <w:sz w:val="22"/>
          <w:szCs w:val="22"/>
        </w:rPr>
      </w:pPr>
      <w:r w:rsidRPr="007816A0">
        <w:rPr>
          <w:rFonts w:ascii="Arial" w:hAnsi="Arial" w:cs="Arial"/>
          <w:i/>
          <w:sz w:val="22"/>
          <w:szCs w:val="22"/>
        </w:rPr>
        <w:t>Written by Monica LaSarre, June 2012</w:t>
      </w:r>
    </w:p>
    <w:p w:rsidR="001C6BCD" w:rsidRDefault="001C6BCD" w:rsidP="001C6BCD">
      <w:pPr>
        <w:rPr>
          <w:rFonts w:ascii="Arial" w:hAnsi="Arial" w:cs="Arial"/>
          <w:sz w:val="22"/>
          <w:szCs w:val="22"/>
        </w:rPr>
      </w:pPr>
    </w:p>
    <w:p w:rsidR="001C6BCD" w:rsidRDefault="001C6BCD" w:rsidP="001C6BCD">
      <w:pPr>
        <w:rPr>
          <w:rFonts w:ascii="Arial" w:hAnsi="Arial" w:cs="Arial"/>
          <w:sz w:val="22"/>
          <w:szCs w:val="22"/>
        </w:rPr>
      </w:pPr>
      <w:r w:rsidRPr="007816A0">
        <w:rPr>
          <w:rFonts w:ascii="Arial" w:hAnsi="Arial" w:cs="Arial"/>
          <w:b/>
          <w:sz w:val="22"/>
          <w:szCs w:val="22"/>
        </w:rPr>
        <w:t>Q:</w:t>
      </w:r>
      <w:r>
        <w:rPr>
          <w:rFonts w:ascii="Arial" w:hAnsi="Arial" w:cs="Arial"/>
          <w:sz w:val="22"/>
          <w:szCs w:val="22"/>
        </w:rPr>
        <w:t xml:space="preserve">  In tube testing, why don’t you read your reactions under the microscope, except for the DAT?  It seems like you would want to see any incompatibility, and the microscope can show stuff that you would miss with the naked eye.</w:t>
      </w:r>
    </w:p>
    <w:p w:rsidR="001C6BCD" w:rsidRDefault="001C6BCD" w:rsidP="001C6BCD">
      <w:pPr>
        <w:rPr>
          <w:rFonts w:ascii="Arial" w:hAnsi="Arial" w:cs="Arial"/>
          <w:sz w:val="22"/>
          <w:szCs w:val="22"/>
        </w:rPr>
      </w:pPr>
    </w:p>
    <w:p w:rsidR="001C6BCD" w:rsidRDefault="001C6BCD" w:rsidP="001C6BCD">
      <w:pPr>
        <w:rPr>
          <w:rFonts w:ascii="Arial" w:hAnsi="Arial" w:cs="Arial"/>
          <w:sz w:val="22"/>
          <w:szCs w:val="22"/>
        </w:rPr>
      </w:pPr>
      <w:r w:rsidRPr="007816A0">
        <w:rPr>
          <w:rFonts w:ascii="Arial" w:hAnsi="Arial" w:cs="Arial"/>
          <w:b/>
          <w:sz w:val="22"/>
          <w:szCs w:val="22"/>
        </w:rPr>
        <w:t>A:</w:t>
      </w:r>
      <w:r>
        <w:rPr>
          <w:rFonts w:ascii="Arial" w:hAnsi="Arial" w:cs="Arial"/>
          <w:sz w:val="22"/>
          <w:szCs w:val="22"/>
        </w:rPr>
        <w:t xml:space="preserve">  The question of when it’s appropriate to read agglutination reactions microscopically is entirely dependent on the reagents being used.  The manufacturer’s package insert will </w:t>
      </w:r>
      <w:r w:rsidR="007816A0">
        <w:rPr>
          <w:rFonts w:ascii="Arial" w:hAnsi="Arial" w:cs="Arial"/>
          <w:sz w:val="22"/>
          <w:szCs w:val="22"/>
        </w:rPr>
        <w:t>specifically</w:t>
      </w:r>
      <w:r>
        <w:rPr>
          <w:rFonts w:ascii="Arial" w:hAnsi="Arial" w:cs="Arial"/>
          <w:sz w:val="22"/>
          <w:szCs w:val="22"/>
        </w:rPr>
        <w:t xml:space="preserve"> instruct the technologist whether to read macroscopically (with the naked eye only), or both macroscopically and microscopically.  Their instructions are based on their validation of the reagent and definition of appropriate testing </w:t>
      </w:r>
      <w:r w:rsidR="007816A0">
        <w:rPr>
          <w:rFonts w:ascii="Arial" w:hAnsi="Arial" w:cs="Arial"/>
          <w:sz w:val="22"/>
          <w:szCs w:val="22"/>
        </w:rPr>
        <w:t>instructions</w:t>
      </w:r>
      <w:r>
        <w:rPr>
          <w:rFonts w:ascii="Arial" w:hAnsi="Arial" w:cs="Arial"/>
          <w:sz w:val="22"/>
          <w:szCs w:val="22"/>
        </w:rPr>
        <w:t xml:space="preserve"> so as to minimize detection of false positive reactions.</w:t>
      </w:r>
    </w:p>
    <w:p w:rsidR="001C6BCD" w:rsidRDefault="001C6BCD" w:rsidP="001C6BCD">
      <w:pPr>
        <w:rPr>
          <w:rFonts w:ascii="Arial" w:hAnsi="Arial" w:cs="Arial"/>
          <w:sz w:val="22"/>
          <w:szCs w:val="22"/>
        </w:rPr>
      </w:pPr>
    </w:p>
    <w:p w:rsidR="001C6BCD" w:rsidRPr="001C6BCD" w:rsidRDefault="001C6BCD" w:rsidP="001C6BCD">
      <w:pPr>
        <w:rPr>
          <w:rFonts w:ascii="Arial" w:hAnsi="Arial" w:cs="Arial"/>
          <w:sz w:val="22"/>
          <w:szCs w:val="22"/>
        </w:rPr>
      </w:pPr>
      <w:r>
        <w:rPr>
          <w:rFonts w:ascii="Arial" w:hAnsi="Arial" w:cs="Arial"/>
          <w:sz w:val="22"/>
          <w:szCs w:val="22"/>
        </w:rPr>
        <w:t>Despite the temptation to be as thorough as possible (which really defines you as a blood banker!), it’s important to resist the urge and NOT read micr</w:t>
      </w:r>
      <w:r w:rsidR="007816A0">
        <w:rPr>
          <w:rFonts w:ascii="Arial" w:hAnsi="Arial" w:cs="Arial"/>
          <w:sz w:val="22"/>
          <w:szCs w:val="22"/>
        </w:rPr>
        <w:t>o</w:t>
      </w:r>
      <w:r>
        <w:rPr>
          <w:rFonts w:ascii="Arial" w:hAnsi="Arial" w:cs="Arial"/>
          <w:sz w:val="22"/>
          <w:szCs w:val="22"/>
        </w:rPr>
        <w:t>scopically if the package insert doesn’t instruct you to do so.  Forging ahead and sticking that tube un</w:t>
      </w:r>
      <w:r w:rsidR="007816A0">
        <w:rPr>
          <w:rFonts w:ascii="Arial" w:hAnsi="Arial" w:cs="Arial"/>
          <w:sz w:val="22"/>
          <w:szCs w:val="22"/>
        </w:rPr>
        <w:t>der the scope could result in y</w:t>
      </w:r>
      <w:r>
        <w:rPr>
          <w:rFonts w:ascii="Arial" w:hAnsi="Arial" w:cs="Arial"/>
          <w:sz w:val="22"/>
          <w:szCs w:val="22"/>
        </w:rPr>
        <w:t>ou seeing “grainy” agglutination that is not inten</w:t>
      </w:r>
      <w:r w:rsidR="007816A0">
        <w:rPr>
          <w:rFonts w:ascii="Arial" w:hAnsi="Arial" w:cs="Arial"/>
          <w:sz w:val="22"/>
          <w:szCs w:val="22"/>
        </w:rPr>
        <w:t>ded to be interpreted as positiv</w:t>
      </w:r>
      <w:r>
        <w:rPr>
          <w:rFonts w:ascii="Arial" w:hAnsi="Arial" w:cs="Arial"/>
          <w:sz w:val="22"/>
          <w:szCs w:val="22"/>
        </w:rPr>
        <w:t xml:space="preserve">e, which would cloud the picture of the patient’s </w:t>
      </w:r>
      <w:r w:rsidR="007816A0">
        <w:rPr>
          <w:rFonts w:ascii="Arial" w:hAnsi="Arial" w:cs="Arial"/>
          <w:sz w:val="22"/>
          <w:szCs w:val="22"/>
        </w:rPr>
        <w:t>s</w:t>
      </w:r>
      <w:r>
        <w:rPr>
          <w:rFonts w:ascii="Arial" w:hAnsi="Arial" w:cs="Arial"/>
          <w:sz w:val="22"/>
          <w:szCs w:val="22"/>
        </w:rPr>
        <w:t>erologic results.  Unnecessary work would result, and this could even lead to adverse patient consequences</w:t>
      </w:r>
      <w:r w:rsidR="007816A0">
        <w:rPr>
          <w:rFonts w:ascii="Arial" w:hAnsi="Arial" w:cs="Arial"/>
          <w:sz w:val="22"/>
          <w:szCs w:val="22"/>
        </w:rPr>
        <w:t>:  for example, if you were busy chasing down a “phantom” antibody and blood wasn’t available for this or another patient in need.</w:t>
      </w:r>
    </w:p>
    <w:sectPr w:rsidR="001C6BCD" w:rsidRPr="001C6BCD" w:rsidSect="00492032">
      <w:headerReference w:type="default" r:id="rId8"/>
      <w:footerReference w:type="default" r:id="rId9"/>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7D7" w:rsidRDefault="007877D7" w:rsidP="007877D7">
      <w:r>
        <w:separator/>
      </w:r>
    </w:p>
  </w:endnote>
  <w:endnote w:type="continuationSeparator" w:id="0">
    <w:p w:rsidR="007877D7" w:rsidRDefault="007877D7" w:rsidP="0078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519350"/>
      <w:docPartObj>
        <w:docPartGallery w:val="Page Numbers (Bottom of Page)"/>
        <w:docPartUnique/>
      </w:docPartObj>
    </w:sdtPr>
    <w:sdtEndPr/>
    <w:sdtContent>
      <w:sdt>
        <w:sdtPr>
          <w:id w:val="98381352"/>
          <w:docPartObj>
            <w:docPartGallery w:val="Page Numbers (Top of Page)"/>
            <w:docPartUnique/>
          </w:docPartObj>
        </w:sdtPr>
        <w:sdtEndPr/>
        <w:sdtContent>
          <w:p w:rsidR="00CD6A03" w:rsidRDefault="00CD6A03">
            <w:pPr>
              <w:pStyle w:val="Footer"/>
            </w:pPr>
            <w:r>
              <w:t xml:space="preserve">Page </w:t>
            </w:r>
            <w:r>
              <w:rPr>
                <w:b/>
                <w:bCs/>
              </w:rPr>
              <w:fldChar w:fldCharType="begin"/>
            </w:r>
            <w:r>
              <w:rPr>
                <w:b/>
                <w:bCs/>
              </w:rPr>
              <w:instrText xml:space="preserve"> PAGE </w:instrText>
            </w:r>
            <w:r>
              <w:rPr>
                <w:b/>
                <w:bCs/>
              </w:rPr>
              <w:fldChar w:fldCharType="separate"/>
            </w:r>
            <w:r w:rsidR="00094F62">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94F62">
              <w:rPr>
                <w:b/>
                <w:bCs/>
                <w:noProof/>
              </w:rPr>
              <w:t>2</w:t>
            </w:r>
            <w:r>
              <w:rPr>
                <w:b/>
                <w:bCs/>
              </w:rPr>
              <w:fldChar w:fldCharType="end"/>
            </w:r>
            <w:r w:rsidR="001F28D5">
              <w:rPr>
                <w:b/>
                <w:bCs/>
              </w:rPr>
              <w:tab/>
            </w:r>
            <w:r w:rsidR="001F28D5">
              <w:rPr>
                <w:b/>
                <w:bCs/>
              </w:rPr>
              <w:tab/>
            </w:r>
            <w:r w:rsidR="008268DA">
              <w:rPr>
                <w:b/>
                <w:bCs/>
              </w:rPr>
              <w:t>8/19</w:t>
            </w:r>
            <w:r w:rsidR="008231CC">
              <w:rPr>
                <w:b/>
                <w:bCs/>
              </w:rPr>
              <w:t>/2014</w:t>
            </w:r>
            <w:r>
              <w:rPr>
                <w:b/>
                <w:bCs/>
              </w:rPr>
              <w:t xml:space="preserve">      rg</w:t>
            </w:r>
          </w:p>
        </w:sdtContent>
      </w:sdt>
    </w:sdtContent>
  </w:sdt>
  <w:p w:rsidR="00CD6A03" w:rsidRDefault="00CD6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7D7" w:rsidRDefault="007877D7" w:rsidP="007877D7">
      <w:r>
        <w:separator/>
      </w:r>
    </w:p>
  </w:footnote>
  <w:footnote w:type="continuationSeparator" w:id="0">
    <w:p w:rsidR="007877D7" w:rsidRDefault="007877D7" w:rsidP="00787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7D7" w:rsidRDefault="007877D7">
    <w:pPr>
      <w:pStyle w:val="Header"/>
    </w:pPr>
    <w:r>
      <w:rPr>
        <w:rFonts w:ascii="Verdana" w:hAnsi="Verdana"/>
        <w:noProof/>
        <w:color w:val="0082D9"/>
        <w:sz w:val="17"/>
        <w:szCs w:val="17"/>
      </w:rPr>
      <w:drawing>
        <wp:inline distT="0" distB="0" distL="0" distR="0" wp14:anchorId="3D43714C" wp14:editId="5F5E3C96">
          <wp:extent cx="5486400" cy="57150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7CB7"/>
    <w:multiLevelType w:val="hybridMultilevel"/>
    <w:tmpl w:val="A3E6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401253"/>
    <w:multiLevelType w:val="hybridMultilevel"/>
    <w:tmpl w:val="3AA2B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9729C"/>
    <w:multiLevelType w:val="hybridMultilevel"/>
    <w:tmpl w:val="1B86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D771D"/>
    <w:multiLevelType w:val="hybridMultilevel"/>
    <w:tmpl w:val="550657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C411D2"/>
    <w:multiLevelType w:val="hybridMultilevel"/>
    <w:tmpl w:val="8C8C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526762"/>
    <w:multiLevelType w:val="hybridMultilevel"/>
    <w:tmpl w:val="DBDC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B74CA9"/>
    <w:multiLevelType w:val="hybridMultilevel"/>
    <w:tmpl w:val="6A2A33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0062F3"/>
    <w:multiLevelType w:val="hybridMultilevel"/>
    <w:tmpl w:val="98B6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23F30"/>
    <w:multiLevelType w:val="hybridMultilevel"/>
    <w:tmpl w:val="BA6C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7C2473"/>
    <w:multiLevelType w:val="hybridMultilevel"/>
    <w:tmpl w:val="2DBC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523B4A"/>
    <w:multiLevelType w:val="hybridMultilevel"/>
    <w:tmpl w:val="4D0A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F27A20"/>
    <w:multiLevelType w:val="hybridMultilevel"/>
    <w:tmpl w:val="CDCA7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39362B2"/>
    <w:multiLevelType w:val="hybridMultilevel"/>
    <w:tmpl w:val="46B6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3B6D5A"/>
    <w:multiLevelType w:val="hybridMultilevel"/>
    <w:tmpl w:val="CEB6D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6610DCA"/>
    <w:multiLevelType w:val="hybridMultilevel"/>
    <w:tmpl w:val="33746D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4BB35CD"/>
    <w:multiLevelType w:val="hybridMultilevel"/>
    <w:tmpl w:val="60ACF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6EC3D8E"/>
    <w:multiLevelType w:val="hybridMultilevel"/>
    <w:tmpl w:val="5F9A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06260E"/>
    <w:multiLevelType w:val="hybridMultilevel"/>
    <w:tmpl w:val="2014F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EF5899"/>
    <w:multiLevelType w:val="hybridMultilevel"/>
    <w:tmpl w:val="7784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3C6BC1"/>
    <w:multiLevelType w:val="hybridMultilevel"/>
    <w:tmpl w:val="0224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8E342D"/>
    <w:multiLevelType w:val="hybridMultilevel"/>
    <w:tmpl w:val="9C62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8"/>
  </w:num>
  <w:num w:numId="4">
    <w:abstractNumId w:val="20"/>
  </w:num>
  <w:num w:numId="5">
    <w:abstractNumId w:val="19"/>
  </w:num>
  <w:num w:numId="6">
    <w:abstractNumId w:val="16"/>
  </w:num>
  <w:num w:numId="7">
    <w:abstractNumId w:val="18"/>
  </w:num>
  <w:num w:numId="8">
    <w:abstractNumId w:val="0"/>
  </w:num>
  <w:num w:numId="9">
    <w:abstractNumId w:val="7"/>
  </w:num>
  <w:num w:numId="10">
    <w:abstractNumId w:val="9"/>
  </w:num>
  <w:num w:numId="11">
    <w:abstractNumId w:val="5"/>
  </w:num>
  <w:num w:numId="12">
    <w:abstractNumId w:val="15"/>
  </w:num>
  <w:num w:numId="13">
    <w:abstractNumId w:val="10"/>
  </w:num>
  <w:num w:numId="14">
    <w:abstractNumId w:val="4"/>
  </w:num>
  <w:num w:numId="15">
    <w:abstractNumId w:val="2"/>
  </w:num>
  <w:num w:numId="16">
    <w:abstractNumId w:val="12"/>
  </w:num>
  <w:num w:numId="17">
    <w:abstractNumId w:val="1"/>
  </w:num>
  <w:num w:numId="18">
    <w:abstractNumId w:val="13"/>
  </w:num>
  <w:num w:numId="19">
    <w:abstractNumId w:val="6"/>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7D7"/>
    <w:rsid w:val="000046F3"/>
    <w:rsid w:val="00006630"/>
    <w:rsid w:val="0001450F"/>
    <w:rsid w:val="00060BFE"/>
    <w:rsid w:val="00094F62"/>
    <w:rsid w:val="000D027B"/>
    <w:rsid w:val="000D1763"/>
    <w:rsid w:val="000F4DA2"/>
    <w:rsid w:val="001172E1"/>
    <w:rsid w:val="0014518D"/>
    <w:rsid w:val="0014520E"/>
    <w:rsid w:val="00186C26"/>
    <w:rsid w:val="001C589A"/>
    <w:rsid w:val="001C6BCD"/>
    <w:rsid w:val="001F28D5"/>
    <w:rsid w:val="0021713E"/>
    <w:rsid w:val="002335AA"/>
    <w:rsid w:val="00304090"/>
    <w:rsid w:val="003A2AFA"/>
    <w:rsid w:val="003D26D4"/>
    <w:rsid w:val="003F1B21"/>
    <w:rsid w:val="004004A4"/>
    <w:rsid w:val="00401E74"/>
    <w:rsid w:val="0044235A"/>
    <w:rsid w:val="00492032"/>
    <w:rsid w:val="004B3465"/>
    <w:rsid w:val="004C3CE6"/>
    <w:rsid w:val="004C4237"/>
    <w:rsid w:val="004C77AC"/>
    <w:rsid w:val="005C2E9E"/>
    <w:rsid w:val="00651FC7"/>
    <w:rsid w:val="006A07AB"/>
    <w:rsid w:val="00736FB9"/>
    <w:rsid w:val="007816A0"/>
    <w:rsid w:val="007877D7"/>
    <w:rsid w:val="008035C9"/>
    <w:rsid w:val="008231CC"/>
    <w:rsid w:val="008268DA"/>
    <w:rsid w:val="00854EB2"/>
    <w:rsid w:val="0088596F"/>
    <w:rsid w:val="00886450"/>
    <w:rsid w:val="008B4337"/>
    <w:rsid w:val="00905A12"/>
    <w:rsid w:val="00910E14"/>
    <w:rsid w:val="00930226"/>
    <w:rsid w:val="00936704"/>
    <w:rsid w:val="009407C3"/>
    <w:rsid w:val="00950AC8"/>
    <w:rsid w:val="00996270"/>
    <w:rsid w:val="009B1842"/>
    <w:rsid w:val="009E3434"/>
    <w:rsid w:val="009F05EC"/>
    <w:rsid w:val="00A05E63"/>
    <w:rsid w:val="00A344E2"/>
    <w:rsid w:val="00AA6AB3"/>
    <w:rsid w:val="00AB0506"/>
    <w:rsid w:val="00AB47B5"/>
    <w:rsid w:val="00AB4845"/>
    <w:rsid w:val="00AF01AF"/>
    <w:rsid w:val="00B01FEE"/>
    <w:rsid w:val="00B64322"/>
    <w:rsid w:val="00B81DFD"/>
    <w:rsid w:val="00BC08D0"/>
    <w:rsid w:val="00BE5D23"/>
    <w:rsid w:val="00BF1A1A"/>
    <w:rsid w:val="00BF4903"/>
    <w:rsid w:val="00C1557F"/>
    <w:rsid w:val="00C421C2"/>
    <w:rsid w:val="00C81BDB"/>
    <w:rsid w:val="00C96591"/>
    <w:rsid w:val="00CD6A03"/>
    <w:rsid w:val="00D632A9"/>
    <w:rsid w:val="00DA3685"/>
    <w:rsid w:val="00DA564A"/>
    <w:rsid w:val="00DA6E9F"/>
    <w:rsid w:val="00DD7CA8"/>
    <w:rsid w:val="00DE3568"/>
    <w:rsid w:val="00DE4FDF"/>
    <w:rsid w:val="00DF1512"/>
    <w:rsid w:val="00E00191"/>
    <w:rsid w:val="00E00866"/>
    <w:rsid w:val="00E43C1D"/>
    <w:rsid w:val="00E47893"/>
    <w:rsid w:val="00E56F6C"/>
    <w:rsid w:val="00E62AD2"/>
    <w:rsid w:val="00E92833"/>
    <w:rsid w:val="00EC17E6"/>
    <w:rsid w:val="00EC5F13"/>
    <w:rsid w:val="00EF7B51"/>
    <w:rsid w:val="00F402BF"/>
    <w:rsid w:val="00F741DB"/>
    <w:rsid w:val="00F84DB6"/>
    <w:rsid w:val="00FA066A"/>
    <w:rsid w:val="00FD4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877D7"/>
    <w:pPr>
      <w:tabs>
        <w:tab w:val="center" w:pos="4680"/>
        <w:tab w:val="right" w:pos="9360"/>
      </w:tabs>
    </w:pPr>
  </w:style>
  <w:style w:type="character" w:customStyle="1" w:styleId="HeaderChar">
    <w:name w:val="Header Char"/>
    <w:basedOn w:val="DefaultParagraphFont"/>
    <w:link w:val="Header"/>
    <w:rsid w:val="007877D7"/>
    <w:rPr>
      <w:sz w:val="24"/>
      <w:szCs w:val="24"/>
    </w:rPr>
  </w:style>
  <w:style w:type="paragraph" w:styleId="Footer">
    <w:name w:val="footer"/>
    <w:basedOn w:val="Normal"/>
    <w:link w:val="FooterChar"/>
    <w:uiPriority w:val="99"/>
    <w:rsid w:val="007877D7"/>
    <w:pPr>
      <w:tabs>
        <w:tab w:val="center" w:pos="4680"/>
        <w:tab w:val="right" w:pos="9360"/>
      </w:tabs>
    </w:pPr>
  </w:style>
  <w:style w:type="character" w:customStyle="1" w:styleId="FooterChar">
    <w:name w:val="Footer Char"/>
    <w:basedOn w:val="DefaultParagraphFont"/>
    <w:link w:val="Footer"/>
    <w:uiPriority w:val="99"/>
    <w:rsid w:val="007877D7"/>
    <w:rPr>
      <w:sz w:val="24"/>
      <w:szCs w:val="24"/>
    </w:rPr>
  </w:style>
  <w:style w:type="paragraph" w:styleId="BalloonText">
    <w:name w:val="Balloon Text"/>
    <w:basedOn w:val="Normal"/>
    <w:link w:val="BalloonTextChar"/>
    <w:rsid w:val="007877D7"/>
    <w:rPr>
      <w:rFonts w:ascii="Tahoma" w:hAnsi="Tahoma" w:cs="Tahoma"/>
      <w:sz w:val="16"/>
      <w:szCs w:val="16"/>
    </w:rPr>
  </w:style>
  <w:style w:type="character" w:customStyle="1" w:styleId="BalloonTextChar">
    <w:name w:val="Balloon Text Char"/>
    <w:basedOn w:val="DefaultParagraphFont"/>
    <w:link w:val="BalloonText"/>
    <w:rsid w:val="007877D7"/>
    <w:rPr>
      <w:rFonts w:ascii="Tahoma" w:hAnsi="Tahoma" w:cs="Tahoma"/>
      <w:sz w:val="16"/>
      <w:szCs w:val="16"/>
    </w:rPr>
  </w:style>
  <w:style w:type="table" w:styleId="TableGrid">
    <w:name w:val="Table Grid"/>
    <w:basedOn w:val="TableNormal"/>
    <w:rsid w:val="00787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434"/>
    <w:pPr>
      <w:ind w:left="720"/>
      <w:contextualSpacing/>
    </w:pPr>
  </w:style>
  <w:style w:type="character" w:styleId="Hyperlink">
    <w:name w:val="Hyperlink"/>
    <w:basedOn w:val="DefaultParagraphFont"/>
    <w:rsid w:val="008B43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877D7"/>
    <w:pPr>
      <w:tabs>
        <w:tab w:val="center" w:pos="4680"/>
        <w:tab w:val="right" w:pos="9360"/>
      </w:tabs>
    </w:pPr>
  </w:style>
  <w:style w:type="character" w:customStyle="1" w:styleId="HeaderChar">
    <w:name w:val="Header Char"/>
    <w:basedOn w:val="DefaultParagraphFont"/>
    <w:link w:val="Header"/>
    <w:rsid w:val="007877D7"/>
    <w:rPr>
      <w:sz w:val="24"/>
      <w:szCs w:val="24"/>
    </w:rPr>
  </w:style>
  <w:style w:type="paragraph" w:styleId="Footer">
    <w:name w:val="footer"/>
    <w:basedOn w:val="Normal"/>
    <w:link w:val="FooterChar"/>
    <w:uiPriority w:val="99"/>
    <w:rsid w:val="007877D7"/>
    <w:pPr>
      <w:tabs>
        <w:tab w:val="center" w:pos="4680"/>
        <w:tab w:val="right" w:pos="9360"/>
      </w:tabs>
    </w:pPr>
  </w:style>
  <w:style w:type="character" w:customStyle="1" w:styleId="FooterChar">
    <w:name w:val="Footer Char"/>
    <w:basedOn w:val="DefaultParagraphFont"/>
    <w:link w:val="Footer"/>
    <w:uiPriority w:val="99"/>
    <w:rsid w:val="007877D7"/>
    <w:rPr>
      <w:sz w:val="24"/>
      <w:szCs w:val="24"/>
    </w:rPr>
  </w:style>
  <w:style w:type="paragraph" w:styleId="BalloonText">
    <w:name w:val="Balloon Text"/>
    <w:basedOn w:val="Normal"/>
    <w:link w:val="BalloonTextChar"/>
    <w:rsid w:val="007877D7"/>
    <w:rPr>
      <w:rFonts w:ascii="Tahoma" w:hAnsi="Tahoma" w:cs="Tahoma"/>
      <w:sz w:val="16"/>
      <w:szCs w:val="16"/>
    </w:rPr>
  </w:style>
  <w:style w:type="character" w:customStyle="1" w:styleId="BalloonTextChar">
    <w:name w:val="Balloon Text Char"/>
    <w:basedOn w:val="DefaultParagraphFont"/>
    <w:link w:val="BalloonText"/>
    <w:rsid w:val="007877D7"/>
    <w:rPr>
      <w:rFonts w:ascii="Tahoma" w:hAnsi="Tahoma" w:cs="Tahoma"/>
      <w:sz w:val="16"/>
      <w:szCs w:val="16"/>
    </w:rPr>
  </w:style>
  <w:style w:type="table" w:styleId="TableGrid">
    <w:name w:val="Table Grid"/>
    <w:basedOn w:val="TableNormal"/>
    <w:rsid w:val="00787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434"/>
    <w:pPr>
      <w:ind w:left="720"/>
      <w:contextualSpacing/>
    </w:pPr>
  </w:style>
  <w:style w:type="character" w:styleId="Hyperlink">
    <w:name w:val="Hyperlink"/>
    <w:basedOn w:val="DefaultParagraphFont"/>
    <w:rsid w:val="008B43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TotalTime>
  <Pages>2</Pages>
  <Words>713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rgary</dc:creator>
  <cp:keywords/>
  <dc:description/>
  <cp:lastModifiedBy>Gary, Roxann</cp:lastModifiedBy>
  <cp:revision>48</cp:revision>
  <cp:lastPrinted>2014-02-05T18:08:00Z</cp:lastPrinted>
  <dcterms:created xsi:type="dcterms:W3CDTF">2013-03-31T14:49:00Z</dcterms:created>
  <dcterms:modified xsi:type="dcterms:W3CDTF">2014-08-19T21:12:00Z</dcterms:modified>
</cp:coreProperties>
</file>