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93" w:rsidRPr="00A465B1" w:rsidRDefault="00A465B1">
      <w:pPr>
        <w:rPr>
          <w:rFonts w:ascii="Arial" w:hAnsi="Arial" w:cs="Arial"/>
          <w:b/>
          <w:sz w:val="28"/>
          <w:szCs w:val="28"/>
        </w:rPr>
      </w:pPr>
      <w:r w:rsidRPr="00A465B1">
        <w:rPr>
          <w:rFonts w:ascii="Arial" w:hAnsi="Arial" w:cs="Arial"/>
          <w:b/>
          <w:sz w:val="28"/>
          <w:szCs w:val="28"/>
        </w:rPr>
        <w:t>Summary of Changes for Emergency Department Refrigerator</w:t>
      </w:r>
    </w:p>
    <w:p w:rsidR="00A465B1" w:rsidRPr="00A465B1" w:rsidRDefault="00A465B1">
      <w:pPr>
        <w:rPr>
          <w:rFonts w:ascii="Arial" w:hAnsi="Arial" w:cs="Arial"/>
        </w:rPr>
      </w:pPr>
    </w:p>
    <w:p w:rsidR="00A465B1" w:rsidRDefault="00A46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TSL will stock RBCs and plasma into a monitored blood storage refrigerator in the Emergency Department. </w:t>
      </w:r>
    </w:p>
    <w:p w:rsidR="00A465B1" w:rsidRPr="00A465B1" w:rsidRDefault="00A465B1">
      <w:pPr>
        <w:rPr>
          <w:rFonts w:ascii="Arial" w:hAnsi="Arial" w:cs="Arial"/>
        </w:rPr>
      </w:pPr>
      <w:r>
        <w:rPr>
          <w:rFonts w:ascii="Arial" w:hAnsi="Arial" w:cs="Arial"/>
        </w:rPr>
        <w:t>The chart summarizes the SOP and form changes involved.</w:t>
      </w:r>
    </w:p>
    <w:p w:rsidR="00B324C0" w:rsidRPr="00A465B1" w:rsidRDefault="00B8570A">
      <w:pPr>
        <w:rPr>
          <w:rFonts w:ascii="Arial" w:hAnsi="Arial" w:cs="Arial"/>
        </w:rPr>
      </w:pPr>
      <w:r>
        <w:rPr>
          <w:rFonts w:ascii="Arial" w:hAnsi="Arial" w:cs="Arial"/>
        </w:rPr>
        <w:t>Date of implementation is to be determined but TSL plans to be prepared by January 6, 2015.</w:t>
      </w:r>
    </w:p>
    <w:p w:rsidR="00B324C0" w:rsidRPr="00A465B1" w:rsidRDefault="00B324C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116"/>
        <w:gridCol w:w="5337"/>
      </w:tblGrid>
      <w:tr w:rsidR="00B324C0" w:rsidRPr="00A465B1" w:rsidTr="0079790F">
        <w:tc>
          <w:tcPr>
            <w:tcW w:w="1123" w:type="dxa"/>
            <w:shd w:val="clear" w:color="auto" w:fill="C4BC96" w:themeFill="background2" w:themeFillShade="BF"/>
          </w:tcPr>
          <w:p w:rsidR="00B324C0" w:rsidRPr="00A465B1" w:rsidRDefault="00B324C0" w:rsidP="00A46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5B1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116" w:type="dxa"/>
            <w:shd w:val="clear" w:color="auto" w:fill="C4BC96" w:themeFill="background2" w:themeFillShade="BF"/>
          </w:tcPr>
          <w:p w:rsidR="00B324C0" w:rsidRPr="00A465B1" w:rsidRDefault="00B324C0" w:rsidP="00A46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5B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37" w:type="dxa"/>
            <w:shd w:val="clear" w:color="auto" w:fill="C4BC96" w:themeFill="background2" w:themeFillShade="BF"/>
          </w:tcPr>
          <w:p w:rsidR="00B324C0" w:rsidRPr="00A465B1" w:rsidRDefault="00B324C0" w:rsidP="00A46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5B1">
              <w:rPr>
                <w:rFonts w:ascii="Arial" w:hAnsi="Arial" w:cs="Arial"/>
                <w:b/>
                <w:sz w:val="24"/>
                <w:szCs w:val="24"/>
              </w:rPr>
              <w:t>Changes</w:t>
            </w:r>
          </w:p>
        </w:tc>
      </w:tr>
      <w:tr w:rsidR="00B324C0" w:rsidRPr="00A465B1" w:rsidTr="0079790F">
        <w:tc>
          <w:tcPr>
            <w:tcW w:w="1123" w:type="dxa"/>
            <w:vAlign w:val="center"/>
          </w:tcPr>
          <w:p w:rsidR="00B324C0" w:rsidRPr="00A465B1" w:rsidRDefault="00B324C0" w:rsidP="00A465B1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NEW</w:t>
            </w:r>
          </w:p>
        </w:tc>
        <w:tc>
          <w:tcPr>
            <w:tcW w:w="3116" w:type="dxa"/>
            <w:vAlign w:val="center"/>
          </w:tcPr>
          <w:p w:rsidR="00B324C0" w:rsidRPr="00A465B1" w:rsidRDefault="00B324C0" w:rsidP="00A465B1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Urgent Release Unit Record</w:t>
            </w:r>
          </w:p>
        </w:tc>
        <w:tc>
          <w:tcPr>
            <w:tcW w:w="5337" w:type="dxa"/>
          </w:tcPr>
          <w:p w:rsidR="00B324C0" w:rsidRPr="00A465B1" w:rsidRDefault="00B324C0" w:rsidP="00A465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New form</w:t>
            </w:r>
          </w:p>
          <w:p w:rsidR="00B324C0" w:rsidRPr="00A465B1" w:rsidRDefault="00B324C0" w:rsidP="00A465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Attached to stock universal usage units stored in the ED Refrigerator</w:t>
            </w:r>
          </w:p>
        </w:tc>
      </w:tr>
      <w:tr w:rsidR="0079790F" w:rsidRPr="00A465B1" w:rsidTr="0079790F">
        <w:tc>
          <w:tcPr>
            <w:tcW w:w="1123" w:type="dxa"/>
            <w:vAlign w:val="center"/>
          </w:tcPr>
          <w:p w:rsidR="0079790F" w:rsidRPr="00A465B1" w:rsidRDefault="0079790F" w:rsidP="00DF4AC3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NEW</w:t>
            </w:r>
          </w:p>
        </w:tc>
        <w:tc>
          <w:tcPr>
            <w:tcW w:w="3116" w:type="dxa"/>
            <w:vAlign w:val="center"/>
          </w:tcPr>
          <w:p w:rsidR="0079790F" w:rsidRPr="00A465B1" w:rsidRDefault="0079790F" w:rsidP="00DF4AC3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Changing Blood Location in SQ</w:t>
            </w:r>
          </w:p>
        </w:tc>
        <w:tc>
          <w:tcPr>
            <w:tcW w:w="5337" w:type="dxa"/>
          </w:tcPr>
          <w:p w:rsidR="0079790F" w:rsidRPr="00A465B1" w:rsidRDefault="0079790F" w:rsidP="00DF4A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SOP for moving blood components to different locations in SQ.</w:t>
            </w:r>
          </w:p>
          <w:p w:rsidR="0079790F" w:rsidRPr="00A465B1" w:rsidRDefault="0079790F" w:rsidP="00DF4A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Written for ED blood refrigerator and ALNW.</w:t>
            </w:r>
          </w:p>
        </w:tc>
      </w:tr>
      <w:tr w:rsidR="0079790F" w:rsidRPr="00A465B1" w:rsidTr="00DF4AC3">
        <w:tc>
          <w:tcPr>
            <w:tcW w:w="1123" w:type="dxa"/>
            <w:vAlign w:val="center"/>
          </w:tcPr>
          <w:p w:rsidR="0079790F" w:rsidRPr="00A465B1" w:rsidRDefault="0079790F" w:rsidP="00DF4AC3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NEW</w:t>
            </w:r>
          </w:p>
        </w:tc>
        <w:tc>
          <w:tcPr>
            <w:tcW w:w="3116" w:type="dxa"/>
            <w:vAlign w:val="center"/>
          </w:tcPr>
          <w:p w:rsidR="0079790F" w:rsidRPr="00A465B1" w:rsidRDefault="0079790F" w:rsidP="00DF4AC3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 xml:space="preserve">Management of Emergency Department Refrigerator </w:t>
            </w:r>
          </w:p>
        </w:tc>
        <w:tc>
          <w:tcPr>
            <w:tcW w:w="5337" w:type="dxa"/>
          </w:tcPr>
          <w:p w:rsidR="0079790F" w:rsidRPr="00A465B1" w:rsidRDefault="0079790F" w:rsidP="00DF4A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Describes the stocking, product rotation, and nursing use of the products in the ED monitored blood storage refrigerator.</w:t>
            </w:r>
          </w:p>
        </w:tc>
      </w:tr>
      <w:tr w:rsidR="00B324C0" w:rsidRPr="00A465B1" w:rsidTr="0079790F">
        <w:tc>
          <w:tcPr>
            <w:tcW w:w="1123" w:type="dxa"/>
            <w:vAlign w:val="center"/>
          </w:tcPr>
          <w:p w:rsidR="00B324C0" w:rsidRPr="00A465B1" w:rsidRDefault="00B324C0" w:rsidP="00A465B1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5114-6</w:t>
            </w:r>
          </w:p>
        </w:tc>
        <w:tc>
          <w:tcPr>
            <w:tcW w:w="3116" w:type="dxa"/>
            <w:vAlign w:val="center"/>
          </w:tcPr>
          <w:p w:rsidR="00B324C0" w:rsidRPr="00A465B1" w:rsidRDefault="00B324C0" w:rsidP="00A465B1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Trauma Response Process</w:t>
            </w:r>
          </w:p>
        </w:tc>
        <w:tc>
          <w:tcPr>
            <w:tcW w:w="5337" w:type="dxa"/>
          </w:tcPr>
          <w:p w:rsidR="00B324C0" w:rsidRPr="00A465B1" w:rsidRDefault="00B324C0" w:rsidP="00A46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ED response is changing.</w:t>
            </w:r>
          </w:p>
          <w:p w:rsidR="00B324C0" w:rsidRPr="00A465B1" w:rsidRDefault="00B324C0" w:rsidP="00A46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Full trauma response to every page will no longer occur.</w:t>
            </w:r>
          </w:p>
          <w:p w:rsidR="00B324C0" w:rsidRPr="00A465B1" w:rsidRDefault="00B324C0" w:rsidP="00A46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TSL responds when notified by ED.</w:t>
            </w:r>
          </w:p>
          <w:p w:rsidR="00B324C0" w:rsidRPr="00A465B1" w:rsidRDefault="00B324C0" w:rsidP="00A46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Policy for Low Titer Plasma added.</w:t>
            </w:r>
          </w:p>
          <w:p w:rsidR="00B324C0" w:rsidRPr="00A465B1" w:rsidRDefault="00B324C0" w:rsidP="00A46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Use of ED refrigerator as part of trauma response included</w:t>
            </w:r>
          </w:p>
        </w:tc>
      </w:tr>
      <w:tr w:rsidR="00B324C0" w:rsidRPr="00A465B1" w:rsidTr="0079790F">
        <w:tc>
          <w:tcPr>
            <w:tcW w:w="1123" w:type="dxa"/>
            <w:vAlign w:val="center"/>
          </w:tcPr>
          <w:p w:rsidR="00B324C0" w:rsidRPr="00A465B1" w:rsidRDefault="00B324C0" w:rsidP="00A465B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465B1">
              <w:rPr>
                <w:rFonts w:ascii="Arial" w:hAnsi="Arial" w:cs="Arial"/>
              </w:rPr>
              <w:t>5113-5</w:t>
            </w:r>
          </w:p>
        </w:tc>
        <w:tc>
          <w:tcPr>
            <w:tcW w:w="3116" w:type="dxa"/>
            <w:vAlign w:val="center"/>
          </w:tcPr>
          <w:p w:rsidR="00B324C0" w:rsidRPr="00A465B1" w:rsidRDefault="00B324C0" w:rsidP="00A465B1">
            <w:p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Massive Transfusion Protocol</w:t>
            </w:r>
          </w:p>
        </w:tc>
        <w:tc>
          <w:tcPr>
            <w:tcW w:w="5337" w:type="dxa"/>
          </w:tcPr>
          <w:p w:rsidR="00B324C0" w:rsidRPr="00A465B1" w:rsidRDefault="00B324C0" w:rsidP="00A465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Added ED fridge</w:t>
            </w:r>
          </w:p>
          <w:p w:rsidR="00B324C0" w:rsidRPr="00A465B1" w:rsidRDefault="00B324C0" w:rsidP="00A465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Defined universal usage product and Low Titer Plasma</w:t>
            </w:r>
          </w:p>
          <w:p w:rsidR="00B324C0" w:rsidRPr="00A465B1" w:rsidRDefault="00B324C0" w:rsidP="00A465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65B1">
              <w:rPr>
                <w:rFonts w:ascii="Arial" w:hAnsi="Arial" w:cs="Arial"/>
              </w:rPr>
              <w:t>Changes to full trauma response to the ED</w:t>
            </w:r>
          </w:p>
          <w:p w:rsidR="00B324C0" w:rsidRPr="00A465B1" w:rsidRDefault="00B324C0">
            <w:pPr>
              <w:rPr>
                <w:rFonts w:ascii="Arial" w:hAnsi="Arial" w:cs="Arial"/>
              </w:rPr>
            </w:pPr>
          </w:p>
        </w:tc>
      </w:tr>
      <w:tr w:rsidR="00F033C2" w:rsidRPr="00A465B1" w:rsidTr="0079790F">
        <w:tc>
          <w:tcPr>
            <w:tcW w:w="1123" w:type="dxa"/>
            <w:vAlign w:val="center"/>
          </w:tcPr>
          <w:p w:rsidR="00F033C2" w:rsidRPr="00A465B1" w:rsidRDefault="00F033C2" w:rsidP="00A46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5815-4</w:t>
            </w:r>
          </w:p>
        </w:tc>
        <w:tc>
          <w:tcPr>
            <w:tcW w:w="3116" w:type="dxa"/>
            <w:vAlign w:val="center"/>
          </w:tcPr>
          <w:p w:rsidR="00F033C2" w:rsidRPr="00A465B1" w:rsidRDefault="00F033C2" w:rsidP="00A46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Operations Reports in SQ</w:t>
            </w:r>
          </w:p>
        </w:tc>
        <w:tc>
          <w:tcPr>
            <w:tcW w:w="5337" w:type="dxa"/>
          </w:tcPr>
          <w:p w:rsidR="00F033C2" w:rsidRDefault="00F033C2" w:rsidP="00A465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BBR 2 for E.D. and ALNW inventory reconciliation.</w:t>
            </w:r>
          </w:p>
          <w:p w:rsidR="00D27470" w:rsidRPr="00A465B1" w:rsidRDefault="00D27470" w:rsidP="00A465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AREA prompts</w:t>
            </w:r>
          </w:p>
        </w:tc>
      </w:tr>
    </w:tbl>
    <w:p w:rsidR="00B324C0" w:rsidRPr="00A465B1" w:rsidRDefault="00B324C0">
      <w:pPr>
        <w:rPr>
          <w:rFonts w:ascii="Arial" w:hAnsi="Arial" w:cs="Arial"/>
        </w:rPr>
      </w:pPr>
    </w:p>
    <w:p w:rsidR="00B324C0" w:rsidRPr="00A465B1" w:rsidRDefault="00B324C0">
      <w:pPr>
        <w:rPr>
          <w:rFonts w:ascii="Arial" w:hAnsi="Arial" w:cs="Arial"/>
        </w:rPr>
      </w:pPr>
    </w:p>
    <w:sectPr w:rsidR="00B324C0" w:rsidRPr="00A465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B1" w:rsidRDefault="00A465B1" w:rsidP="00A465B1">
      <w:pPr>
        <w:spacing w:after="0" w:line="240" w:lineRule="auto"/>
      </w:pPr>
      <w:r>
        <w:separator/>
      </w:r>
    </w:p>
  </w:endnote>
  <w:endnote w:type="continuationSeparator" w:id="0">
    <w:p w:rsidR="00A465B1" w:rsidRDefault="00A465B1" w:rsidP="00A4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B1" w:rsidRDefault="00A465B1" w:rsidP="00A465B1">
      <w:pPr>
        <w:spacing w:after="0" w:line="240" w:lineRule="auto"/>
      </w:pPr>
      <w:r>
        <w:separator/>
      </w:r>
    </w:p>
  </w:footnote>
  <w:footnote w:type="continuationSeparator" w:id="0">
    <w:p w:rsidR="00A465B1" w:rsidRDefault="00A465B1" w:rsidP="00A4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B1" w:rsidRDefault="00A465B1" w:rsidP="00A465B1">
    <w:pPr>
      <w:ind w:hanging="1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93A1B16" wp14:editId="252DF9B4">
          <wp:extent cx="67341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5B1" w:rsidRDefault="00A465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3B4"/>
    <w:multiLevelType w:val="hybridMultilevel"/>
    <w:tmpl w:val="17C8D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3D3E3F"/>
    <w:multiLevelType w:val="hybridMultilevel"/>
    <w:tmpl w:val="8580D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C15A9A"/>
    <w:multiLevelType w:val="hybridMultilevel"/>
    <w:tmpl w:val="2E6A1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60"/>
    <w:rsid w:val="0079790F"/>
    <w:rsid w:val="008C262E"/>
    <w:rsid w:val="009C0360"/>
    <w:rsid w:val="00A465B1"/>
    <w:rsid w:val="00B24893"/>
    <w:rsid w:val="00B324C0"/>
    <w:rsid w:val="00B8570A"/>
    <w:rsid w:val="00D27470"/>
    <w:rsid w:val="00F0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B1"/>
  </w:style>
  <w:style w:type="paragraph" w:styleId="Footer">
    <w:name w:val="footer"/>
    <w:basedOn w:val="Normal"/>
    <w:link w:val="FooterChar"/>
    <w:uiPriority w:val="99"/>
    <w:unhideWhenUsed/>
    <w:rsid w:val="00A4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B1"/>
  </w:style>
  <w:style w:type="paragraph" w:styleId="BalloonText">
    <w:name w:val="Balloon Text"/>
    <w:basedOn w:val="Normal"/>
    <w:link w:val="BalloonTextChar"/>
    <w:uiPriority w:val="99"/>
    <w:semiHidden/>
    <w:unhideWhenUsed/>
    <w:rsid w:val="00A4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5B1"/>
  </w:style>
  <w:style w:type="paragraph" w:styleId="Footer">
    <w:name w:val="footer"/>
    <w:basedOn w:val="Normal"/>
    <w:link w:val="FooterChar"/>
    <w:uiPriority w:val="99"/>
    <w:unhideWhenUsed/>
    <w:rsid w:val="00A4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5B1"/>
  </w:style>
  <w:style w:type="paragraph" w:styleId="BalloonText">
    <w:name w:val="Balloon Text"/>
    <w:basedOn w:val="Normal"/>
    <w:link w:val="BalloonTextChar"/>
    <w:uiPriority w:val="99"/>
    <w:semiHidden/>
    <w:unhideWhenUsed/>
    <w:rsid w:val="00A4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Gary, Roxann</dc:creator>
  <cp:keywords/>
  <dc:description/>
  <cp:lastModifiedBy>Gary, Roxann</cp:lastModifiedBy>
  <cp:revision>7</cp:revision>
  <dcterms:created xsi:type="dcterms:W3CDTF">2014-12-05T21:18:00Z</dcterms:created>
  <dcterms:modified xsi:type="dcterms:W3CDTF">2014-12-31T00:10:00Z</dcterms:modified>
</cp:coreProperties>
</file>