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1A63" w14:textId="643390D2" w:rsidR="00AB4C0F" w:rsidRDefault="009E5285" w:rsidP="00AB4C0F">
      <w:pPr>
        <w:autoSpaceDE w:val="0"/>
        <w:autoSpaceDN w:val="0"/>
        <w:adjustRightInd w:val="0"/>
        <w:spacing w:after="0" w:line="240" w:lineRule="auto"/>
        <w:jc w:val="center"/>
        <w:rPr>
          <w:rFonts w:ascii="Arial" w:hAnsi="Arial" w:cs="Arial"/>
          <w:b/>
          <w:bCs/>
        </w:rPr>
      </w:pPr>
      <w:r>
        <w:rPr>
          <w:rFonts w:ascii="Arial" w:hAnsi="Arial" w:cs="Arial"/>
          <w:b/>
          <w:bCs/>
        </w:rPr>
        <w:t>Precision</w:t>
      </w:r>
      <w:r w:rsidR="005341EC">
        <w:rPr>
          <w:rFonts w:ascii="Arial" w:hAnsi="Arial" w:cs="Arial"/>
          <w:b/>
          <w:bCs/>
        </w:rPr>
        <w:t xml:space="preserve"> Dx</w:t>
      </w:r>
      <w:r>
        <w:rPr>
          <w:rFonts w:ascii="Arial" w:hAnsi="Arial" w:cs="Arial"/>
          <w:b/>
          <w:bCs/>
        </w:rPr>
        <w:t xml:space="preserve"> Quick Cup Urine Drug Screen CLIA Waived</w:t>
      </w:r>
    </w:p>
    <w:p w14:paraId="129D7E52" w14:textId="0CC7B473" w:rsidR="00EB55A4" w:rsidRDefault="00AB4C0F" w:rsidP="00EB55A4">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P</w:t>
      </w:r>
      <w:r w:rsidR="006E32C4">
        <w:rPr>
          <w:rFonts w:ascii="Arial" w:hAnsi="Arial" w:cs="Arial"/>
          <w:b/>
          <w:bCs/>
        </w:rPr>
        <w:t>RINCIPLE</w:t>
      </w:r>
    </w:p>
    <w:p w14:paraId="2F7ACBDA" w14:textId="2BFE30E2" w:rsidR="00C8314D" w:rsidRPr="00B05D6F" w:rsidRDefault="009E5285" w:rsidP="00C8314D">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The Precision Quick Cup </w:t>
      </w:r>
      <w:r w:rsidR="00CC6B60">
        <w:rPr>
          <w:rFonts w:ascii="Arial" w:hAnsi="Arial" w:cs="Arial"/>
        </w:rPr>
        <w:t>M2000 tests</w:t>
      </w:r>
      <w:r>
        <w:rPr>
          <w:rFonts w:ascii="Arial" w:hAnsi="Arial" w:cs="Arial"/>
        </w:rPr>
        <w:t xml:space="preserve"> are competitive binding, lateral flow, immunochromatographic assays for qualitative and simultaneous detection of Amphetamine</w:t>
      </w:r>
      <w:r w:rsidR="00CC6B60">
        <w:rPr>
          <w:rFonts w:ascii="Arial" w:hAnsi="Arial" w:cs="Arial"/>
        </w:rPr>
        <w:t xml:space="preserve"> (AMP)</w:t>
      </w:r>
      <w:r>
        <w:rPr>
          <w:rFonts w:ascii="Arial" w:hAnsi="Arial" w:cs="Arial"/>
        </w:rPr>
        <w:t xml:space="preserve">, </w:t>
      </w:r>
      <w:r w:rsidR="00CC6B60">
        <w:rPr>
          <w:rFonts w:ascii="Arial" w:hAnsi="Arial" w:cs="Arial"/>
        </w:rPr>
        <w:t>Barbiturates (BAR), Benzodiazepines (BZO</w:t>
      </w:r>
      <w:r w:rsidR="001343C3">
        <w:rPr>
          <w:rFonts w:ascii="Arial" w:hAnsi="Arial" w:cs="Arial"/>
        </w:rPr>
        <w:t>/BZD</w:t>
      </w:r>
      <w:r w:rsidR="00CC6B60">
        <w:rPr>
          <w:rFonts w:ascii="Arial" w:hAnsi="Arial" w:cs="Arial"/>
        </w:rPr>
        <w:t xml:space="preserve">), Buprenorphine (BUP), </w:t>
      </w:r>
      <w:r>
        <w:rPr>
          <w:rFonts w:ascii="Arial" w:hAnsi="Arial" w:cs="Arial"/>
        </w:rPr>
        <w:t>Cocaine</w:t>
      </w:r>
      <w:r w:rsidR="00CC6B60">
        <w:rPr>
          <w:rFonts w:ascii="Arial" w:hAnsi="Arial" w:cs="Arial"/>
        </w:rPr>
        <w:t xml:space="preserve"> (COC)</w:t>
      </w:r>
      <w:r>
        <w:rPr>
          <w:rFonts w:ascii="Arial" w:hAnsi="Arial" w:cs="Arial"/>
        </w:rPr>
        <w:t>, Marijuana</w:t>
      </w:r>
      <w:r w:rsidR="00CC6B60">
        <w:rPr>
          <w:rFonts w:ascii="Arial" w:hAnsi="Arial" w:cs="Arial"/>
        </w:rPr>
        <w:t xml:space="preserve"> (THC)</w:t>
      </w:r>
      <w:r>
        <w:rPr>
          <w:rFonts w:ascii="Arial" w:hAnsi="Arial" w:cs="Arial"/>
        </w:rPr>
        <w:t>, Methamphetamine</w:t>
      </w:r>
      <w:r w:rsidR="00CC6B60">
        <w:rPr>
          <w:rFonts w:ascii="Arial" w:hAnsi="Arial" w:cs="Arial"/>
        </w:rPr>
        <w:t xml:space="preserve"> (MET)</w:t>
      </w:r>
      <w:r>
        <w:rPr>
          <w:rFonts w:ascii="Arial" w:hAnsi="Arial" w:cs="Arial"/>
        </w:rPr>
        <w:t>,</w:t>
      </w:r>
      <w:r w:rsidR="00CC6B60">
        <w:rPr>
          <w:rFonts w:ascii="Arial" w:hAnsi="Arial" w:cs="Arial"/>
        </w:rPr>
        <w:t xml:space="preserve"> Methadone (MTD)</w:t>
      </w:r>
      <w:r w:rsidR="001343C3">
        <w:rPr>
          <w:rFonts w:ascii="Arial" w:hAnsi="Arial" w:cs="Arial"/>
        </w:rPr>
        <w:t>,</w:t>
      </w:r>
      <w:r>
        <w:rPr>
          <w:rFonts w:ascii="Arial" w:hAnsi="Arial" w:cs="Arial"/>
        </w:rPr>
        <w:t xml:space="preserve"> Morphine</w:t>
      </w:r>
      <w:r w:rsidR="00CC6B60">
        <w:rPr>
          <w:rFonts w:ascii="Arial" w:hAnsi="Arial" w:cs="Arial"/>
        </w:rPr>
        <w:t xml:space="preserve"> (Opiates) (OPI)</w:t>
      </w:r>
      <w:r w:rsidR="001343C3">
        <w:rPr>
          <w:rFonts w:ascii="Arial" w:hAnsi="Arial" w:cs="Arial"/>
        </w:rPr>
        <w:t xml:space="preserve"> and Oxycodone (OXY).</w:t>
      </w:r>
    </w:p>
    <w:p w14:paraId="51A612CF" w14:textId="77777777" w:rsidR="00B05D6F" w:rsidRPr="00B05D6F" w:rsidRDefault="00B05D6F" w:rsidP="00B05D6F">
      <w:pPr>
        <w:autoSpaceDE w:val="0"/>
        <w:autoSpaceDN w:val="0"/>
        <w:adjustRightInd w:val="0"/>
        <w:spacing w:after="0" w:line="240" w:lineRule="auto"/>
        <w:ind w:left="720"/>
        <w:rPr>
          <w:rFonts w:ascii="Arial" w:hAnsi="Arial" w:cs="Arial"/>
          <w:b/>
          <w:bCs/>
        </w:rPr>
      </w:pPr>
    </w:p>
    <w:p w14:paraId="72E8BD20" w14:textId="6026636D" w:rsidR="00C8314D" w:rsidRPr="00B05D6F" w:rsidRDefault="005D5BBF" w:rsidP="00C8314D">
      <w:pPr>
        <w:pStyle w:val="ListParagraph"/>
        <w:numPr>
          <w:ilvl w:val="1"/>
          <w:numId w:val="5"/>
        </w:numPr>
        <w:autoSpaceDE w:val="0"/>
        <w:autoSpaceDN w:val="0"/>
        <w:adjustRightInd w:val="0"/>
        <w:spacing w:after="0" w:line="240" w:lineRule="auto"/>
        <w:rPr>
          <w:rFonts w:ascii="Arial" w:hAnsi="Arial" w:cs="Arial"/>
          <w:b/>
          <w:bCs/>
        </w:rPr>
      </w:pPr>
      <w:r w:rsidRPr="001343C3">
        <w:rPr>
          <w:rFonts w:ascii="Arial" w:hAnsi="Arial" w:cs="Arial"/>
          <w:b/>
          <w:bCs/>
        </w:rPr>
        <w:t xml:space="preserve"> </w:t>
      </w:r>
      <w:r w:rsidR="001343C3" w:rsidRPr="001343C3">
        <w:rPr>
          <w:rFonts w:ascii="Arial" w:hAnsi="Arial" w:cs="Arial"/>
          <w:b/>
          <w:bCs/>
        </w:rPr>
        <w:t>Intended Use</w:t>
      </w:r>
      <w:r w:rsidR="001343C3">
        <w:rPr>
          <w:rFonts w:ascii="Arial" w:hAnsi="Arial" w:cs="Arial"/>
        </w:rPr>
        <w:t>:  The test may yield positive results for the prescription drugs Buprenorphine, Oxazepam (Benzodiazepine), Secobarbital (Barbiturate) and Oxycodone</w:t>
      </w:r>
      <w:r w:rsidR="00F73A13">
        <w:rPr>
          <w:rFonts w:ascii="Arial" w:hAnsi="Arial" w:cs="Arial"/>
        </w:rPr>
        <w:t xml:space="preserve"> when taken at or above prescribed doses.  It is not intended to distinguish between prescription use or abuse of these drugs.  Clinical consideration and professional judgement should be exercised with any drug of abuse test result, particularly when the preliminary is positive.  </w:t>
      </w:r>
      <w:r w:rsidR="00861547">
        <w:rPr>
          <w:rFonts w:ascii="Arial" w:hAnsi="Arial" w:cs="Arial"/>
        </w:rPr>
        <w:t xml:space="preserve">The test only provides preliminary results.  A more specific alternative chemical method must be used in order to confirm positive results.  GC/MS or LC/MS is the preferred confirmatory method.  </w:t>
      </w:r>
      <w:r w:rsidR="00C8314D">
        <w:rPr>
          <w:rFonts w:ascii="Arial" w:hAnsi="Arial" w:cs="Arial"/>
        </w:rPr>
        <w:t xml:space="preserve"> </w:t>
      </w:r>
    </w:p>
    <w:p w14:paraId="3BC12E3B" w14:textId="77777777" w:rsidR="00B05D6F" w:rsidRPr="00C8314D" w:rsidRDefault="00B05D6F" w:rsidP="00B05D6F">
      <w:pPr>
        <w:pStyle w:val="ListParagraph"/>
        <w:autoSpaceDE w:val="0"/>
        <w:autoSpaceDN w:val="0"/>
        <w:adjustRightInd w:val="0"/>
        <w:spacing w:after="0" w:line="240" w:lineRule="auto"/>
        <w:ind w:left="1440"/>
        <w:rPr>
          <w:rFonts w:ascii="Arial" w:hAnsi="Arial" w:cs="Arial"/>
          <w:b/>
          <w:bCs/>
        </w:rPr>
      </w:pPr>
    </w:p>
    <w:p w14:paraId="2ED696B9" w14:textId="160797DD" w:rsidR="00AB4C0F" w:rsidRDefault="006E32C4" w:rsidP="004E5B6E">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SPECIMEN</w:t>
      </w:r>
      <w:r w:rsidR="006B76F2">
        <w:rPr>
          <w:rFonts w:ascii="Arial" w:hAnsi="Arial" w:cs="Arial"/>
          <w:b/>
          <w:bCs/>
        </w:rPr>
        <w:t xml:space="preserve"> COLLECTION</w:t>
      </w:r>
    </w:p>
    <w:p w14:paraId="4FC3C9C4" w14:textId="3D019C1C" w:rsidR="006E32C4" w:rsidRPr="006E32C4" w:rsidRDefault="006B76F2" w:rsidP="006E32C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Directly observe collection of urine sample at request of ordering provider and/or if sample adulteration or questionable results are suspected.</w:t>
      </w:r>
    </w:p>
    <w:p w14:paraId="03F6C930" w14:textId="19A81678" w:rsidR="006E32C4" w:rsidRPr="00DC0AA6" w:rsidRDefault="00126D41" w:rsidP="006E32C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Have patient collect at least 30 cc of urine in a clean catch urine cup (BD Vacutainer Urine Complete Cup Kit REF# 364957)</w:t>
      </w:r>
    </w:p>
    <w:p w14:paraId="02ED2E2A" w14:textId="2198CD26" w:rsidR="00DC0AA6" w:rsidRPr="00165248" w:rsidRDefault="00126D41" w:rsidP="006E32C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Fill three yellow-top, no additive urinalysis evacuated tubes (BD Vacutainer UA No Additive REF#3649790) using the needle adapter on the lid of the cup.</w:t>
      </w:r>
    </w:p>
    <w:p w14:paraId="7EE08955" w14:textId="7E02E193" w:rsidR="004E5B6E" w:rsidRDefault="004E5B6E" w:rsidP="004E5B6E">
      <w:pPr>
        <w:pStyle w:val="ListParagraph"/>
        <w:autoSpaceDE w:val="0"/>
        <w:autoSpaceDN w:val="0"/>
        <w:adjustRightInd w:val="0"/>
        <w:spacing w:after="0" w:line="240" w:lineRule="auto"/>
        <w:ind w:left="1440"/>
        <w:rPr>
          <w:rFonts w:ascii="Arial" w:hAnsi="Arial" w:cs="Arial"/>
          <w:bCs/>
        </w:rPr>
      </w:pPr>
    </w:p>
    <w:p w14:paraId="4F94BC23" w14:textId="77777777" w:rsidR="00126D41" w:rsidRPr="004751F0" w:rsidRDefault="00126D41" w:rsidP="004E5B6E">
      <w:pPr>
        <w:pStyle w:val="ListParagraph"/>
        <w:autoSpaceDE w:val="0"/>
        <w:autoSpaceDN w:val="0"/>
        <w:adjustRightInd w:val="0"/>
        <w:spacing w:after="0" w:line="240" w:lineRule="auto"/>
        <w:ind w:left="1440"/>
        <w:rPr>
          <w:rFonts w:ascii="Arial" w:hAnsi="Arial" w:cs="Arial"/>
          <w:bCs/>
        </w:rPr>
      </w:pPr>
    </w:p>
    <w:p w14:paraId="1C64A4B2" w14:textId="3681C88C" w:rsidR="00AB4C0F" w:rsidRPr="002E2DD4" w:rsidRDefault="004267CD" w:rsidP="00C0750D">
      <w:pPr>
        <w:pStyle w:val="ListParagraph"/>
        <w:numPr>
          <w:ilvl w:val="0"/>
          <w:numId w:val="5"/>
        </w:numPr>
        <w:autoSpaceDE w:val="0"/>
        <w:autoSpaceDN w:val="0"/>
        <w:adjustRightInd w:val="0"/>
        <w:spacing w:after="0" w:line="240" w:lineRule="auto"/>
        <w:rPr>
          <w:rFonts w:ascii="Arial" w:hAnsi="Arial" w:cs="Arial"/>
          <w:b/>
          <w:bCs/>
        </w:rPr>
      </w:pPr>
      <w:r w:rsidRPr="002E2DD4">
        <w:rPr>
          <w:rFonts w:ascii="Arial" w:hAnsi="Arial" w:cs="Arial"/>
          <w:b/>
          <w:bCs/>
        </w:rPr>
        <w:t>REAGENT, SUPPLIES, AND EQUIPMENT</w:t>
      </w:r>
    </w:p>
    <w:p w14:paraId="170D8A9F" w14:textId="1CD9EE71" w:rsidR="00126D41" w:rsidRPr="00DC0AA6" w:rsidRDefault="00126D41" w:rsidP="00126D41">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1 -BD Vacutainer Urine Complete Cup Kit REF# 364957</w:t>
      </w:r>
    </w:p>
    <w:p w14:paraId="4C81CAC7" w14:textId="79AB89C9" w:rsidR="00C8314D" w:rsidRDefault="00126D41" w:rsidP="000C5158">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3 -</w:t>
      </w:r>
      <w:r w:rsidRPr="00126D41">
        <w:rPr>
          <w:rFonts w:ascii="Arial" w:hAnsi="Arial" w:cs="Arial"/>
        </w:rPr>
        <w:t xml:space="preserve"> </w:t>
      </w:r>
      <w:r>
        <w:rPr>
          <w:rFonts w:ascii="Arial" w:hAnsi="Arial" w:cs="Arial"/>
        </w:rPr>
        <w:t>BD Vacutainer UA No Additive REF#3649790</w:t>
      </w:r>
    </w:p>
    <w:p w14:paraId="52A41AEE" w14:textId="35CF3D28" w:rsidR="009D4396" w:rsidRDefault="00126D41" w:rsidP="000C5158">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1 – American Screening Corporation Precision Dx Multi-Panel Drug Test Cup REF#</w:t>
      </w:r>
      <w:r w:rsidR="001A386B">
        <w:rPr>
          <w:rFonts w:ascii="Arial" w:hAnsi="Arial" w:cs="Arial"/>
          <w:bCs/>
        </w:rPr>
        <w:t xml:space="preserve"> PREDX-CUP5104N</w:t>
      </w:r>
    </w:p>
    <w:p w14:paraId="665D2BBB" w14:textId="5652BB71" w:rsidR="00D02345" w:rsidRDefault="00E6538E" w:rsidP="005426BB">
      <w:pPr>
        <w:pStyle w:val="ListParagraph"/>
        <w:numPr>
          <w:ilvl w:val="1"/>
          <w:numId w:val="5"/>
        </w:numPr>
        <w:autoSpaceDE w:val="0"/>
        <w:autoSpaceDN w:val="0"/>
        <w:adjustRightInd w:val="0"/>
        <w:spacing w:after="0" w:line="240" w:lineRule="auto"/>
        <w:rPr>
          <w:rFonts w:ascii="Arial" w:hAnsi="Arial" w:cs="Arial"/>
          <w:bCs/>
        </w:rPr>
      </w:pPr>
      <w:r w:rsidRPr="001A386B">
        <w:rPr>
          <w:rFonts w:ascii="Arial" w:hAnsi="Arial" w:cs="Arial"/>
          <w:bCs/>
        </w:rPr>
        <w:t xml:space="preserve">Do not use </w:t>
      </w:r>
      <w:r w:rsidR="001A386B" w:rsidRPr="001A386B">
        <w:rPr>
          <w:rFonts w:ascii="Arial" w:hAnsi="Arial" w:cs="Arial"/>
          <w:bCs/>
        </w:rPr>
        <w:t>kits or collection equipment</w:t>
      </w:r>
      <w:r w:rsidRPr="001A386B">
        <w:rPr>
          <w:rFonts w:ascii="Arial" w:hAnsi="Arial" w:cs="Arial"/>
          <w:bCs/>
        </w:rPr>
        <w:t xml:space="preserve"> beyond their expiration date.</w:t>
      </w:r>
      <w:r w:rsidR="009202B5" w:rsidRPr="001A386B">
        <w:rPr>
          <w:rFonts w:ascii="Arial" w:hAnsi="Arial" w:cs="Arial"/>
          <w:bCs/>
        </w:rPr>
        <w:t xml:space="preserve"> </w:t>
      </w:r>
      <w:r w:rsidRPr="001A386B">
        <w:rPr>
          <w:rFonts w:ascii="Arial" w:hAnsi="Arial" w:cs="Arial"/>
          <w:bCs/>
        </w:rPr>
        <w:t xml:space="preserve">Store </w:t>
      </w:r>
      <w:r w:rsidR="001A386B" w:rsidRPr="001A386B">
        <w:rPr>
          <w:rFonts w:ascii="Arial" w:hAnsi="Arial" w:cs="Arial"/>
          <w:bCs/>
        </w:rPr>
        <w:t>drug test cups and all collection supplies</w:t>
      </w:r>
      <w:r w:rsidRPr="001A386B">
        <w:rPr>
          <w:rFonts w:ascii="Arial" w:hAnsi="Arial" w:cs="Arial"/>
          <w:bCs/>
        </w:rPr>
        <w:t xml:space="preserve"> at</w:t>
      </w:r>
      <w:r w:rsidR="001A386B" w:rsidRPr="001A386B">
        <w:rPr>
          <w:rFonts w:ascii="Arial" w:hAnsi="Arial" w:cs="Arial"/>
          <w:bCs/>
        </w:rPr>
        <w:t xml:space="preserve"> room temperature (18-25 C)</w:t>
      </w:r>
      <w:r w:rsidRPr="001A386B">
        <w:rPr>
          <w:rFonts w:ascii="Arial" w:hAnsi="Arial" w:cs="Arial"/>
          <w:bCs/>
        </w:rPr>
        <w:t xml:space="preserve"> . </w:t>
      </w:r>
    </w:p>
    <w:p w14:paraId="3EEDD124" w14:textId="447D2BEB" w:rsidR="001A386B" w:rsidRDefault="001A386B" w:rsidP="001A386B">
      <w:pPr>
        <w:pStyle w:val="ListParagraph"/>
        <w:autoSpaceDE w:val="0"/>
        <w:autoSpaceDN w:val="0"/>
        <w:adjustRightInd w:val="0"/>
        <w:spacing w:after="0" w:line="240" w:lineRule="auto"/>
        <w:ind w:left="1440"/>
        <w:rPr>
          <w:rFonts w:ascii="Arial" w:hAnsi="Arial" w:cs="Arial"/>
          <w:bCs/>
        </w:rPr>
      </w:pPr>
    </w:p>
    <w:p w14:paraId="110AA80C" w14:textId="77777777" w:rsidR="001A386B" w:rsidRPr="001A386B" w:rsidRDefault="001A386B" w:rsidP="001A386B">
      <w:pPr>
        <w:pStyle w:val="ListParagraph"/>
        <w:autoSpaceDE w:val="0"/>
        <w:autoSpaceDN w:val="0"/>
        <w:adjustRightInd w:val="0"/>
        <w:spacing w:after="0" w:line="240" w:lineRule="auto"/>
        <w:ind w:left="1440"/>
        <w:rPr>
          <w:rFonts w:ascii="Arial" w:hAnsi="Arial" w:cs="Arial"/>
          <w:bCs/>
        </w:rPr>
      </w:pPr>
    </w:p>
    <w:p w14:paraId="2C7FF8CF" w14:textId="7F4C4168" w:rsidR="00F22148" w:rsidRDefault="00F22148" w:rsidP="005426BB">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QUALITY CONTROL</w:t>
      </w:r>
    </w:p>
    <w:p w14:paraId="1032B41F" w14:textId="702D9BD1" w:rsidR="00856A05" w:rsidRPr="00856A05" w:rsidRDefault="00856A05" w:rsidP="00F22148">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Each new shipment or new lot number of drug screen kit must be tested with a known positive and a known negative quality control sample that yields the appropriate intended result for each test analyte </w:t>
      </w:r>
      <w:r w:rsidR="000F42A4">
        <w:rPr>
          <w:rFonts w:ascii="Arial" w:hAnsi="Arial" w:cs="Arial"/>
        </w:rPr>
        <w:t xml:space="preserve">prior to patient testing.  Quality control testing must be repeated every 30 days or when a new kit or shipment arrives, whichever comes first.  Quality control results must be acceptable, recorded and records stored according to laboratory requirements.  </w:t>
      </w:r>
    </w:p>
    <w:p w14:paraId="2B763276" w14:textId="609D2854" w:rsidR="00F22148" w:rsidRPr="000F42A4" w:rsidRDefault="00856A05" w:rsidP="00F22148">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 </w:t>
      </w:r>
      <w:r w:rsidR="000F42A4">
        <w:rPr>
          <w:rFonts w:ascii="Arial" w:hAnsi="Arial" w:cs="Arial"/>
        </w:rPr>
        <w:t>Each individual drug analyte also has its own internal control within each test cup.  The internal control must be valid per the manufacturers instructions in order to report patient results for that analyte.</w:t>
      </w:r>
    </w:p>
    <w:p w14:paraId="082109F7" w14:textId="423C4B24" w:rsidR="000F42A4" w:rsidRPr="000F42A4" w:rsidRDefault="000F42A4" w:rsidP="00F22148">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Test personnel must be properly trained by the Ancillary Testing Coordinator initially and competency maintained in order to perform and report patient results. </w:t>
      </w:r>
    </w:p>
    <w:p w14:paraId="11F664D8" w14:textId="107F0682" w:rsidR="000F42A4" w:rsidRDefault="000F42A4" w:rsidP="000F42A4">
      <w:pPr>
        <w:autoSpaceDE w:val="0"/>
        <w:autoSpaceDN w:val="0"/>
        <w:adjustRightInd w:val="0"/>
        <w:spacing w:after="0" w:line="240" w:lineRule="auto"/>
        <w:ind w:left="720"/>
        <w:rPr>
          <w:rFonts w:ascii="Arial" w:hAnsi="Arial" w:cs="Arial"/>
          <w:b/>
          <w:bCs/>
        </w:rPr>
      </w:pPr>
    </w:p>
    <w:p w14:paraId="74296594" w14:textId="732AD7BC" w:rsidR="000F42A4" w:rsidRDefault="000F42A4" w:rsidP="000F42A4">
      <w:pPr>
        <w:autoSpaceDE w:val="0"/>
        <w:autoSpaceDN w:val="0"/>
        <w:adjustRightInd w:val="0"/>
        <w:spacing w:after="0" w:line="240" w:lineRule="auto"/>
        <w:ind w:left="720"/>
        <w:rPr>
          <w:rFonts w:ascii="Arial" w:hAnsi="Arial" w:cs="Arial"/>
          <w:b/>
          <w:bCs/>
        </w:rPr>
      </w:pPr>
    </w:p>
    <w:p w14:paraId="4DA33E5C" w14:textId="77777777" w:rsidR="000F42A4" w:rsidRPr="000F42A4" w:rsidRDefault="000F42A4" w:rsidP="000F42A4">
      <w:pPr>
        <w:autoSpaceDE w:val="0"/>
        <w:autoSpaceDN w:val="0"/>
        <w:adjustRightInd w:val="0"/>
        <w:spacing w:after="0" w:line="240" w:lineRule="auto"/>
        <w:ind w:left="720"/>
        <w:rPr>
          <w:rFonts w:ascii="Arial" w:hAnsi="Arial" w:cs="Arial"/>
          <w:b/>
          <w:bCs/>
        </w:rPr>
      </w:pPr>
    </w:p>
    <w:p w14:paraId="133992F3" w14:textId="77777777" w:rsidR="00F22148" w:rsidRDefault="00F22148" w:rsidP="00F22148">
      <w:pPr>
        <w:pStyle w:val="ListParagraph"/>
        <w:autoSpaceDE w:val="0"/>
        <w:autoSpaceDN w:val="0"/>
        <w:adjustRightInd w:val="0"/>
        <w:spacing w:after="0" w:line="240" w:lineRule="auto"/>
        <w:ind w:left="1440"/>
        <w:rPr>
          <w:rFonts w:ascii="Arial" w:hAnsi="Arial" w:cs="Arial"/>
          <w:b/>
          <w:bCs/>
        </w:rPr>
      </w:pPr>
    </w:p>
    <w:p w14:paraId="717E8FD7" w14:textId="61ABD726" w:rsidR="005426BB" w:rsidRDefault="00F22148" w:rsidP="005426BB">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lastRenderedPageBreak/>
        <w:t>PROCEDURE</w:t>
      </w:r>
    </w:p>
    <w:p w14:paraId="1290BB9E" w14:textId="14D820D7" w:rsidR="00737F05" w:rsidRPr="00737F05" w:rsidRDefault="0027236C" w:rsidP="00737F05">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After completion of specimen collection in 2.0 above, open a new Precision DX Multi-Panel Drug Test Cup. Ensure that the cup is within acceptable expiration date.  </w:t>
      </w:r>
    </w:p>
    <w:p w14:paraId="42F569F8" w14:textId="1BB6B0AF" w:rsidR="0027236C" w:rsidRPr="0027236C" w:rsidRDefault="0027236C" w:rsidP="0027236C">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Pour the contents of two yellow top BD UA No Additive tubes into the cup and screw on the lid until it clicks shut. </w:t>
      </w:r>
      <w:r w:rsidR="0017333B" w:rsidRPr="0017333B">
        <w:rPr>
          <w:rFonts w:ascii="Arial" w:hAnsi="Arial" w:cs="Arial"/>
          <w:highlight w:val="yellow"/>
        </w:rPr>
        <w:t>NOTE:  To ensure that the temperature strip registers within the acceptable temperature range</w:t>
      </w:r>
      <w:r w:rsidR="0017333B">
        <w:rPr>
          <w:rFonts w:ascii="Arial" w:hAnsi="Arial" w:cs="Arial"/>
          <w:highlight w:val="yellow"/>
        </w:rPr>
        <w:t xml:space="preserve"> (90 – 100 F)</w:t>
      </w:r>
      <w:r w:rsidR="0017333B" w:rsidRPr="0017333B">
        <w:rPr>
          <w:rFonts w:ascii="Arial" w:hAnsi="Arial" w:cs="Arial"/>
          <w:highlight w:val="yellow"/>
        </w:rPr>
        <w:t>, add sample to the cup within 2 to 4 minutes after patient has voided</w:t>
      </w:r>
      <w:r w:rsidR="0017333B">
        <w:rPr>
          <w:rFonts w:ascii="Arial" w:hAnsi="Arial" w:cs="Arial"/>
        </w:rPr>
        <w:t>.</w:t>
      </w:r>
    </w:p>
    <w:p w14:paraId="55B96DEA" w14:textId="0EF69D36" w:rsidR="0027236C" w:rsidRPr="00737F05" w:rsidRDefault="00576957" w:rsidP="0027236C">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Label the cup with patient name, ID number and date and time of collection.  </w:t>
      </w:r>
    </w:p>
    <w:p w14:paraId="1015F064" w14:textId="77D431C9" w:rsidR="009D4396" w:rsidRPr="00A87E09" w:rsidRDefault="00576957" w:rsidP="005426BB">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Place the cup on a flat surface. Using a calibrated timer, such that provided by a smart phone, set a timer for 5 minutes.</w:t>
      </w:r>
    </w:p>
    <w:p w14:paraId="52703525" w14:textId="3A90EE93" w:rsidR="00A87E09" w:rsidRPr="00A87E09" w:rsidRDefault="00576957" w:rsidP="005426BB">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After 5 minutes, read the results according to illustration on the test cup package, package insert or in 6.0 below.  </w:t>
      </w:r>
    </w:p>
    <w:p w14:paraId="2F31A404" w14:textId="77777777" w:rsidR="0049338A" w:rsidRPr="002E2DD4" w:rsidRDefault="0049338A" w:rsidP="0049338A">
      <w:pPr>
        <w:pStyle w:val="ListParagraph"/>
        <w:autoSpaceDE w:val="0"/>
        <w:autoSpaceDN w:val="0"/>
        <w:adjustRightInd w:val="0"/>
        <w:spacing w:after="0" w:line="240" w:lineRule="auto"/>
        <w:ind w:left="1440"/>
        <w:rPr>
          <w:rFonts w:ascii="Arial" w:hAnsi="Arial" w:cs="Arial"/>
          <w:b/>
          <w:bCs/>
        </w:rPr>
      </w:pPr>
    </w:p>
    <w:p w14:paraId="6BF7FF79" w14:textId="02B79242" w:rsidR="002E2DD4" w:rsidRDefault="0049338A" w:rsidP="0049338A">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RESULTS</w:t>
      </w:r>
      <w:r w:rsidR="00790867">
        <w:rPr>
          <w:rFonts w:ascii="Arial" w:hAnsi="Arial" w:cs="Arial"/>
          <w:b/>
          <w:bCs/>
        </w:rPr>
        <w:t xml:space="preserve"> AND INTERPRETATION</w:t>
      </w:r>
    </w:p>
    <w:p w14:paraId="42C8938F" w14:textId="77777777" w:rsidR="005B0C9E" w:rsidRPr="005B0C9E" w:rsidRDefault="0049338A" w:rsidP="0049338A">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b/>
          <w:bCs/>
        </w:rPr>
        <w:t>Negative Result</w:t>
      </w:r>
      <w:r>
        <w:rPr>
          <w:rFonts w:ascii="Arial" w:hAnsi="Arial" w:cs="Arial"/>
        </w:rPr>
        <w:t xml:space="preserve">: </w:t>
      </w:r>
      <w:r w:rsidR="005B0C9E">
        <w:rPr>
          <w:rFonts w:ascii="Arial" w:hAnsi="Arial" w:cs="Arial"/>
        </w:rPr>
        <w:t xml:space="preserve">Two colored bands appear on the strip. One appears in the control region </w:t>
      </w:r>
    </w:p>
    <w:p w14:paraId="7B1830F3" w14:textId="61C276A4" w:rsidR="0049338A" w:rsidRPr="0049338A" w:rsidRDefault="005B0C9E" w:rsidP="005B0C9E">
      <w:pPr>
        <w:pStyle w:val="ListParagraph"/>
        <w:autoSpaceDE w:val="0"/>
        <w:autoSpaceDN w:val="0"/>
        <w:adjustRightInd w:val="0"/>
        <w:spacing w:after="0" w:line="240" w:lineRule="auto"/>
        <w:ind w:left="1440"/>
        <w:rPr>
          <w:rFonts w:ascii="Arial" w:hAnsi="Arial" w:cs="Arial"/>
          <w:b/>
          <w:bCs/>
        </w:rPr>
      </w:pPr>
      <w:r>
        <w:rPr>
          <w:rFonts w:ascii="Arial" w:hAnsi="Arial" w:cs="Arial"/>
        </w:rPr>
        <w:t>(C) and another band appears in the test region (T)</w:t>
      </w:r>
      <w:r w:rsidRPr="005B0C9E">
        <w:rPr>
          <w:rFonts w:ascii="Arial" w:hAnsi="Arial" w:cs="Arial"/>
          <w:b/>
          <w:bCs/>
        </w:rPr>
        <w:t>.</w:t>
      </w:r>
    </w:p>
    <w:p w14:paraId="1733B249" w14:textId="573A65CE" w:rsidR="00E228F5" w:rsidRDefault="005B0C9E" w:rsidP="005B0C9E">
      <w:pPr>
        <w:pStyle w:val="ListParagraph"/>
        <w:autoSpaceDE w:val="0"/>
        <w:autoSpaceDN w:val="0"/>
        <w:adjustRightInd w:val="0"/>
        <w:spacing w:after="0" w:line="240" w:lineRule="auto"/>
        <w:ind w:left="1440"/>
        <w:rPr>
          <w:rFonts w:ascii="Arial" w:hAnsi="Arial" w:cs="Arial"/>
        </w:rPr>
      </w:pPr>
      <w:r>
        <w:rPr>
          <w:rFonts w:ascii="Arial" w:hAnsi="Arial" w:cs="Arial"/>
          <w:b/>
          <w:bCs/>
        </w:rPr>
        <w:t xml:space="preserve">Preliminary </w:t>
      </w:r>
      <w:r w:rsidR="0049338A">
        <w:rPr>
          <w:rFonts w:ascii="Arial" w:hAnsi="Arial" w:cs="Arial"/>
          <w:b/>
          <w:bCs/>
        </w:rPr>
        <w:t>Positive Result</w:t>
      </w:r>
      <w:r>
        <w:rPr>
          <w:rFonts w:ascii="Arial" w:hAnsi="Arial" w:cs="Arial"/>
        </w:rPr>
        <w:t>:  Only one colored band appears in the control region</w:t>
      </w:r>
      <w:r w:rsidR="00FE6BDE">
        <w:rPr>
          <w:rFonts w:ascii="Arial" w:hAnsi="Arial" w:cs="Arial"/>
        </w:rPr>
        <w:t xml:space="preserve"> of the strip</w:t>
      </w:r>
      <w:r>
        <w:rPr>
          <w:rFonts w:ascii="Arial" w:hAnsi="Arial" w:cs="Arial"/>
        </w:rPr>
        <w:t xml:space="preserve"> (C).  No apparent colored band appears in the test region</w:t>
      </w:r>
      <w:r w:rsidR="00FE6BDE">
        <w:rPr>
          <w:rFonts w:ascii="Arial" w:hAnsi="Arial" w:cs="Arial"/>
        </w:rPr>
        <w:t xml:space="preserve"> (T).</w:t>
      </w:r>
    </w:p>
    <w:p w14:paraId="76606EFE" w14:textId="572BE996" w:rsidR="00FE6BDE" w:rsidRPr="00FE6BDE" w:rsidRDefault="00FE6BDE" w:rsidP="005B0C9E">
      <w:pPr>
        <w:pStyle w:val="ListParagraph"/>
        <w:autoSpaceDE w:val="0"/>
        <w:autoSpaceDN w:val="0"/>
        <w:adjustRightInd w:val="0"/>
        <w:spacing w:after="0" w:line="240" w:lineRule="auto"/>
        <w:ind w:left="1440"/>
        <w:rPr>
          <w:rFonts w:ascii="Arial" w:hAnsi="Arial" w:cs="Arial"/>
        </w:rPr>
      </w:pPr>
      <w:r>
        <w:rPr>
          <w:rFonts w:ascii="Arial" w:hAnsi="Arial" w:cs="Arial"/>
          <w:b/>
          <w:bCs/>
        </w:rPr>
        <w:t xml:space="preserve">Invalid:  </w:t>
      </w:r>
      <w:r>
        <w:rPr>
          <w:rFonts w:ascii="Arial" w:hAnsi="Arial" w:cs="Arial"/>
        </w:rPr>
        <w:t>If NO line appears in the control region (C), of the strip, then results are invalid and cannot be interpreted for the test region (T) of the strip, regardless of whether or not a line appears in the (T) region.</w:t>
      </w:r>
    </w:p>
    <w:p w14:paraId="4240D5C7" w14:textId="77777777" w:rsidR="00915DD9" w:rsidRDefault="00915DD9" w:rsidP="00915DD9">
      <w:pPr>
        <w:pStyle w:val="ListParagraph"/>
        <w:autoSpaceDE w:val="0"/>
        <w:autoSpaceDN w:val="0"/>
        <w:adjustRightInd w:val="0"/>
        <w:spacing w:after="0" w:line="240" w:lineRule="auto"/>
        <w:ind w:left="1440"/>
        <w:rPr>
          <w:rFonts w:ascii="Arial" w:hAnsi="Arial" w:cs="Arial"/>
          <w:b/>
          <w:bCs/>
        </w:rPr>
      </w:pPr>
    </w:p>
    <w:p w14:paraId="08D19EDC" w14:textId="6349F351" w:rsidR="008F79F4" w:rsidRDefault="00790867" w:rsidP="008F79F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b/>
          <w:bCs/>
        </w:rPr>
        <w:t>Interpretation</w:t>
      </w:r>
      <w:r w:rsidR="00FE6BDE">
        <w:rPr>
          <w:rFonts w:ascii="Arial" w:hAnsi="Arial" w:cs="Arial"/>
          <w:b/>
          <w:bCs/>
        </w:rPr>
        <w:t xml:space="preserve"> Diagram:</w:t>
      </w:r>
    </w:p>
    <w:p w14:paraId="2708526E" w14:textId="55B9011B" w:rsidR="00BF14AB" w:rsidRDefault="00BF14AB" w:rsidP="00BF14AB">
      <w:pPr>
        <w:pStyle w:val="ListParagraph"/>
        <w:autoSpaceDE w:val="0"/>
        <w:autoSpaceDN w:val="0"/>
        <w:adjustRightInd w:val="0"/>
        <w:spacing w:after="0" w:line="240" w:lineRule="auto"/>
        <w:ind w:left="1440"/>
        <w:rPr>
          <w:rFonts w:ascii="Arial" w:hAnsi="Arial" w:cs="Arial"/>
          <w:b/>
          <w:bCs/>
        </w:rPr>
      </w:pPr>
      <w:r>
        <w:rPr>
          <w:rFonts w:ascii="Arial" w:hAnsi="Arial" w:cs="Arial"/>
          <w:b/>
          <w:bCs/>
          <w:noProof/>
        </w:rPr>
        <w:drawing>
          <wp:inline distT="0" distB="0" distL="0" distR="0" wp14:anchorId="356C4592" wp14:editId="703A1A5E">
            <wp:extent cx="6126480" cy="2688336"/>
            <wp:effectExtent l="0" t="0" r="762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cision DX Interpretation Diagram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2688336"/>
                    </a:xfrm>
                    <a:prstGeom prst="rect">
                      <a:avLst/>
                    </a:prstGeom>
                  </pic:spPr>
                </pic:pic>
              </a:graphicData>
            </a:graphic>
          </wp:inline>
        </w:drawing>
      </w:r>
    </w:p>
    <w:p w14:paraId="7C9F59D2" w14:textId="3B07D847" w:rsidR="00FE6BDE" w:rsidRPr="008F79F4" w:rsidRDefault="00FE6BDE" w:rsidP="00FE6BDE">
      <w:pPr>
        <w:pStyle w:val="ListParagraph"/>
        <w:autoSpaceDE w:val="0"/>
        <w:autoSpaceDN w:val="0"/>
        <w:adjustRightInd w:val="0"/>
        <w:spacing w:after="0" w:line="240" w:lineRule="auto"/>
        <w:ind w:left="1440"/>
        <w:rPr>
          <w:rFonts w:ascii="Arial" w:hAnsi="Arial" w:cs="Arial"/>
          <w:b/>
          <w:bCs/>
        </w:rPr>
      </w:pPr>
      <w:r>
        <w:rPr>
          <w:rFonts w:ascii="Arial" w:hAnsi="Arial" w:cs="Arial"/>
          <w:b/>
          <w:bCs/>
        </w:rPr>
        <w:t xml:space="preserve"> </w:t>
      </w:r>
    </w:p>
    <w:p w14:paraId="5283647A" w14:textId="77777777" w:rsidR="00790867" w:rsidRDefault="00790867" w:rsidP="00790867">
      <w:pPr>
        <w:pStyle w:val="ListParagraph"/>
        <w:autoSpaceDE w:val="0"/>
        <w:autoSpaceDN w:val="0"/>
        <w:adjustRightInd w:val="0"/>
        <w:spacing w:after="0" w:line="240" w:lineRule="auto"/>
        <w:ind w:left="1440"/>
        <w:rPr>
          <w:rFonts w:ascii="Arial" w:hAnsi="Arial" w:cs="Arial"/>
          <w:b/>
          <w:bCs/>
        </w:rPr>
      </w:pPr>
    </w:p>
    <w:p w14:paraId="5C382C39" w14:textId="77777777" w:rsidR="00A10B3E" w:rsidRPr="00346146" w:rsidRDefault="00A10B3E" w:rsidP="00346146">
      <w:pPr>
        <w:autoSpaceDE w:val="0"/>
        <w:autoSpaceDN w:val="0"/>
        <w:adjustRightInd w:val="0"/>
        <w:spacing w:after="0" w:line="240" w:lineRule="auto"/>
        <w:rPr>
          <w:rFonts w:ascii="Arial" w:hAnsi="Arial" w:cs="Arial"/>
          <w:bCs/>
        </w:rPr>
      </w:pPr>
    </w:p>
    <w:p w14:paraId="29A9D46F" w14:textId="0124A575" w:rsidR="00A54048" w:rsidRDefault="00A54048" w:rsidP="00AB4C0F">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LIMITATIONS OF THE PROCEDURE</w:t>
      </w:r>
    </w:p>
    <w:p w14:paraId="5E2292F4" w14:textId="15930722" w:rsidR="00254059" w:rsidRPr="008F79F4" w:rsidRDefault="005341EC"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Test is for urine only.  Do not use whole blood, plasma, serum or other body fluids</w:t>
      </w:r>
    </w:p>
    <w:p w14:paraId="275A1CEC" w14:textId="064D2453" w:rsidR="008F79F4" w:rsidRPr="008F79F4" w:rsidRDefault="005341EC"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Results may be adversely affected by additives or sample adulteration.  If results are suspect, repeat testing with a fresh sample and kit cup.</w:t>
      </w:r>
    </w:p>
    <w:p w14:paraId="68F05B56" w14:textId="18575549" w:rsidR="008F79F4" w:rsidRPr="008F79F4" w:rsidRDefault="005341EC"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A false positive test may occur with certain drug</w:t>
      </w:r>
      <w:r w:rsidR="004F7A2F">
        <w:rPr>
          <w:rFonts w:ascii="Arial" w:hAnsi="Arial" w:cs="Arial"/>
        </w:rPr>
        <w:t>s</w:t>
      </w:r>
      <w:r>
        <w:rPr>
          <w:rFonts w:ascii="Arial" w:hAnsi="Arial" w:cs="Arial"/>
        </w:rPr>
        <w:t xml:space="preserve"> in similar or same drug classes</w:t>
      </w:r>
      <w:r w:rsidR="008F79F4">
        <w:rPr>
          <w:rFonts w:ascii="Arial" w:hAnsi="Arial" w:cs="Arial"/>
        </w:rPr>
        <w:t xml:space="preserve"> </w:t>
      </w:r>
      <w:r w:rsidR="004F7A2F">
        <w:rPr>
          <w:rFonts w:ascii="Arial" w:hAnsi="Arial" w:cs="Arial"/>
        </w:rPr>
        <w:t xml:space="preserve">as those in the test cup.  Certain foods and supplements may also yield false positive results.  Consult the </w:t>
      </w:r>
      <w:r w:rsidR="004F7A2F">
        <w:rPr>
          <w:rFonts w:ascii="Arial" w:hAnsi="Arial" w:cs="Arial"/>
        </w:rPr>
        <w:lastRenderedPageBreak/>
        <w:t>package insert for performance characteristics of each drug tested in this kit.  Positive results should be confirmed using an alternate method of testing.  Contact the main lab at CVVAMC for information on what confirmatory test should be ordered.</w:t>
      </w:r>
    </w:p>
    <w:p w14:paraId="14E871B5" w14:textId="41BF4CCE" w:rsidR="008F79F4" w:rsidRPr="008F79F4" w:rsidRDefault="004F7A2F"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A false negative result may occur when samples are diluted or altered or if the drug in question is present at levels below the cut-off detection limit for the test kit.  Consult the package insert of specific detectability cut-off levels and time to detection for each specific drug in the kit.</w:t>
      </w:r>
    </w:p>
    <w:p w14:paraId="7CED2E1B" w14:textId="77777777" w:rsidR="00B1576C" w:rsidRDefault="00B1576C" w:rsidP="00B1576C">
      <w:pPr>
        <w:pStyle w:val="ListParagraph"/>
        <w:autoSpaceDE w:val="0"/>
        <w:autoSpaceDN w:val="0"/>
        <w:adjustRightInd w:val="0"/>
        <w:spacing w:after="0" w:line="240" w:lineRule="auto"/>
        <w:ind w:left="1440"/>
        <w:rPr>
          <w:rFonts w:ascii="Arial" w:hAnsi="Arial" w:cs="Arial"/>
          <w:b/>
          <w:bCs/>
        </w:rPr>
      </w:pPr>
    </w:p>
    <w:p w14:paraId="2BCB5FCC" w14:textId="28DFECE4" w:rsidR="00AB4C0F" w:rsidRDefault="00AB4C0F" w:rsidP="00AB4C0F">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REFERENCES</w:t>
      </w:r>
      <w:r w:rsidR="00D842B3">
        <w:rPr>
          <w:rFonts w:ascii="Arial" w:hAnsi="Arial" w:cs="Arial"/>
          <w:b/>
          <w:bCs/>
        </w:rPr>
        <w:t xml:space="preserve"> AND ADDITIONAL RESOURCES</w:t>
      </w:r>
    </w:p>
    <w:p w14:paraId="7E484F8C" w14:textId="77777777" w:rsidR="005341EC" w:rsidRDefault="005341EC" w:rsidP="004C3328">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Precision Dx Quick Cup M2000 package insert</w:t>
      </w:r>
    </w:p>
    <w:p w14:paraId="712DEEDA" w14:textId="77777777" w:rsidR="00CC179C" w:rsidRDefault="00CC179C" w:rsidP="00CC179C">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 xml:space="preserve">Tests Granted Waived Status Under CLIA, </w:t>
      </w:r>
      <w:hyperlink r:id="rId9" w:history="1">
        <w:r w:rsidRPr="00AD7000">
          <w:rPr>
            <w:rStyle w:val="Hyperlink"/>
            <w:rFonts w:ascii="Arial" w:hAnsi="Arial" w:cs="Arial"/>
            <w:bCs/>
          </w:rPr>
          <w:t>https://www.cms.gov/Regulations-and-Guidance/Legislation/CLIA/Downloads/waivetbl.pdf</w:t>
        </w:r>
      </w:hyperlink>
    </w:p>
    <w:p w14:paraId="532D09F0" w14:textId="188BF0A0" w:rsidR="00CC179C" w:rsidRDefault="00CC179C" w:rsidP="00CC179C">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 xml:space="preserve">CLIA Waived Urine Drug Screens, search engine. </w:t>
      </w:r>
      <w:hyperlink r:id="rId10" w:history="1">
        <w:r w:rsidRPr="00AD7000">
          <w:rPr>
            <w:rStyle w:val="Hyperlink"/>
            <w:rFonts w:ascii="Arial" w:hAnsi="Arial" w:cs="Arial"/>
            <w:bCs/>
          </w:rPr>
          <w:t>https://www.accessdata.fda.gov/scripts/cdrh/cfdocs/cfCLIA/Detail.cfm?ID=39943&amp;NoClia=1</w:t>
        </w:r>
      </w:hyperlink>
    </w:p>
    <w:p w14:paraId="39C2B8E7" w14:textId="28CCC84D" w:rsidR="004C3328" w:rsidRPr="00CC179C" w:rsidRDefault="004C3328" w:rsidP="00CC179C">
      <w:pPr>
        <w:pStyle w:val="ListParagraph"/>
        <w:autoSpaceDE w:val="0"/>
        <w:autoSpaceDN w:val="0"/>
        <w:adjustRightInd w:val="0"/>
        <w:spacing w:after="0" w:line="240" w:lineRule="auto"/>
        <w:ind w:left="1440"/>
        <w:rPr>
          <w:rFonts w:ascii="Arial" w:hAnsi="Arial" w:cs="Arial"/>
          <w:bCs/>
        </w:rPr>
      </w:pPr>
      <w:r w:rsidRPr="00CC179C">
        <w:rPr>
          <w:rFonts w:ascii="Arial" w:hAnsi="Arial" w:cs="Arial"/>
          <w:bCs/>
        </w:rPr>
        <w:t xml:space="preserve"> </w:t>
      </w:r>
    </w:p>
    <w:p w14:paraId="7F6AD6F5" w14:textId="52AC980E" w:rsidR="00FF2EF2" w:rsidRDefault="00FF2EF2" w:rsidP="00AB4C0F"/>
    <w:sectPr w:rsidR="00FF2EF2" w:rsidSect="002C5CF0">
      <w:headerReference w:type="default" r:id="rId11"/>
      <w:footerReference w:type="default" r:id="rId12"/>
      <w:pgSz w:w="12240" w:h="15840"/>
      <w:pgMar w:top="144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92938" w14:textId="77777777" w:rsidR="003A6064" w:rsidRDefault="003A6064" w:rsidP="00FF2EF2">
      <w:pPr>
        <w:spacing w:after="0" w:line="240" w:lineRule="auto"/>
      </w:pPr>
      <w:r>
        <w:separator/>
      </w:r>
    </w:p>
  </w:endnote>
  <w:endnote w:type="continuationSeparator" w:id="0">
    <w:p w14:paraId="62346513" w14:textId="77777777" w:rsidR="003A6064" w:rsidRDefault="003A6064" w:rsidP="00FF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213081089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3F01448C" w14:textId="77777777" w:rsidR="003C7936" w:rsidRDefault="003C7936" w:rsidP="003C7936">
            <w:pPr>
              <w:autoSpaceDE w:val="0"/>
              <w:autoSpaceDN w:val="0"/>
              <w:adjustRightInd w:val="0"/>
              <w:spacing w:after="0" w:line="240" w:lineRule="auto"/>
              <w:jc w:val="center"/>
              <w:rPr>
                <w:rFonts w:ascii="Arial" w:hAnsi="Arial" w:cs="Arial"/>
                <w:b/>
                <w:bCs/>
              </w:rPr>
            </w:pPr>
            <w:r>
              <w:rPr>
                <w:rFonts w:ascii="Arial" w:hAnsi="Arial" w:cs="Arial"/>
                <w:b/>
                <w:bCs/>
              </w:rPr>
              <w:t>Precision Quick Cup Urine Drug Screen CLIA Waived</w:t>
            </w:r>
          </w:p>
          <w:p w14:paraId="3F62ACEC" w14:textId="2EAF821B" w:rsidR="00DC3915" w:rsidRDefault="00DC3915" w:rsidP="00DC3915">
            <w:pPr>
              <w:pStyle w:val="Footer"/>
              <w:jc w:val="center"/>
              <w:rPr>
                <w:rFonts w:ascii="Arial" w:hAnsi="Arial" w:cs="Arial"/>
                <w:sz w:val="18"/>
                <w:szCs w:val="18"/>
              </w:rPr>
            </w:pPr>
          </w:p>
          <w:p w14:paraId="6BA6A407" w14:textId="59D01CEE" w:rsidR="000D4A5D" w:rsidRPr="000D4A5D" w:rsidRDefault="000D4A5D" w:rsidP="000D4A5D">
            <w:pPr>
              <w:pStyle w:val="Footer"/>
              <w:jc w:val="center"/>
              <w:rPr>
                <w:rFonts w:ascii="Arial" w:hAnsi="Arial" w:cs="Arial"/>
                <w:sz w:val="18"/>
                <w:szCs w:val="18"/>
              </w:rPr>
            </w:pPr>
            <w:r w:rsidRPr="001B01BB">
              <w:rPr>
                <w:rFonts w:ascii="Arial" w:hAnsi="Arial" w:cs="Arial"/>
                <w:sz w:val="18"/>
                <w:szCs w:val="18"/>
              </w:rPr>
              <w:t xml:space="preserve">Page </w:t>
            </w:r>
            <w:r w:rsidRPr="001B01BB">
              <w:rPr>
                <w:rFonts w:ascii="Arial" w:hAnsi="Arial" w:cs="Arial"/>
                <w:b/>
                <w:bCs/>
                <w:sz w:val="18"/>
                <w:szCs w:val="18"/>
              </w:rPr>
              <w:fldChar w:fldCharType="begin"/>
            </w:r>
            <w:r w:rsidRPr="001B01BB">
              <w:rPr>
                <w:rFonts w:ascii="Arial" w:hAnsi="Arial" w:cs="Arial"/>
                <w:b/>
                <w:bCs/>
                <w:sz w:val="18"/>
                <w:szCs w:val="18"/>
              </w:rPr>
              <w:instrText xml:space="preserve"> PAGE </w:instrText>
            </w:r>
            <w:r w:rsidRPr="001B01BB">
              <w:rPr>
                <w:rFonts w:ascii="Arial" w:hAnsi="Arial" w:cs="Arial"/>
                <w:b/>
                <w:bCs/>
                <w:sz w:val="18"/>
                <w:szCs w:val="18"/>
              </w:rPr>
              <w:fldChar w:fldCharType="separate"/>
            </w:r>
            <w:r>
              <w:rPr>
                <w:rFonts w:ascii="Arial" w:hAnsi="Arial" w:cs="Arial"/>
                <w:b/>
                <w:bCs/>
                <w:sz w:val="18"/>
                <w:szCs w:val="18"/>
              </w:rPr>
              <w:t>1</w:t>
            </w:r>
            <w:r w:rsidRPr="001B01BB">
              <w:rPr>
                <w:rFonts w:ascii="Arial" w:hAnsi="Arial" w:cs="Arial"/>
                <w:b/>
                <w:bCs/>
                <w:sz w:val="18"/>
                <w:szCs w:val="18"/>
              </w:rPr>
              <w:fldChar w:fldCharType="end"/>
            </w:r>
            <w:r w:rsidRPr="001B01BB">
              <w:rPr>
                <w:rFonts w:ascii="Arial" w:hAnsi="Arial" w:cs="Arial"/>
                <w:sz w:val="18"/>
                <w:szCs w:val="18"/>
              </w:rPr>
              <w:t xml:space="preserve"> of </w:t>
            </w:r>
            <w:r w:rsidRPr="001B01BB">
              <w:rPr>
                <w:rFonts w:ascii="Arial" w:hAnsi="Arial" w:cs="Arial"/>
                <w:b/>
                <w:bCs/>
                <w:sz w:val="18"/>
                <w:szCs w:val="18"/>
              </w:rPr>
              <w:fldChar w:fldCharType="begin"/>
            </w:r>
            <w:r w:rsidRPr="001B01BB">
              <w:rPr>
                <w:rFonts w:ascii="Arial" w:hAnsi="Arial" w:cs="Arial"/>
                <w:b/>
                <w:bCs/>
                <w:sz w:val="18"/>
                <w:szCs w:val="18"/>
              </w:rPr>
              <w:instrText xml:space="preserve"> NUMPAGES  </w:instrText>
            </w:r>
            <w:r w:rsidRPr="001B01BB">
              <w:rPr>
                <w:rFonts w:ascii="Arial" w:hAnsi="Arial" w:cs="Arial"/>
                <w:b/>
                <w:bCs/>
                <w:sz w:val="18"/>
                <w:szCs w:val="18"/>
              </w:rPr>
              <w:fldChar w:fldCharType="separate"/>
            </w:r>
            <w:r>
              <w:rPr>
                <w:rFonts w:ascii="Arial" w:hAnsi="Arial" w:cs="Arial"/>
                <w:b/>
                <w:bCs/>
                <w:sz w:val="18"/>
                <w:szCs w:val="18"/>
              </w:rPr>
              <w:t>2</w:t>
            </w:r>
            <w:r w:rsidRPr="001B01BB">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BD0C" w14:textId="77777777" w:rsidR="003A6064" w:rsidRDefault="003A6064" w:rsidP="00FF2EF2">
      <w:pPr>
        <w:spacing w:after="0" w:line="240" w:lineRule="auto"/>
      </w:pPr>
      <w:r>
        <w:separator/>
      </w:r>
    </w:p>
  </w:footnote>
  <w:footnote w:type="continuationSeparator" w:id="0">
    <w:p w14:paraId="2159A04B" w14:textId="77777777" w:rsidR="003A6064" w:rsidRDefault="003A6064" w:rsidP="00FF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766A" w14:textId="77777777" w:rsidR="000D4A5D" w:rsidRPr="002D19FB" w:rsidRDefault="000D4A5D" w:rsidP="000D4A5D">
    <w:pPr>
      <w:tabs>
        <w:tab w:val="center" w:pos="4680"/>
        <w:tab w:val="right" w:pos="9360"/>
      </w:tabs>
      <w:spacing w:after="0" w:line="240" w:lineRule="auto"/>
      <w:jc w:val="center"/>
      <w:rPr>
        <w:rFonts w:ascii="Arial" w:hAnsi="Arial" w:cs="Arial"/>
        <w:sz w:val="18"/>
        <w:szCs w:val="18"/>
      </w:rPr>
    </w:pPr>
    <w:r w:rsidRPr="002D19FB">
      <w:rPr>
        <w:noProof/>
      </w:rPr>
      <w:drawing>
        <wp:anchor distT="0" distB="0" distL="114300" distR="114300" simplePos="0" relativeHeight="251659264" behindDoc="0" locked="0" layoutInCell="1" allowOverlap="1" wp14:anchorId="1F6D188E" wp14:editId="3753B742">
          <wp:simplePos x="0" y="0"/>
          <wp:positionH relativeFrom="column">
            <wp:posOffset>-76200</wp:posOffset>
          </wp:positionH>
          <wp:positionV relativeFrom="paragraph">
            <wp:posOffset>-333375</wp:posOffset>
          </wp:positionV>
          <wp:extent cx="1189116" cy="1162050"/>
          <wp:effectExtent l="0" t="0" r="0" b="0"/>
          <wp:wrapNone/>
          <wp:docPr id="3" name="Picture 3"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116"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9FB">
      <w:rPr>
        <w:rFonts w:ascii="Arial" w:hAnsi="Arial" w:cs="Arial"/>
        <w:sz w:val="18"/>
        <w:szCs w:val="18"/>
      </w:rPr>
      <w:t>CARL VINSON VA MEDICAL CENTER</w:t>
    </w:r>
  </w:p>
  <w:p w14:paraId="3A61C701" w14:textId="77777777" w:rsidR="000D4A5D" w:rsidRPr="002D19FB" w:rsidRDefault="000D4A5D" w:rsidP="000D4A5D">
    <w:pPr>
      <w:tabs>
        <w:tab w:val="center" w:pos="4680"/>
        <w:tab w:val="right" w:pos="9360"/>
      </w:tabs>
      <w:spacing w:after="0" w:line="240" w:lineRule="auto"/>
      <w:jc w:val="center"/>
      <w:rPr>
        <w:rFonts w:ascii="Arial" w:hAnsi="Arial" w:cs="Arial"/>
        <w:sz w:val="18"/>
        <w:szCs w:val="18"/>
      </w:rPr>
    </w:pPr>
    <w:r w:rsidRPr="002D19FB">
      <w:rPr>
        <w:rFonts w:ascii="Arial" w:hAnsi="Arial" w:cs="Arial"/>
        <w:sz w:val="18"/>
        <w:szCs w:val="18"/>
      </w:rPr>
      <w:t>Dublin, Georgia</w:t>
    </w:r>
  </w:p>
  <w:p w14:paraId="541C4D00" w14:textId="77777777" w:rsidR="000D4A5D" w:rsidRPr="002D19FB" w:rsidRDefault="000D4A5D" w:rsidP="000D4A5D">
    <w:pPr>
      <w:tabs>
        <w:tab w:val="center" w:pos="4680"/>
        <w:tab w:val="right" w:pos="9360"/>
      </w:tabs>
      <w:spacing w:after="0" w:line="240" w:lineRule="auto"/>
      <w:jc w:val="center"/>
      <w:rPr>
        <w:rFonts w:ascii="Arial" w:hAnsi="Arial" w:cs="Arial"/>
        <w:sz w:val="18"/>
        <w:szCs w:val="18"/>
      </w:rPr>
    </w:pPr>
    <w:r w:rsidRPr="002D19FB">
      <w:rPr>
        <w:rFonts w:ascii="Arial" w:hAnsi="Arial" w:cs="Arial"/>
        <w:sz w:val="18"/>
        <w:szCs w:val="18"/>
      </w:rPr>
      <w:t>Pathology and Laboratory Medicine Service</w:t>
    </w:r>
  </w:p>
  <w:p w14:paraId="5CC2D875" w14:textId="78A87DC6" w:rsidR="000D4A5D" w:rsidRDefault="00B05D6F" w:rsidP="000D4A5D">
    <w:pPr>
      <w:tabs>
        <w:tab w:val="left" w:pos="2055"/>
        <w:tab w:val="center" w:pos="4680"/>
        <w:tab w:val="center" w:pos="5040"/>
        <w:tab w:val="right" w:pos="9360"/>
      </w:tabs>
      <w:spacing w:after="0" w:line="240" w:lineRule="auto"/>
      <w:jc w:val="center"/>
      <w:rPr>
        <w:rFonts w:ascii="Arial" w:hAnsi="Arial" w:cs="Arial"/>
        <w:sz w:val="18"/>
        <w:szCs w:val="18"/>
      </w:rPr>
    </w:pPr>
    <w:r>
      <w:rPr>
        <w:rFonts w:ascii="Arial" w:hAnsi="Arial" w:cs="Arial"/>
        <w:sz w:val="18"/>
        <w:szCs w:val="18"/>
      </w:rPr>
      <w:t>Point of Care Test</w:t>
    </w:r>
    <w:r w:rsidR="000D4A5D" w:rsidRPr="002D19FB">
      <w:rPr>
        <w:rFonts w:ascii="Arial" w:hAnsi="Arial" w:cs="Arial"/>
        <w:sz w:val="18"/>
        <w:szCs w:val="18"/>
      </w:rPr>
      <w:t xml:space="preserve"> Division</w:t>
    </w:r>
  </w:p>
  <w:p w14:paraId="4F1A28E0" w14:textId="77777777" w:rsidR="003B3183" w:rsidRPr="003B3183" w:rsidRDefault="003B3183" w:rsidP="000D4A5D">
    <w:pPr>
      <w:tabs>
        <w:tab w:val="left" w:pos="2055"/>
        <w:tab w:val="center" w:pos="4680"/>
        <w:tab w:val="center" w:pos="5040"/>
        <w:tab w:val="right" w:pos="9360"/>
      </w:tabs>
      <w:spacing w:after="0" w:line="240" w:lineRule="auto"/>
      <w:jc w:val="center"/>
      <w:rPr>
        <w:rFonts w:ascii="Arial" w:hAnsi="Arial" w:cs="Arial"/>
        <w:sz w:val="10"/>
        <w:szCs w:val="10"/>
      </w:rPr>
    </w:pPr>
  </w:p>
  <w:p w14:paraId="39F6EA14" w14:textId="77777777" w:rsidR="00A25ACD" w:rsidRPr="000D4A5D" w:rsidRDefault="00A25ACD">
    <w:pPr>
      <w:pStyle w:val="Header"/>
      <w:rPr>
        <w:rFonts w:ascii="Arial" w:hAnsi="Arial" w:cs="Arial"/>
        <w:b/>
        <w:bCs/>
        <w:color w:val="000000"/>
        <w:sz w:val="28"/>
        <w:szCs w:val="28"/>
      </w:rPr>
    </w:pPr>
    <w:r>
      <w:rPr>
        <w:rFonts w:ascii="Arial" w:hAnsi="Arial" w:cs="Arial"/>
        <w:sz w:val="16"/>
        <w:szCs w:val="16"/>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C66"/>
    <w:multiLevelType w:val="hybridMultilevel"/>
    <w:tmpl w:val="EFE0F4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D722B"/>
    <w:multiLevelType w:val="multilevel"/>
    <w:tmpl w:val="1B92313E"/>
    <w:lvl w:ilvl="0">
      <w:start w:val="1"/>
      <w:numFmt w:val="decimal"/>
      <w:lvlText w:val="%1.0"/>
      <w:lvlJc w:val="left"/>
      <w:pPr>
        <w:ind w:left="720" w:hanging="720"/>
      </w:pPr>
      <w:rPr>
        <w:rFonts w:hint="default"/>
        <w:sz w:val="22"/>
        <w:szCs w:val="22"/>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3209ED"/>
    <w:multiLevelType w:val="hybridMultilevel"/>
    <w:tmpl w:val="5C4687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B7C52"/>
    <w:multiLevelType w:val="hybridMultilevel"/>
    <w:tmpl w:val="7E608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412908"/>
    <w:multiLevelType w:val="hybridMultilevel"/>
    <w:tmpl w:val="27E84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03025"/>
    <w:multiLevelType w:val="hybridMultilevel"/>
    <w:tmpl w:val="113CB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94D58"/>
    <w:multiLevelType w:val="hybridMultilevel"/>
    <w:tmpl w:val="DB4C7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122ED"/>
    <w:multiLevelType w:val="hybridMultilevel"/>
    <w:tmpl w:val="1F126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544525"/>
    <w:multiLevelType w:val="hybridMultilevel"/>
    <w:tmpl w:val="59E88E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E036D6"/>
    <w:multiLevelType w:val="hybridMultilevel"/>
    <w:tmpl w:val="27E84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FD0920"/>
    <w:multiLevelType w:val="hybridMultilevel"/>
    <w:tmpl w:val="B69C1C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35063"/>
    <w:multiLevelType w:val="hybridMultilevel"/>
    <w:tmpl w:val="7E608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967C20"/>
    <w:multiLevelType w:val="hybridMultilevel"/>
    <w:tmpl w:val="ED9E7BE8"/>
    <w:lvl w:ilvl="0" w:tplc="04090011">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7E207C"/>
    <w:multiLevelType w:val="hybridMultilevel"/>
    <w:tmpl w:val="F7587AFC"/>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306778"/>
    <w:multiLevelType w:val="hybridMultilevel"/>
    <w:tmpl w:val="ED9E7BE8"/>
    <w:lvl w:ilvl="0" w:tplc="04090011">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D78A9"/>
    <w:multiLevelType w:val="hybridMultilevel"/>
    <w:tmpl w:val="430221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F63694"/>
    <w:multiLevelType w:val="multilevel"/>
    <w:tmpl w:val="DAB87B04"/>
    <w:lvl w:ilvl="0">
      <w:start w:val="1"/>
      <w:numFmt w:val="decimal"/>
      <w:lvlText w:val="%1.0"/>
      <w:lvlJc w:val="left"/>
      <w:pPr>
        <w:ind w:left="720" w:hanging="720"/>
      </w:pPr>
      <w:rPr>
        <w:rFonts w:hint="default"/>
        <w:b/>
        <w:bCs w:val="0"/>
      </w:rPr>
    </w:lvl>
    <w:lvl w:ilvl="1">
      <w:start w:val="1"/>
      <w:numFmt w:val="decimal"/>
      <w:lvlText w:val="%1.%2"/>
      <w:lvlJc w:val="left"/>
      <w:pPr>
        <w:ind w:left="144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E5FE4"/>
    <w:multiLevelType w:val="hybridMultilevel"/>
    <w:tmpl w:val="27E84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3E7443"/>
    <w:multiLevelType w:val="hybridMultilevel"/>
    <w:tmpl w:val="7B8C34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D63653"/>
    <w:multiLevelType w:val="hybridMultilevel"/>
    <w:tmpl w:val="FE10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C6465"/>
    <w:multiLevelType w:val="hybridMultilevel"/>
    <w:tmpl w:val="477A9E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8C20FE"/>
    <w:multiLevelType w:val="hybridMultilevel"/>
    <w:tmpl w:val="961C55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C11144"/>
    <w:multiLevelType w:val="hybridMultilevel"/>
    <w:tmpl w:val="7E608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77FEF"/>
    <w:multiLevelType w:val="hybridMultilevel"/>
    <w:tmpl w:val="DF5439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95677C"/>
    <w:multiLevelType w:val="hybridMultilevel"/>
    <w:tmpl w:val="85E2B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E7820"/>
    <w:multiLevelType w:val="hybridMultilevel"/>
    <w:tmpl w:val="5DCCD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B04"/>
    <w:multiLevelType w:val="hybridMultilevel"/>
    <w:tmpl w:val="5FEC79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12"/>
  </w:num>
  <w:num w:numId="4">
    <w:abstractNumId w:val="11"/>
  </w:num>
  <w:num w:numId="5">
    <w:abstractNumId w:val="16"/>
  </w:num>
  <w:num w:numId="6">
    <w:abstractNumId w:val="5"/>
  </w:num>
  <w:num w:numId="7">
    <w:abstractNumId w:val="17"/>
  </w:num>
  <w:num w:numId="8">
    <w:abstractNumId w:val="14"/>
  </w:num>
  <w:num w:numId="9">
    <w:abstractNumId w:val="4"/>
  </w:num>
  <w:num w:numId="10">
    <w:abstractNumId w:val="9"/>
  </w:num>
  <w:num w:numId="11">
    <w:abstractNumId w:val="3"/>
  </w:num>
  <w:num w:numId="12">
    <w:abstractNumId w:val="22"/>
  </w:num>
  <w:num w:numId="13">
    <w:abstractNumId w:val="7"/>
  </w:num>
  <w:num w:numId="14">
    <w:abstractNumId w:val="21"/>
  </w:num>
  <w:num w:numId="15">
    <w:abstractNumId w:val="13"/>
  </w:num>
  <w:num w:numId="16">
    <w:abstractNumId w:val="0"/>
  </w:num>
  <w:num w:numId="17">
    <w:abstractNumId w:val="26"/>
  </w:num>
  <w:num w:numId="18">
    <w:abstractNumId w:val="19"/>
  </w:num>
  <w:num w:numId="19">
    <w:abstractNumId w:val="8"/>
  </w:num>
  <w:num w:numId="20">
    <w:abstractNumId w:val="25"/>
  </w:num>
  <w:num w:numId="21">
    <w:abstractNumId w:val="6"/>
  </w:num>
  <w:num w:numId="22">
    <w:abstractNumId w:val="24"/>
  </w:num>
  <w:num w:numId="23">
    <w:abstractNumId w:val="23"/>
  </w:num>
  <w:num w:numId="24">
    <w:abstractNumId w:val="18"/>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F2"/>
    <w:rsid w:val="00025E14"/>
    <w:rsid w:val="00040916"/>
    <w:rsid w:val="00041495"/>
    <w:rsid w:val="000725F8"/>
    <w:rsid w:val="000807C0"/>
    <w:rsid w:val="000817DB"/>
    <w:rsid w:val="000830F4"/>
    <w:rsid w:val="000912E8"/>
    <w:rsid w:val="000C05A2"/>
    <w:rsid w:val="000C5158"/>
    <w:rsid w:val="000C5EC8"/>
    <w:rsid w:val="000D04AC"/>
    <w:rsid w:val="000D3079"/>
    <w:rsid w:val="000D4A5D"/>
    <w:rsid w:val="000D572A"/>
    <w:rsid w:val="000E0A7B"/>
    <w:rsid w:val="000E598B"/>
    <w:rsid w:val="000F42A4"/>
    <w:rsid w:val="000F5BA8"/>
    <w:rsid w:val="00105B69"/>
    <w:rsid w:val="00126D41"/>
    <w:rsid w:val="001343C3"/>
    <w:rsid w:val="0014129F"/>
    <w:rsid w:val="001533DA"/>
    <w:rsid w:val="00165248"/>
    <w:rsid w:val="0017333B"/>
    <w:rsid w:val="00174A5D"/>
    <w:rsid w:val="00177025"/>
    <w:rsid w:val="00185B3E"/>
    <w:rsid w:val="001A386B"/>
    <w:rsid w:val="001B142C"/>
    <w:rsid w:val="001C0CBE"/>
    <w:rsid w:val="001D1666"/>
    <w:rsid w:val="001E32D6"/>
    <w:rsid w:val="001F5356"/>
    <w:rsid w:val="00201E59"/>
    <w:rsid w:val="00203A8E"/>
    <w:rsid w:val="00206F4C"/>
    <w:rsid w:val="00232077"/>
    <w:rsid w:val="00236206"/>
    <w:rsid w:val="00254059"/>
    <w:rsid w:val="0027236C"/>
    <w:rsid w:val="00284B08"/>
    <w:rsid w:val="00286C9D"/>
    <w:rsid w:val="002A751D"/>
    <w:rsid w:val="002C5CF0"/>
    <w:rsid w:val="002E2DD4"/>
    <w:rsid w:val="002F1893"/>
    <w:rsid w:val="002F39E3"/>
    <w:rsid w:val="003235CF"/>
    <w:rsid w:val="003347AE"/>
    <w:rsid w:val="00346146"/>
    <w:rsid w:val="00350A95"/>
    <w:rsid w:val="00363366"/>
    <w:rsid w:val="00374520"/>
    <w:rsid w:val="003802B0"/>
    <w:rsid w:val="00382FA8"/>
    <w:rsid w:val="00383145"/>
    <w:rsid w:val="003970B9"/>
    <w:rsid w:val="003A15C3"/>
    <w:rsid w:val="003A6064"/>
    <w:rsid w:val="003B3183"/>
    <w:rsid w:val="003B319C"/>
    <w:rsid w:val="003B45DF"/>
    <w:rsid w:val="003B4861"/>
    <w:rsid w:val="003C5398"/>
    <w:rsid w:val="003C7936"/>
    <w:rsid w:val="003D15DD"/>
    <w:rsid w:val="003D1D4C"/>
    <w:rsid w:val="003F302F"/>
    <w:rsid w:val="00405D3C"/>
    <w:rsid w:val="00410F52"/>
    <w:rsid w:val="004267CD"/>
    <w:rsid w:val="00426C3A"/>
    <w:rsid w:val="004440AA"/>
    <w:rsid w:val="00465B3D"/>
    <w:rsid w:val="00473ED4"/>
    <w:rsid w:val="00481DD0"/>
    <w:rsid w:val="00487CCA"/>
    <w:rsid w:val="0049338A"/>
    <w:rsid w:val="004C163A"/>
    <w:rsid w:val="004C175C"/>
    <w:rsid w:val="004C3328"/>
    <w:rsid w:val="004E5B6E"/>
    <w:rsid w:val="004F7A2F"/>
    <w:rsid w:val="0050001F"/>
    <w:rsid w:val="0053162E"/>
    <w:rsid w:val="005341EC"/>
    <w:rsid w:val="005426BB"/>
    <w:rsid w:val="00543924"/>
    <w:rsid w:val="00560B77"/>
    <w:rsid w:val="005755BF"/>
    <w:rsid w:val="00576957"/>
    <w:rsid w:val="005B0C9E"/>
    <w:rsid w:val="005B2CC6"/>
    <w:rsid w:val="005C1B51"/>
    <w:rsid w:val="005D5BBF"/>
    <w:rsid w:val="005D6664"/>
    <w:rsid w:val="00613F66"/>
    <w:rsid w:val="0061727F"/>
    <w:rsid w:val="006209E2"/>
    <w:rsid w:val="00636B57"/>
    <w:rsid w:val="00674F0F"/>
    <w:rsid w:val="00676036"/>
    <w:rsid w:val="00682906"/>
    <w:rsid w:val="006B097B"/>
    <w:rsid w:val="006B40F8"/>
    <w:rsid w:val="006B76F2"/>
    <w:rsid w:val="006D791C"/>
    <w:rsid w:val="006E32C4"/>
    <w:rsid w:val="00701B47"/>
    <w:rsid w:val="00711023"/>
    <w:rsid w:val="00711339"/>
    <w:rsid w:val="007354FB"/>
    <w:rsid w:val="00736802"/>
    <w:rsid w:val="00737F05"/>
    <w:rsid w:val="00751CB0"/>
    <w:rsid w:val="00754963"/>
    <w:rsid w:val="00765417"/>
    <w:rsid w:val="007716E6"/>
    <w:rsid w:val="00790867"/>
    <w:rsid w:val="00791088"/>
    <w:rsid w:val="007B1B3B"/>
    <w:rsid w:val="007D1DD9"/>
    <w:rsid w:val="00840EC3"/>
    <w:rsid w:val="008475FF"/>
    <w:rsid w:val="00856A05"/>
    <w:rsid w:val="00861547"/>
    <w:rsid w:val="00874D3A"/>
    <w:rsid w:val="008A64E8"/>
    <w:rsid w:val="008A71F7"/>
    <w:rsid w:val="008B1C94"/>
    <w:rsid w:val="008D7C93"/>
    <w:rsid w:val="008E152A"/>
    <w:rsid w:val="008F79F4"/>
    <w:rsid w:val="00912928"/>
    <w:rsid w:val="009135DD"/>
    <w:rsid w:val="00915DD9"/>
    <w:rsid w:val="009202B5"/>
    <w:rsid w:val="009236F4"/>
    <w:rsid w:val="009253D9"/>
    <w:rsid w:val="00931646"/>
    <w:rsid w:val="00953A88"/>
    <w:rsid w:val="0096317D"/>
    <w:rsid w:val="009811CE"/>
    <w:rsid w:val="00982028"/>
    <w:rsid w:val="00983C8C"/>
    <w:rsid w:val="009856E7"/>
    <w:rsid w:val="009A1231"/>
    <w:rsid w:val="009A375E"/>
    <w:rsid w:val="009D1342"/>
    <w:rsid w:val="009D4396"/>
    <w:rsid w:val="009E5285"/>
    <w:rsid w:val="009F238D"/>
    <w:rsid w:val="00A07665"/>
    <w:rsid w:val="00A10B3E"/>
    <w:rsid w:val="00A113D0"/>
    <w:rsid w:val="00A22504"/>
    <w:rsid w:val="00A25ACD"/>
    <w:rsid w:val="00A44836"/>
    <w:rsid w:val="00A52721"/>
    <w:rsid w:val="00A54048"/>
    <w:rsid w:val="00A76FD9"/>
    <w:rsid w:val="00A816F0"/>
    <w:rsid w:val="00A87E09"/>
    <w:rsid w:val="00AA7188"/>
    <w:rsid w:val="00AB4C0F"/>
    <w:rsid w:val="00AC1D8C"/>
    <w:rsid w:val="00AE7619"/>
    <w:rsid w:val="00B0326E"/>
    <w:rsid w:val="00B05D6F"/>
    <w:rsid w:val="00B1576C"/>
    <w:rsid w:val="00B24CB8"/>
    <w:rsid w:val="00B40F92"/>
    <w:rsid w:val="00B46854"/>
    <w:rsid w:val="00B71774"/>
    <w:rsid w:val="00B759A4"/>
    <w:rsid w:val="00B8544F"/>
    <w:rsid w:val="00B93E69"/>
    <w:rsid w:val="00BC05F0"/>
    <w:rsid w:val="00BD5A6B"/>
    <w:rsid w:val="00BE3D5D"/>
    <w:rsid w:val="00BE6BC8"/>
    <w:rsid w:val="00BF14AB"/>
    <w:rsid w:val="00C01151"/>
    <w:rsid w:val="00C0750D"/>
    <w:rsid w:val="00C14C97"/>
    <w:rsid w:val="00C156C0"/>
    <w:rsid w:val="00C34831"/>
    <w:rsid w:val="00C616BC"/>
    <w:rsid w:val="00C64E1B"/>
    <w:rsid w:val="00C80730"/>
    <w:rsid w:val="00C8314D"/>
    <w:rsid w:val="00CC179C"/>
    <w:rsid w:val="00CC6B60"/>
    <w:rsid w:val="00CD1778"/>
    <w:rsid w:val="00CE065F"/>
    <w:rsid w:val="00CE1005"/>
    <w:rsid w:val="00CF65F4"/>
    <w:rsid w:val="00CF6A18"/>
    <w:rsid w:val="00D02345"/>
    <w:rsid w:val="00D23E85"/>
    <w:rsid w:val="00D54EF5"/>
    <w:rsid w:val="00D55D7C"/>
    <w:rsid w:val="00D569E8"/>
    <w:rsid w:val="00D621AF"/>
    <w:rsid w:val="00D80751"/>
    <w:rsid w:val="00D842B3"/>
    <w:rsid w:val="00DA0067"/>
    <w:rsid w:val="00DA6CC8"/>
    <w:rsid w:val="00DB32EC"/>
    <w:rsid w:val="00DB62BC"/>
    <w:rsid w:val="00DC0AA6"/>
    <w:rsid w:val="00DC3915"/>
    <w:rsid w:val="00DD1B12"/>
    <w:rsid w:val="00E01C13"/>
    <w:rsid w:val="00E03961"/>
    <w:rsid w:val="00E10BEB"/>
    <w:rsid w:val="00E228F5"/>
    <w:rsid w:val="00E524F2"/>
    <w:rsid w:val="00E6538E"/>
    <w:rsid w:val="00E84A6E"/>
    <w:rsid w:val="00EA3026"/>
    <w:rsid w:val="00EA381E"/>
    <w:rsid w:val="00EB55A4"/>
    <w:rsid w:val="00EC3EA0"/>
    <w:rsid w:val="00EE0782"/>
    <w:rsid w:val="00EE2350"/>
    <w:rsid w:val="00EF3B79"/>
    <w:rsid w:val="00F00AB1"/>
    <w:rsid w:val="00F06E16"/>
    <w:rsid w:val="00F22148"/>
    <w:rsid w:val="00F268AF"/>
    <w:rsid w:val="00F33C7C"/>
    <w:rsid w:val="00F71939"/>
    <w:rsid w:val="00F73A13"/>
    <w:rsid w:val="00FA4387"/>
    <w:rsid w:val="00FB4CFD"/>
    <w:rsid w:val="00FE259C"/>
    <w:rsid w:val="00FE2F52"/>
    <w:rsid w:val="00FE6BDE"/>
    <w:rsid w:val="00FF0CB9"/>
    <w:rsid w:val="00FF19CB"/>
    <w:rsid w:val="00FF2EF2"/>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61E51"/>
  <w15:docId w15:val="{EACE1A53-76EB-4CEA-BC22-07E0CD55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F2"/>
    <w:rPr>
      <w:color w:val="0000FF" w:themeColor="hyperlink"/>
      <w:u w:val="single"/>
    </w:rPr>
  </w:style>
  <w:style w:type="paragraph" w:styleId="BalloonText">
    <w:name w:val="Balloon Text"/>
    <w:basedOn w:val="Normal"/>
    <w:link w:val="BalloonTextChar"/>
    <w:uiPriority w:val="99"/>
    <w:semiHidden/>
    <w:unhideWhenUsed/>
    <w:rsid w:val="00F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F2"/>
    <w:rPr>
      <w:rFonts w:ascii="Tahoma" w:hAnsi="Tahoma" w:cs="Tahoma"/>
      <w:sz w:val="16"/>
      <w:szCs w:val="16"/>
    </w:rPr>
  </w:style>
  <w:style w:type="paragraph" w:styleId="Header">
    <w:name w:val="header"/>
    <w:basedOn w:val="Normal"/>
    <w:link w:val="HeaderChar"/>
    <w:uiPriority w:val="99"/>
    <w:unhideWhenUsed/>
    <w:rsid w:val="00F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2"/>
  </w:style>
  <w:style w:type="paragraph" w:styleId="Footer">
    <w:name w:val="footer"/>
    <w:basedOn w:val="Normal"/>
    <w:link w:val="FooterChar"/>
    <w:uiPriority w:val="99"/>
    <w:unhideWhenUsed/>
    <w:rsid w:val="00F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2"/>
  </w:style>
  <w:style w:type="paragraph" w:styleId="ListParagraph">
    <w:name w:val="List Paragraph"/>
    <w:basedOn w:val="Normal"/>
    <w:uiPriority w:val="34"/>
    <w:qFormat/>
    <w:rsid w:val="009D1342"/>
    <w:pPr>
      <w:ind w:left="720"/>
      <w:contextualSpacing/>
    </w:pPr>
  </w:style>
  <w:style w:type="table" w:styleId="TableGrid">
    <w:name w:val="Table Grid"/>
    <w:basedOn w:val="TableNormal"/>
    <w:uiPriority w:val="59"/>
    <w:unhideWhenUsed/>
    <w:rsid w:val="003D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830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0830F4"/>
    <w:rPr>
      <w:color w:val="808080"/>
      <w:shd w:val="clear" w:color="auto" w:fill="E6E6E6"/>
    </w:rPr>
  </w:style>
  <w:style w:type="table" w:styleId="GridTable1Light-Accent2">
    <w:name w:val="Grid Table 1 Light Accent 2"/>
    <w:basedOn w:val="TableNormal"/>
    <w:uiPriority w:val="46"/>
    <w:rsid w:val="00A5404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B4685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essdata.fda.gov/scripts/cdrh/cfdocs/cfCLIA/Detail.cfm?ID=39943&amp;NoClia=1" TargetMode="External"/><Relationship Id="rId4" Type="http://schemas.openxmlformats.org/officeDocument/2006/relationships/settings" Target="settings.xml"/><Relationship Id="rId9" Type="http://schemas.openxmlformats.org/officeDocument/2006/relationships/hyperlink" Target="https://www.cms.gov/Regulations-and-Guidance/Legislation/CLIA/Downloads/waivetb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EDDC-1B61-4F7D-BD25-F44364B7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Illiana VAMC</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vhadanpecke</dc:creator>
  <cp:keywords/>
  <dc:description/>
  <cp:lastModifiedBy>Lee, Lisa G.</cp:lastModifiedBy>
  <cp:revision>3</cp:revision>
  <cp:lastPrinted>2020-06-04T13:23:00Z</cp:lastPrinted>
  <dcterms:created xsi:type="dcterms:W3CDTF">2021-07-27T15:37:00Z</dcterms:created>
  <dcterms:modified xsi:type="dcterms:W3CDTF">2021-08-03T14:31:00Z</dcterms:modified>
</cp:coreProperties>
</file>