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57F" w:rsidRPr="00192415" w:rsidRDefault="00192415" w:rsidP="0019241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This urine sample is from a 37-year-old man with advanced kidney disease,</w:t>
      </w:r>
      <w:r>
        <w:rPr>
          <w:rFonts w:ascii="Arial" w:hAnsi="Arial" w:cs="Arial"/>
          <w:sz w:val="20"/>
          <w:szCs w:val="20"/>
        </w:rPr>
        <w:t xml:space="preserve"> admitted through the emergency </w:t>
      </w:r>
      <w:r>
        <w:rPr>
          <w:rFonts w:ascii="Arial" w:hAnsi="Arial" w:cs="Arial"/>
          <w:sz w:val="20"/>
          <w:szCs w:val="20"/>
        </w:rPr>
        <w:t>room (ER) for lower abdominal discomfort and painful urination. Laboratory data inc</w:t>
      </w:r>
      <w:r>
        <w:rPr>
          <w:rFonts w:ascii="Arial" w:hAnsi="Arial" w:cs="Arial"/>
          <w:sz w:val="20"/>
          <w:szCs w:val="20"/>
        </w:rPr>
        <w:t>lude: specific gravity = 1.017, p</w:t>
      </w:r>
      <w:r>
        <w:rPr>
          <w:rFonts w:ascii="Arial" w:hAnsi="Arial" w:cs="Arial"/>
          <w:sz w:val="20"/>
          <w:szCs w:val="20"/>
        </w:rPr>
        <w:t>H = 5.0; blood, leukocyte esterase, protein, glucose, ketones, and nitrite = positive.</w:t>
      </w:r>
    </w:p>
    <w:p w:rsidR="006F757F" w:rsidRDefault="006F757F"/>
    <w:p w:rsidR="006F757F" w:rsidRDefault="006F757F">
      <w:r>
        <w:rPr>
          <w:noProof/>
        </w:rPr>
        <w:drawing>
          <wp:inline distT="0" distB="0" distL="0" distR="0">
            <wp:extent cx="5486400" cy="3657600"/>
            <wp:effectExtent l="0" t="0" r="0" b="0"/>
            <wp:docPr id="1" name="Picture 1" descr="D:\images\full_size\cmp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mages\full_size\cmp_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971" w:rsidRDefault="00271971" w:rsidP="00271971">
      <w:pPr>
        <w:pStyle w:val="ListParagraph"/>
        <w:numPr>
          <w:ilvl w:val="0"/>
          <w:numId w:val="1"/>
        </w:numPr>
      </w:pPr>
      <w:r>
        <w:t>Hyaline cast</w:t>
      </w:r>
    </w:p>
    <w:p w:rsidR="00271971" w:rsidRDefault="00271971" w:rsidP="00271971">
      <w:pPr>
        <w:pStyle w:val="ListParagraph"/>
        <w:numPr>
          <w:ilvl w:val="0"/>
          <w:numId w:val="1"/>
        </w:numPr>
      </w:pPr>
      <w:r>
        <w:t>RBC cast</w:t>
      </w:r>
    </w:p>
    <w:p w:rsidR="00271971" w:rsidRDefault="00271971" w:rsidP="00271971">
      <w:pPr>
        <w:pStyle w:val="ListParagraph"/>
        <w:numPr>
          <w:ilvl w:val="0"/>
          <w:numId w:val="1"/>
        </w:numPr>
      </w:pPr>
      <w:r>
        <w:t>Granular cast</w:t>
      </w:r>
    </w:p>
    <w:p w:rsidR="00271971" w:rsidRDefault="00271971" w:rsidP="00271971">
      <w:proofErr w:type="spellStart"/>
      <w:r>
        <w:t>Explantion</w:t>
      </w:r>
      <w:proofErr w:type="spellEnd"/>
      <w:r>
        <w:t>:</w:t>
      </w:r>
    </w:p>
    <w:p w:rsidR="00271971" w:rsidRDefault="00271971" w:rsidP="0027197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Urinary casts are cylindrical objects that form in the distal tubules and collecting ducts as a result of</w:t>
      </w:r>
    </w:p>
    <w:p w:rsidR="00271971" w:rsidRDefault="00271971" w:rsidP="0027197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solidification</w:t>
      </w:r>
      <w:proofErr w:type="gramEnd"/>
      <w:r>
        <w:rPr>
          <w:rFonts w:ascii="Arial" w:hAnsi="Arial" w:cs="Arial"/>
          <w:sz w:val="20"/>
          <w:szCs w:val="20"/>
        </w:rPr>
        <w:t xml:space="preserve"> of protein within the renal tubular lumen. Casts are sub-classified based on their matrix</w:t>
      </w:r>
    </w:p>
    <w:p w:rsidR="00271971" w:rsidRDefault="00271971" w:rsidP="007C03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composition</w:t>
      </w:r>
      <w:proofErr w:type="gramEnd"/>
      <w:r>
        <w:rPr>
          <w:rFonts w:ascii="Arial" w:hAnsi="Arial" w:cs="Arial"/>
          <w:sz w:val="20"/>
          <w:szCs w:val="20"/>
        </w:rPr>
        <w:t xml:space="preserve"> (hyaline, waxy), inclusions (granules, fat, hemosiderin), or cellular composition (white cells, red</w:t>
      </w:r>
      <w:r w:rsidR="007C03C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cells, renal tubular epithelial cells, bacteria).</w:t>
      </w:r>
      <w:r w:rsidR="007C03C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Granular casts as depicted in this image are a common finding in urine specimens. This cast is made up of</w:t>
      </w:r>
      <w:r w:rsidR="007C03C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plasma proteins from degenerated cellular products and may have a fine or coarse granular appearance that</w:t>
      </w:r>
      <w:r w:rsidR="007C03C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 often evenly dispersed throughout the cast. Most granular casts are not pathological; however, these casts</w:t>
      </w:r>
      <w:r w:rsidR="007C03C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can be seen in urine from individuals with renal disease.</w:t>
      </w:r>
    </w:p>
    <w:p w:rsidR="007C03C2" w:rsidRDefault="007C03C2" w:rsidP="007C03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7C03C2" w:rsidRDefault="007C03C2" w:rsidP="007C03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271971" w:rsidRDefault="00271971" w:rsidP="00271971"/>
    <w:p w:rsidR="002C27AD" w:rsidRDefault="002C27AD" w:rsidP="00271971"/>
    <w:p w:rsidR="002C27AD" w:rsidRDefault="002C27AD" w:rsidP="00271971"/>
    <w:p w:rsidR="002C27AD" w:rsidRPr="00192415" w:rsidRDefault="002C27AD" w:rsidP="002C27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This urine sample is from a 37-year-old man with advanced kidney disease, admitted through the emergency room (ER) for lower abdominal discomfort and painful urination. Laboratory data include: specific gravity = 1.017, pH = 5.0; blood, leukocyte esterase, protein, glucose, ketones, and nitrite = positive.</w:t>
      </w:r>
    </w:p>
    <w:p w:rsidR="002C27AD" w:rsidRDefault="002C27AD" w:rsidP="00271971"/>
    <w:p w:rsidR="006F757F" w:rsidRDefault="006F757F">
      <w:r>
        <w:rPr>
          <w:noProof/>
        </w:rPr>
        <w:drawing>
          <wp:inline distT="0" distB="0" distL="0" distR="0">
            <wp:extent cx="5486400" cy="3657600"/>
            <wp:effectExtent l="0" t="0" r="0" b="0"/>
            <wp:docPr id="2" name="Picture 2" descr="D:\images\full_size\cmp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mages\full_size\cmp_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971" w:rsidRDefault="00271971" w:rsidP="00271971">
      <w:pPr>
        <w:pStyle w:val="ListParagraph"/>
        <w:numPr>
          <w:ilvl w:val="0"/>
          <w:numId w:val="2"/>
        </w:numPr>
      </w:pPr>
      <w:r>
        <w:t>RBC</w:t>
      </w:r>
    </w:p>
    <w:p w:rsidR="00271971" w:rsidRDefault="00271971" w:rsidP="00271971">
      <w:pPr>
        <w:pStyle w:val="ListParagraph"/>
        <w:numPr>
          <w:ilvl w:val="0"/>
          <w:numId w:val="2"/>
        </w:numPr>
      </w:pPr>
      <w:r>
        <w:t>WBC</w:t>
      </w:r>
    </w:p>
    <w:p w:rsidR="00271971" w:rsidRDefault="00271971" w:rsidP="00271971">
      <w:pPr>
        <w:pStyle w:val="ListParagraph"/>
        <w:numPr>
          <w:ilvl w:val="0"/>
          <w:numId w:val="2"/>
        </w:numPr>
      </w:pPr>
      <w:r>
        <w:t>Transitional epithelial</w:t>
      </w:r>
    </w:p>
    <w:p w:rsidR="00271971" w:rsidRDefault="00271971" w:rsidP="00271971">
      <w:r>
        <w:t>Explanation:</w:t>
      </w:r>
    </w:p>
    <w:p w:rsidR="00271971" w:rsidRDefault="00271971" w:rsidP="007C03C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  <w:r>
        <w:rPr>
          <w:rFonts w:ascii="ArialMT" w:hAnsi="ArialMT" w:cs="ArialMT"/>
          <w:sz w:val="20"/>
          <w:szCs w:val="20"/>
        </w:rPr>
        <w:t>Red blood cells</w:t>
      </w:r>
      <w:r w:rsidR="007C03C2">
        <w:rPr>
          <w:rFonts w:ascii="ArialMT" w:hAnsi="ArialMT" w:cs="ArialMT"/>
          <w:sz w:val="20"/>
          <w:szCs w:val="20"/>
        </w:rPr>
        <w:t xml:space="preserve"> </w:t>
      </w:r>
      <w:r>
        <w:rPr>
          <w:rFonts w:ascii="ArialMT" w:hAnsi="ArialMT" w:cs="ArialMT"/>
          <w:sz w:val="20"/>
          <w:szCs w:val="20"/>
        </w:rPr>
        <w:t xml:space="preserve">in wet preparations appear as pale yellow-orange discs that are usually about 7 to 8 </w:t>
      </w:r>
      <w:proofErr w:type="spellStart"/>
      <w:r>
        <w:rPr>
          <w:rFonts w:ascii="ArialMT" w:hAnsi="ArialMT" w:cs="ArialMT"/>
          <w:sz w:val="20"/>
          <w:szCs w:val="20"/>
        </w:rPr>
        <w:t>μm</w:t>
      </w:r>
      <w:proofErr w:type="spellEnd"/>
      <w:r>
        <w:rPr>
          <w:rFonts w:ascii="ArialMT" w:hAnsi="ArialMT" w:cs="ArialMT"/>
          <w:sz w:val="20"/>
          <w:szCs w:val="20"/>
        </w:rPr>
        <w:t xml:space="preserve"> in diameter. The</w:t>
      </w:r>
      <w:r w:rsidR="007C03C2">
        <w:rPr>
          <w:rFonts w:ascii="ArialMT" w:hAnsi="ArialMT" w:cs="ArialMT"/>
          <w:sz w:val="20"/>
          <w:szCs w:val="20"/>
        </w:rPr>
        <w:t xml:space="preserve"> </w:t>
      </w:r>
      <w:r>
        <w:rPr>
          <w:rFonts w:ascii="ArialMT" w:hAnsi="ArialMT" w:cs="ArialMT"/>
          <w:sz w:val="20"/>
          <w:szCs w:val="20"/>
        </w:rPr>
        <w:t>appearance of red blood cells depends upon the age and condition of the urine specimen. Old hypotonic urine</w:t>
      </w:r>
      <w:r w:rsidR="007C03C2">
        <w:rPr>
          <w:rFonts w:ascii="ArialMT" w:hAnsi="ArialMT" w:cs="ArialMT"/>
          <w:sz w:val="20"/>
          <w:szCs w:val="20"/>
        </w:rPr>
        <w:t xml:space="preserve"> </w:t>
      </w:r>
      <w:r>
        <w:rPr>
          <w:rFonts w:ascii="ArialMT" w:hAnsi="ArialMT" w:cs="ArialMT"/>
          <w:sz w:val="20"/>
          <w:szCs w:val="20"/>
        </w:rPr>
        <w:t>specimens make red blood cells appear as “ghost-like,” faint, colorless circles. Red blood cells in hypertonic</w:t>
      </w:r>
      <w:r w:rsidR="007C03C2">
        <w:rPr>
          <w:rFonts w:ascii="ArialMT" w:hAnsi="ArialMT" w:cs="ArialMT"/>
          <w:sz w:val="20"/>
          <w:szCs w:val="20"/>
        </w:rPr>
        <w:t xml:space="preserve"> </w:t>
      </w:r>
      <w:r>
        <w:rPr>
          <w:rFonts w:ascii="ArialMT" w:hAnsi="ArialMT" w:cs="ArialMT"/>
          <w:sz w:val="20"/>
          <w:szCs w:val="20"/>
        </w:rPr>
        <w:t xml:space="preserve">urine samples can appear more </w:t>
      </w:r>
      <w:proofErr w:type="spellStart"/>
      <w:r>
        <w:rPr>
          <w:rFonts w:ascii="ArialMT" w:hAnsi="ArialMT" w:cs="ArialMT"/>
          <w:sz w:val="20"/>
          <w:szCs w:val="20"/>
        </w:rPr>
        <w:t>crenated</w:t>
      </w:r>
      <w:proofErr w:type="spellEnd"/>
      <w:r>
        <w:rPr>
          <w:rFonts w:ascii="ArialMT" w:hAnsi="ArialMT" w:cs="ArialMT"/>
          <w:sz w:val="20"/>
          <w:szCs w:val="20"/>
        </w:rPr>
        <w:t xml:space="preserve">. Oil droplets can mimic red blood cells but the </w:t>
      </w:r>
      <w:proofErr w:type="spellStart"/>
      <w:r>
        <w:rPr>
          <w:rFonts w:ascii="ArialMT" w:hAnsi="ArialMT" w:cs="ArialMT"/>
          <w:sz w:val="20"/>
          <w:szCs w:val="20"/>
        </w:rPr>
        <w:t>refractile</w:t>
      </w:r>
      <w:proofErr w:type="spellEnd"/>
      <w:r>
        <w:rPr>
          <w:rFonts w:ascii="ArialMT" w:hAnsi="ArialMT" w:cs="ArialMT"/>
          <w:sz w:val="20"/>
          <w:szCs w:val="20"/>
        </w:rPr>
        <w:t xml:space="preserve"> nature of oil</w:t>
      </w:r>
      <w:r w:rsidR="007C03C2">
        <w:rPr>
          <w:rFonts w:ascii="ArialMT" w:hAnsi="ArialMT" w:cs="ArialMT"/>
          <w:sz w:val="20"/>
          <w:szCs w:val="20"/>
        </w:rPr>
        <w:t xml:space="preserve"> </w:t>
      </w:r>
      <w:r>
        <w:rPr>
          <w:rFonts w:ascii="ArialMT" w:hAnsi="ArialMT" w:cs="ArialMT"/>
          <w:sz w:val="20"/>
          <w:szCs w:val="20"/>
        </w:rPr>
        <w:t xml:space="preserve">droplets is a helpful distinction. </w:t>
      </w:r>
      <w:proofErr w:type="spellStart"/>
      <w:r>
        <w:rPr>
          <w:rFonts w:ascii="ArialMT" w:hAnsi="ArialMT" w:cs="ArialMT"/>
          <w:sz w:val="20"/>
          <w:szCs w:val="20"/>
        </w:rPr>
        <w:t>Crenated</w:t>
      </w:r>
      <w:proofErr w:type="spellEnd"/>
      <w:r>
        <w:rPr>
          <w:rFonts w:ascii="ArialMT" w:hAnsi="ArialMT" w:cs="ArialMT"/>
          <w:sz w:val="20"/>
          <w:szCs w:val="20"/>
        </w:rPr>
        <w:t xml:space="preserve"> red cells may be confused with white blood cells, which unlike red</w:t>
      </w:r>
      <w:r w:rsidR="007C03C2">
        <w:rPr>
          <w:rFonts w:ascii="ArialMT" w:hAnsi="ArialMT" w:cs="ArialMT"/>
          <w:sz w:val="20"/>
          <w:szCs w:val="20"/>
        </w:rPr>
        <w:t xml:space="preserve"> </w:t>
      </w:r>
      <w:r>
        <w:rPr>
          <w:rFonts w:ascii="ArialMT" w:hAnsi="ArialMT" w:cs="ArialMT"/>
          <w:sz w:val="20"/>
          <w:szCs w:val="20"/>
        </w:rPr>
        <w:t xml:space="preserve">blood cells have </w:t>
      </w:r>
      <w:proofErr w:type="spellStart"/>
      <w:r>
        <w:rPr>
          <w:rFonts w:ascii="ArialMT" w:hAnsi="ArialMT" w:cs="ArialMT"/>
          <w:sz w:val="20"/>
          <w:szCs w:val="20"/>
        </w:rPr>
        <w:t>multilobated</w:t>
      </w:r>
      <w:proofErr w:type="spellEnd"/>
      <w:r>
        <w:rPr>
          <w:rFonts w:ascii="ArialMT" w:hAnsi="ArialMT" w:cs="ArialMT"/>
          <w:sz w:val="20"/>
          <w:szCs w:val="20"/>
        </w:rPr>
        <w:t xml:space="preserve"> nuclei. Generally, only a small number of red blood cells are seen in urine (less</w:t>
      </w:r>
      <w:r w:rsidR="007C03C2">
        <w:rPr>
          <w:rFonts w:ascii="ArialMT" w:hAnsi="ArialMT" w:cs="ArialMT"/>
          <w:sz w:val="20"/>
          <w:szCs w:val="20"/>
        </w:rPr>
        <w:t xml:space="preserve"> </w:t>
      </w:r>
      <w:r>
        <w:rPr>
          <w:rFonts w:ascii="ArialMT" w:hAnsi="ArialMT" w:cs="ArialMT"/>
          <w:sz w:val="20"/>
          <w:szCs w:val="20"/>
        </w:rPr>
        <w:t>than 3/HPF); however, increased numbers of red blood cells can be associated with kidney disease,</w:t>
      </w:r>
      <w:r w:rsidR="007C03C2">
        <w:rPr>
          <w:rFonts w:ascii="ArialMT" w:hAnsi="ArialMT" w:cs="ArialMT"/>
          <w:sz w:val="20"/>
          <w:szCs w:val="20"/>
        </w:rPr>
        <w:t xml:space="preserve"> </w:t>
      </w:r>
      <w:r>
        <w:rPr>
          <w:rFonts w:ascii="ArialMT" w:hAnsi="ArialMT" w:cs="ArialMT"/>
          <w:sz w:val="20"/>
          <w:szCs w:val="20"/>
        </w:rPr>
        <w:t>inflammation, trauma, or bleeding disorders.</w:t>
      </w:r>
    </w:p>
    <w:p w:rsidR="00271971" w:rsidRDefault="00271971" w:rsidP="00271971">
      <w:pPr>
        <w:rPr>
          <w:rFonts w:ascii="ArialMT" w:hAnsi="ArialMT" w:cs="ArialMT"/>
          <w:sz w:val="20"/>
          <w:szCs w:val="20"/>
        </w:rPr>
      </w:pPr>
    </w:p>
    <w:p w:rsidR="00271971" w:rsidRDefault="00271971" w:rsidP="00271971">
      <w:pPr>
        <w:rPr>
          <w:rFonts w:ascii="ArialMT" w:hAnsi="ArialMT" w:cs="ArialMT"/>
          <w:sz w:val="20"/>
          <w:szCs w:val="20"/>
        </w:rPr>
      </w:pPr>
    </w:p>
    <w:p w:rsidR="007C03C2" w:rsidRDefault="007C03C2" w:rsidP="00271971">
      <w:pPr>
        <w:rPr>
          <w:rFonts w:ascii="ArialMT" w:hAnsi="ArialMT" w:cs="ArialMT"/>
          <w:sz w:val="20"/>
          <w:szCs w:val="20"/>
        </w:rPr>
      </w:pPr>
    </w:p>
    <w:p w:rsidR="007C03C2" w:rsidRDefault="007C03C2" w:rsidP="00271971">
      <w:pPr>
        <w:rPr>
          <w:rFonts w:ascii="ArialMT" w:hAnsi="ArialMT" w:cs="ArialMT"/>
          <w:sz w:val="20"/>
          <w:szCs w:val="20"/>
        </w:rPr>
      </w:pPr>
    </w:p>
    <w:p w:rsidR="002C27AD" w:rsidRPr="00192415" w:rsidRDefault="002C27AD" w:rsidP="002C27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This urine sample is from a 37-year-old man with advanced kidney disease, admitted through the emergency room (ER) for lower abdominal discomfort and painful urination. Laboratory data include: specific gravity = 1.017, pH = 5.0; blood, leukocyte esterase, protein, glucose, ketones, and nitrite = positive.</w:t>
      </w:r>
    </w:p>
    <w:p w:rsidR="00271971" w:rsidRDefault="00271971" w:rsidP="00271971"/>
    <w:p w:rsidR="006F757F" w:rsidRDefault="006F757F">
      <w:r>
        <w:rPr>
          <w:noProof/>
        </w:rPr>
        <w:drawing>
          <wp:inline distT="0" distB="0" distL="0" distR="0">
            <wp:extent cx="5486400" cy="3657600"/>
            <wp:effectExtent l="0" t="0" r="0" b="0"/>
            <wp:docPr id="3" name="Picture 3" descr="D:\images\full_size\cmp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mages\full_size\cmp_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971" w:rsidRDefault="00271971" w:rsidP="00271971">
      <w:pPr>
        <w:pStyle w:val="ListParagraph"/>
        <w:numPr>
          <w:ilvl w:val="0"/>
          <w:numId w:val="3"/>
        </w:numPr>
      </w:pPr>
      <w:r>
        <w:t>Hyaline cast</w:t>
      </w:r>
    </w:p>
    <w:p w:rsidR="00271971" w:rsidRDefault="00271971" w:rsidP="00271971">
      <w:pPr>
        <w:pStyle w:val="ListParagraph"/>
        <w:numPr>
          <w:ilvl w:val="0"/>
          <w:numId w:val="3"/>
        </w:numPr>
      </w:pPr>
      <w:r>
        <w:t>Fiber</w:t>
      </w:r>
    </w:p>
    <w:p w:rsidR="00271971" w:rsidRDefault="00271971" w:rsidP="00271971">
      <w:pPr>
        <w:pStyle w:val="ListParagraph"/>
        <w:numPr>
          <w:ilvl w:val="0"/>
          <w:numId w:val="3"/>
        </w:numPr>
      </w:pPr>
      <w:r>
        <w:t>Waxy cast</w:t>
      </w:r>
    </w:p>
    <w:p w:rsidR="00271971" w:rsidRDefault="00271971" w:rsidP="00271971">
      <w:r>
        <w:t>Explanation:</w:t>
      </w:r>
    </w:p>
    <w:p w:rsidR="00271971" w:rsidRDefault="00271971" w:rsidP="007C03C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  <w:r>
        <w:rPr>
          <w:rFonts w:ascii="ArialMT" w:hAnsi="ArialMT" w:cs="ArialMT"/>
          <w:sz w:val="20"/>
          <w:szCs w:val="20"/>
        </w:rPr>
        <w:t>Waxy casts are</w:t>
      </w:r>
      <w:r w:rsidR="007C03C2">
        <w:rPr>
          <w:rFonts w:ascii="ArialMT" w:hAnsi="ArialMT" w:cs="ArialMT"/>
          <w:sz w:val="20"/>
          <w:szCs w:val="20"/>
        </w:rPr>
        <w:t xml:space="preserve"> </w:t>
      </w:r>
      <w:r>
        <w:rPr>
          <w:rFonts w:ascii="ArialMT" w:hAnsi="ArialMT" w:cs="ArialMT"/>
          <w:sz w:val="20"/>
          <w:szCs w:val="20"/>
        </w:rPr>
        <w:t>usually broad and stubby with a homogenous smooth and dense appearance. The ends are often blunted</w:t>
      </w:r>
      <w:r w:rsidR="007C03C2">
        <w:rPr>
          <w:rFonts w:ascii="ArialMT" w:hAnsi="ArialMT" w:cs="ArialMT"/>
          <w:sz w:val="20"/>
          <w:szCs w:val="20"/>
        </w:rPr>
        <w:t xml:space="preserve"> </w:t>
      </w:r>
      <w:r>
        <w:rPr>
          <w:rFonts w:ascii="ArialMT" w:hAnsi="ArialMT" w:cs="ArialMT"/>
          <w:sz w:val="20"/>
          <w:szCs w:val="20"/>
        </w:rPr>
        <w:t>with well-defined parallel margins that may be serrated or notched which reflect its brittle nature. Waxy casts</w:t>
      </w:r>
      <w:r w:rsidR="007C03C2">
        <w:rPr>
          <w:rFonts w:ascii="ArialMT" w:hAnsi="ArialMT" w:cs="ArialMT"/>
          <w:sz w:val="20"/>
          <w:szCs w:val="20"/>
        </w:rPr>
        <w:t xml:space="preserve"> </w:t>
      </w:r>
      <w:r>
        <w:rPr>
          <w:rFonts w:ascii="ArialMT" w:hAnsi="ArialMT" w:cs="ArialMT"/>
          <w:sz w:val="20"/>
          <w:szCs w:val="20"/>
        </w:rPr>
        <w:t>are thought to arise from the degeneration of cellular casts and are frequently associated with severe or</w:t>
      </w:r>
      <w:r w:rsidR="007C03C2">
        <w:rPr>
          <w:rFonts w:ascii="ArialMT" w:hAnsi="ArialMT" w:cs="ArialMT"/>
          <w:sz w:val="20"/>
          <w:szCs w:val="20"/>
        </w:rPr>
        <w:t xml:space="preserve"> </w:t>
      </w:r>
      <w:r>
        <w:rPr>
          <w:rFonts w:ascii="ArialMT" w:hAnsi="ArialMT" w:cs="ArialMT"/>
          <w:sz w:val="20"/>
          <w:szCs w:val="20"/>
        </w:rPr>
        <w:t>progressive chronic renal disease. These waxy casts can be differentiated from hyaline casts due to their</w:t>
      </w:r>
      <w:r w:rsidR="007C03C2">
        <w:rPr>
          <w:rFonts w:ascii="ArialMT" w:hAnsi="ArialMT" w:cs="ArialMT"/>
          <w:sz w:val="20"/>
          <w:szCs w:val="20"/>
        </w:rPr>
        <w:t xml:space="preserve"> </w:t>
      </w:r>
      <w:r>
        <w:rPr>
          <w:rFonts w:ascii="ArialMT" w:hAnsi="ArialMT" w:cs="ArialMT"/>
          <w:sz w:val="20"/>
          <w:szCs w:val="20"/>
        </w:rPr>
        <w:t xml:space="preserve">highly </w:t>
      </w:r>
      <w:proofErr w:type="spellStart"/>
      <w:r>
        <w:rPr>
          <w:rFonts w:ascii="ArialMT" w:hAnsi="ArialMT" w:cs="ArialMT"/>
          <w:sz w:val="20"/>
          <w:szCs w:val="20"/>
        </w:rPr>
        <w:t>refractile</w:t>
      </w:r>
      <w:proofErr w:type="spellEnd"/>
      <w:r>
        <w:rPr>
          <w:rFonts w:ascii="ArialMT" w:hAnsi="ArialMT" w:cs="ArialMT"/>
          <w:sz w:val="20"/>
          <w:szCs w:val="20"/>
        </w:rPr>
        <w:t xml:space="preserve"> nature.</w:t>
      </w:r>
    </w:p>
    <w:p w:rsidR="00271971" w:rsidRDefault="00271971" w:rsidP="00271971">
      <w:pPr>
        <w:rPr>
          <w:rFonts w:ascii="ArialMT" w:hAnsi="ArialMT" w:cs="ArialMT"/>
          <w:sz w:val="20"/>
          <w:szCs w:val="20"/>
        </w:rPr>
      </w:pPr>
    </w:p>
    <w:p w:rsidR="00271971" w:rsidRDefault="00271971" w:rsidP="00271971">
      <w:pPr>
        <w:rPr>
          <w:rFonts w:ascii="ArialMT" w:hAnsi="ArialMT" w:cs="ArialMT"/>
          <w:sz w:val="20"/>
          <w:szCs w:val="20"/>
        </w:rPr>
      </w:pPr>
    </w:p>
    <w:p w:rsidR="00271971" w:rsidRDefault="00271971" w:rsidP="00271971">
      <w:pPr>
        <w:rPr>
          <w:rFonts w:ascii="ArialMT" w:hAnsi="ArialMT" w:cs="ArialMT"/>
          <w:sz w:val="20"/>
          <w:szCs w:val="20"/>
        </w:rPr>
      </w:pPr>
    </w:p>
    <w:p w:rsidR="008157B2" w:rsidRDefault="008157B2" w:rsidP="00271971">
      <w:pPr>
        <w:rPr>
          <w:rFonts w:ascii="ArialMT" w:hAnsi="ArialMT" w:cs="ArialMT"/>
          <w:sz w:val="20"/>
          <w:szCs w:val="20"/>
        </w:rPr>
      </w:pPr>
    </w:p>
    <w:p w:rsidR="008157B2" w:rsidRDefault="008157B2" w:rsidP="00271971">
      <w:pPr>
        <w:rPr>
          <w:rFonts w:ascii="ArialMT" w:hAnsi="ArialMT" w:cs="ArialMT"/>
          <w:sz w:val="20"/>
          <w:szCs w:val="20"/>
        </w:rPr>
      </w:pPr>
    </w:p>
    <w:p w:rsidR="008157B2" w:rsidRDefault="008157B2" w:rsidP="00271971">
      <w:pPr>
        <w:rPr>
          <w:rFonts w:ascii="ArialMT" w:hAnsi="ArialMT" w:cs="ArialMT"/>
          <w:sz w:val="20"/>
          <w:szCs w:val="20"/>
        </w:rPr>
      </w:pPr>
    </w:p>
    <w:p w:rsidR="002C27AD" w:rsidRPr="00192415" w:rsidRDefault="002C27AD" w:rsidP="002C27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This urine sample is from a 37-year-old man with advanced kidney disease, admitted through the emergency room (ER) for lower abdominal discomfort and painful urination. Laboratory data include: specific gravity = 1.017, pH = 5.0; blood, leukocyte esterase, protein, glucose, ketones, and nitrite = positive.</w:t>
      </w:r>
    </w:p>
    <w:p w:rsidR="008157B2" w:rsidRDefault="008157B2" w:rsidP="00271971">
      <w:pPr>
        <w:rPr>
          <w:rFonts w:ascii="ArialMT" w:hAnsi="ArialMT" w:cs="ArialMT"/>
          <w:sz w:val="20"/>
          <w:szCs w:val="20"/>
        </w:rPr>
      </w:pPr>
    </w:p>
    <w:p w:rsidR="00271971" w:rsidRDefault="00271971" w:rsidP="00271971"/>
    <w:p w:rsidR="006F757F" w:rsidRDefault="006F757F"/>
    <w:p w:rsidR="006F757F" w:rsidRDefault="006F757F">
      <w:r>
        <w:rPr>
          <w:noProof/>
        </w:rPr>
        <w:drawing>
          <wp:inline distT="0" distB="0" distL="0" distR="0">
            <wp:extent cx="5486400" cy="3657600"/>
            <wp:effectExtent l="0" t="0" r="0" b="0"/>
            <wp:docPr id="4" name="Picture 4" descr="D:\images\full_size\cmp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images\full_size\cmp_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971" w:rsidRDefault="00271971" w:rsidP="00271971">
      <w:pPr>
        <w:pStyle w:val="ListParagraph"/>
        <w:numPr>
          <w:ilvl w:val="0"/>
          <w:numId w:val="4"/>
        </w:numPr>
      </w:pPr>
      <w:r>
        <w:t>Triple phosphate crystal</w:t>
      </w:r>
    </w:p>
    <w:p w:rsidR="00271971" w:rsidRDefault="00271971" w:rsidP="00271971">
      <w:pPr>
        <w:pStyle w:val="ListParagraph"/>
        <w:numPr>
          <w:ilvl w:val="0"/>
          <w:numId w:val="4"/>
        </w:numPr>
      </w:pPr>
      <w:r>
        <w:t>Uric Acid crystal</w:t>
      </w:r>
    </w:p>
    <w:p w:rsidR="00271971" w:rsidRDefault="00271971" w:rsidP="00271971">
      <w:pPr>
        <w:pStyle w:val="ListParagraph"/>
        <w:numPr>
          <w:ilvl w:val="0"/>
          <w:numId w:val="4"/>
        </w:numPr>
      </w:pPr>
      <w:r>
        <w:t>Calcium Oxalate crystal</w:t>
      </w:r>
    </w:p>
    <w:p w:rsidR="00271971" w:rsidRDefault="00271971" w:rsidP="00271971">
      <w:r>
        <w:t>Explanation:</w:t>
      </w:r>
    </w:p>
    <w:p w:rsidR="00271971" w:rsidRDefault="00271971" w:rsidP="00271971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  <w:r>
        <w:rPr>
          <w:rFonts w:ascii="ArialMT" w:hAnsi="ArialMT" w:cs="ArialMT"/>
          <w:sz w:val="20"/>
          <w:szCs w:val="20"/>
        </w:rPr>
        <w:t xml:space="preserve">Calcium oxalate crystals can have various forms. The classic form is the </w:t>
      </w:r>
      <w:proofErr w:type="spellStart"/>
      <w:r>
        <w:rPr>
          <w:rFonts w:ascii="ArialMT" w:hAnsi="ArialMT" w:cs="ArialMT"/>
          <w:sz w:val="20"/>
          <w:szCs w:val="20"/>
        </w:rPr>
        <w:t>dihydrate</w:t>
      </w:r>
      <w:proofErr w:type="spellEnd"/>
      <w:r>
        <w:rPr>
          <w:rFonts w:ascii="ArialMT" w:hAnsi="ArialMT" w:cs="ArialMT"/>
          <w:sz w:val="20"/>
          <w:szCs w:val="20"/>
        </w:rPr>
        <w:t xml:space="preserve"> form, as depicted in this</w:t>
      </w:r>
      <w:r w:rsidR="007C03C2">
        <w:rPr>
          <w:rFonts w:ascii="ArialMT" w:hAnsi="ArialMT" w:cs="ArialMT"/>
          <w:sz w:val="20"/>
          <w:szCs w:val="20"/>
        </w:rPr>
        <w:t xml:space="preserve"> </w:t>
      </w:r>
      <w:r>
        <w:rPr>
          <w:rFonts w:ascii="ArialMT" w:hAnsi="ArialMT" w:cs="ArialMT"/>
          <w:sz w:val="20"/>
          <w:szCs w:val="20"/>
        </w:rPr>
        <w:t>image, which appears as a colorless octahedron with the morphologic features of an envelope. The</w:t>
      </w:r>
    </w:p>
    <w:p w:rsidR="00271971" w:rsidRDefault="00271971" w:rsidP="00271971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  <w:proofErr w:type="gramStart"/>
      <w:r>
        <w:rPr>
          <w:rFonts w:ascii="ArialMT" w:hAnsi="ArialMT" w:cs="ArialMT"/>
          <w:sz w:val="20"/>
          <w:szCs w:val="20"/>
        </w:rPr>
        <w:t>monohydrate</w:t>
      </w:r>
      <w:proofErr w:type="gramEnd"/>
      <w:r>
        <w:rPr>
          <w:rFonts w:ascii="ArialMT" w:hAnsi="ArialMT" w:cs="ArialMT"/>
          <w:sz w:val="20"/>
          <w:szCs w:val="20"/>
        </w:rPr>
        <w:t xml:space="preserve"> form has an oval, elliptical, or dumbbell shape. Large numbers of oxalate crystals can be seen</w:t>
      </w:r>
      <w:r w:rsidR="007C03C2">
        <w:rPr>
          <w:rFonts w:ascii="ArialMT" w:hAnsi="ArialMT" w:cs="ArialMT"/>
          <w:sz w:val="20"/>
          <w:szCs w:val="20"/>
        </w:rPr>
        <w:t xml:space="preserve"> </w:t>
      </w:r>
      <w:r>
        <w:rPr>
          <w:rFonts w:ascii="ArialMT" w:hAnsi="ArialMT" w:cs="ArialMT"/>
          <w:sz w:val="20"/>
          <w:szCs w:val="20"/>
        </w:rPr>
        <w:t>in chronic renal disease, ethylene glycol (antifreeze) toxicity, or in patients who consume foods rich in oxalic</w:t>
      </w:r>
      <w:r w:rsidR="007C03C2">
        <w:rPr>
          <w:rFonts w:ascii="ArialMT" w:hAnsi="ArialMT" w:cs="ArialMT"/>
          <w:sz w:val="20"/>
          <w:szCs w:val="20"/>
        </w:rPr>
        <w:t xml:space="preserve"> </w:t>
      </w:r>
      <w:r>
        <w:rPr>
          <w:rFonts w:ascii="ArialMT" w:hAnsi="ArialMT" w:cs="ArialMT"/>
          <w:sz w:val="20"/>
          <w:szCs w:val="20"/>
        </w:rPr>
        <w:t>acid (</w:t>
      </w:r>
      <w:proofErr w:type="spellStart"/>
      <w:r>
        <w:rPr>
          <w:rFonts w:ascii="ArialMT" w:hAnsi="ArialMT" w:cs="ArialMT"/>
          <w:sz w:val="20"/>
          <w:szCs w:val="20"/>
        </w:rPr>
        <w:t>ie</w:t>
      </w:r>
      <w:proofErr w:type="spellEnd"/>
      <w:r>
        <w:rPr>
          <w:rFonts w:ascii="ArialMT" w:hAnsi="ArialMT" w:cs="ArialMT"/>
          <w:sz w:val="20"/>
          <w:szCs w:val="20"/>
        </w:rPr>
        <w:t>, tomatoes, apples, asparagus, oranges, or carbonated beverages). Calcium oxalate crystals can</w:t>
      </w:r>
      <w:r w:rsidR="007C03C2">
        <w:rPr>
          <w:rFonts w:ascii="ArialMT" w:hAnsi="ArialMT" w:cs="ArialMT"/>
          <w:sz w:val="20"/>
          <w:szCs w:val="20"/>
        </w:rPr>
        <w:t xml:space="preserve"> </w:t>
      </w:r>
      <w:r>
        <w:rPr>
          <w:rFonts w:ascii="ArialMT" w:hAnsi="ArialMT" w:cs="ArialMT"/>
          <w:sz w:val="20"/>
          <w:szCs w:val="20"/>
        </w:rPr>
        <w:t>cause renal calculi.</w:t>
      </w:r>
    </w:p>
    <w:p w:rsidR="008157B2" w:rsidRDefault="008157B2" w:rsidP="00271971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</w:p>
    <w:p w:rsidR="002C27AD" w:rsidRDefault="002C27AD" w:rsidP="00271971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</w:p>
    <w:p w:rsidR="002C27AD" w:rsidRDefault="002C27AD" w:rsidP="00271971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</w:p>
    <w:p w:rsidR="002C27AD" w:rsidRDefault="002C27AD" w:rsidP="00271971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</w:p>
    <w:p w:rsidR="002C27AD" w:rsidRDefault="002C27AD" w:rsidP="00271971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</w:p>
    <w:p w:rsidR="002C27AD" w:rsidRDefault="002C27AD" w:rsidP="00271971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</w:p>
    <w:p w:rsidR="008157B2" w:rsidRDefault="008157B2" w:rsidP="00271971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  <w:bookmarkStart w:id="0" w:name="_GoBack"/>
      <w:bookmarkEnd w:id="0"/>
      <w:r>
        <w:rPr>
          <w:rFonts w:ascii="ArialMT" w:hAnsi="ArialMT" w:cs="ArialMT"/>
          <w:sz w:val="20"/>
          <w:szCs w:val="20"/>
        </w:rPr>
        <w:lastRenderedPageBreak/>
        <w:t>5.</w:t>
      </w:r>
      <w:r>
        <w:rPr>
          <w:rFonts w:ascii="ArialMT" w:hAnsi="ArialMT" w:cs="ArialMT"/>
          <w:sz w:val="20"/>
          <w:szCs w:val="20"/>
        </w:rPr>
        <w:tab/>
        <w:t xml:space="preserve">Which of the following is not used as a control on the manual </w:t>
      </w:r>
      <w:proofErr w:type="spellStart"/>
      <w:r>
        <w:rPr>
          <w:rFonts w:ascii="ArialMT" w:hAnsi="ArialMT" w:cs="ArialMT"/>
          <w:sz w:val="20"/>
          <w:szCs w:val="20"/>
        </w:rPr>
        <w:t>refractometer</w:t>
      </w:r>
      <w:proofErr w:type="spellEnd"/>
      <w:r>
        <w:rPr>
          <w:rFonts w:ascii="ArialMT" w:hAnsi="ArialMT" w:cs="ArialMT"/>
          <w:sz w:val="20"/>
          <w:szCs w:val="20"/>
        </w:rPr>
        <w:t>?</w:t>
      </w:r>
    </w:p>
    <w:p w:rsidR="008157B2" w:rsidRDefault="008157B2" w:rsidP="00271971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</w:p>
    <w:p w:rsidR="008157B2" w:rsidRDefault="008157B2" w:rsidP="008157B2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  <w:r>
        <w:rPr>
          <w:rFonts w:ascii="ArialMT" w:hAnsi="ArialMT" w:cs="ArialMT"/>
          <w:sz w:val="20"/>
          <w:szCs w:val="20"/>
        </w:rPr>
        <w:t>Deionized Water</w:t>
      </w:r>
    </w:p>
    <w:p w:rsidR="008157B2" w:rsidRDefault="008157B2" w:rsidP="008157B2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  <w:r>
        <w:rPr>
          <w:rFonts w:ascii="ArialMT" w:hAnsi="ArialMT" w:cs="ArialMT"/>
          <w:sz w:val="20"/>
          <w:szCs w:val="20"/>
        </w:rPr>
        <w:t>Sodium Chloride Solution</w:t>
      </w:r>
    </w:p>
    <w:p w:rsidR="008157B2" w:rsidRDefault="008A27E9" w:rsidP="008157B2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  <w:proofErr w:type="spellStart"/>
      <w:r>
        <w:rPr>
          <w:rFonts w:ascii="ArialMT" w:hAnsi="ArialMT" w:cs="ArialMT"/>
          <w:sz w:val="20"/>
          <w:szCs w:val="20"/>
        </w:rPr>
        <w:t>Quantime</w:t>
      </w:r>
      <w:r w:rsidR="008157B2">
        <w:rPr>
          <w:rFonts w:ascii="ArialMT" w:hAnsi="ArialMT" w:cs="ArialMT"/>
          <w:sz w:val="20"/>
          <w:szCs w:val="20"/>
        </w:rPr>
        <w:t>trix</w:t>
      </w:r>
      <w:proofErr w:type="spellEnd"/>
      <w:r w:rsidR="008157B2">
        <w:rPr>
          <w:rFonts w:ascii="ArialMT" w:hAnsi="ArialMT" w:cs="ArialMT"/>
          <w:sz w:val="20"/>
          <w:szCs w:val="20"/>
        </w:rPr>
        <w:t xml:space="preserve"> Quality Control</w:t>
      </w:r>
    </w:p>
    <w:p w:rsidR="008157B2" w:rsidRDefault="008157B2" w:rsidP="008157B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</w:p>
    <w:p w:rsidR="008157B2" w:rsidRDefault="008157B2" w:rsidP="008157B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  <w:r>
        <w:rPr>
          <w:rFonts w:ascii="ArialMT" w:hAnsi="ArialMT" w:cs="ArialMT"/>
          <w:sz w:val="20"/>
          <w:szCs w:val="20"/>
        </w:rPr>
        <w:t>6.</w:t>
      </w:r>
      <w:r>
        <w:rPr>
          <w:rFonts w:ascii="ArialMT" w:hAnsi="ArialMT" w:cs="ArialMT"/>
          <w:sz w:val="20"/>
          <w:szCs w:val="20"/>
        </w:rPr>
        <w:tab/>
        <w:t xml:space="preserve">How should the </w:t>
      </w:r>
      <w:proofErr w:type="spellStart"/>
      <w:r>
        <w:rPr>
          <w:rFonts w:ascii="ArialMT" w:hAnsi="ArialMT" w:cs="ArialMT"/>
          <w:sz w:val="20"/>
          <w:szCs w:val="20"/>
        </w:rPr>
        <w:t>IRISpec</w:t>
      </w:r>
      <w:proofErr w:type="spellEnd"/>
      <w:r>
        <w:rPr>
          <w:rFonts w:ascii="ArialMT" w:hAnsi="ArialMT" w:cs="ArialMT"/>
          <w:sz w:val="20"/>
          <w:szCs w:val="20"/>
        </w:rPr>
        <w:t xml:space="preserve"> CA/CB controls be handled pre-analytically?</w:t>
      </w:r>
    </w:p>
    <w:p w:rsidR="008157B2" w:rsidRDefault="008157B2" w:rsidP="008157B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</w:p>
    <w:p w:rsidR="008157B2" w:rsidRDefault="008157B2" w:rsidP="008157B2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  <w:r>
        <w:rPr>
          <w:rFonts w:ascii="ArialMT" w:hAnsi="ArialMT" w:cs="ArialMT"/>
          <w:sz w:val="20"/>
          <w:szCs w:val="20"/>
        </w:rPr>
        <w:t xml:space="preserve">Bottles are allowed to warm to room temperature for 15 minutes, then </w:t>
      </w:r>
      <w:proofErr w:type="spellStart"/>
      <w:r>
        <w:rPr>
          <w:rFonts w:ascii="ArialMT" w:hAnsi="ArialMT" w:cs="ArialMT"/>
          <w:sz w:val="20"/>
          <w:szCs w:val="20"/>
        </w:rPr>
        <w:t>aliquoted</w:t>
      </w:r>
      <w:proofErr w:type="spellEnd"/>
      <w:r>
        <w:rPr>
          <w:rFonts w:ascii="ArialMT" w:hAnsi="ArialMT" w:cs="ArialMT"/>
          <w:sz w:val="20"/>
          <w:szCs w:val="20"/>
        </w:rPr>
        <w:t xml:space="preserve"> and analyzed</w:t>
      </w:r>
    </w:p>
    <w:p w:rsidR="008157B2" w:rsidRDefault="008157B2" w:rsidP="008157B2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  <w:r>
        <w:rPr>
          <w:rFonts w:ascii="ArialMT" w:hAnsi="ArialMT" w:cs="ArialMT"/>
          <w:sz w:val="20"/>
          <w:szCs w:val="20"/>
        </w:rPr>
        <w:t>2mL aliquots are warmed to room temp for 5 minutes in a drawer prior to analysis and the bottles are immediately returned to the refrigerator and stored protected from light</w:t>
      </w:r>
    </w:p>
    <w:p w:rsidR="008157B2" w:rsidRDefault="000C0B52" w:rsidP="008157B2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  <w:r>
        <w:rPr>
          <w:rFonts w:ascii="ArialMT" w:hAnsi="ArialMT" w:cs="ArialMT"/>
          <w:sz w:val="20"/>
          <w:szCs w:val="20"/>
        </w:rPr>
        <w:t>Bottles are uncapped and warmed to room temp for 5 minutes, then 2mL aliquots are analyzed</w:t>
      </w:r>
    </w:p>
    <w:p w:rsidR="000C0B52" w:rsidRDefault="000C0B52" w:rsidP="000C0B5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</w:p>
    <w:p w:rsidR="008157B2" w:rsidRDefault="000C0B52" w:rsidP="008A27E9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MT" w:hAnsi="ArialMT" w:cs="ArialMT"/>
          <w:sz w:val="20"/>
          <w:szCs w:val="20"/>
        </w:rPr>
      </w:pPr>
      <w:r>
        <w:rPr>
          <w:rFonts w:ascii="ArialMT" w:hAnsi="ArialMT" w:cs="ArialMT"/>
          <w:sz w:val="20"/>
          <w:szCs w:val="20"/>
        </w:rPr>
        <w:t>7.</w:t>
      </w:r>
      <w:r>
        <w:rPr>
          <w:rFonts w:ascii="ArialMT" w:hAnsi="ArialMT" w:cs="ArialMT"/>
          <w:sz w:val="20"/>
          <w:szCs w:val="20"/>
        </w:rPr>
        <w:tab/>
      </w:r>
      <w:r w:rsidR="008A27E9">
        <w:rPr>
          <w:rFonts w:ascii="ArialMT" w:hAnsi="ArialMT" w:cs="ArialMT"/>
          <w:sz w:val="20"/>
          <w:szCs w:val="20"/>
        </w:rPr>
        <w:t>The waste strip box on the Velocity should be pushed all the way in when reinstalling after it has been emptied.</w:t>
      </w:r>
    </w:p>
    <w:p w:rsidR="008A27E9" w:rsidRDefault="008A27E9" w:rsidP="008A27E9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MT" w:hAnsi="ArialMT" w:cs="ArialMT"/>
          <w:sz w:val="20"/>
          <w:szCs w:val="20"/>
        </w:rPr>
      </w:pPr>
    </w:p>
    <w:p w:rsidR="008A27E9" w:rsidRDefault="008A27E9" w:rsidP="008A27E9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  <w:r>
        <w:rPr>
          <w:rFonts w:ascii="ArialMT" w:hAnsi="ArialMT" w:cs="ArialMT"/>
          <w:sz w:val="20"/>
          <w:szCs w:val="20"/>
        </w:rPr>
        <w:t>True</w:t>
      </w:r>
    </w:p>
    <w:p w:rsidR="008A27E9" w:rsidRDefault="008A27E9" w:rsidP="008A27E9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  <w:r>
        <w:rPr>
          <w:rFonts w:ascii="ArialMT" w:hAnsi="ArialMT" w:cs="ArialMT"/>
          <w:sz w:val="20"/>
          <w:szCs w:val="20"/>
        </w:rPr>
        <w:t>False</w:t>
      </w:r>
    </w:p>
    <w:p w:rsidR="009B7A2E" w:rsidRDefault="009B7A2E" w:rsidP="009B7A2E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</w:p>
    <w:p w:rsidR="009B7A2E" w:rsidRDefault="009B7A2E" w:rsidP="009B7A2E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  <w:r>
        <w:rPr>
          <w:rFonts w:ascii="ArialMT" w:hAnsi="ArialMT" w:cs="ArialMT"/>
          <w:sz w:val="20"/>
          <w:szCs w:val="20"/>
        </w:rPr>
        <w:t>8.</w:t>
      </w:r>
      <w:r>
        <w:rPr>
          <w:rFonts w:ascii="ArialMT" w:hAnsi="ArialMT" w:cs="ArialMT"/>
          <w:sz w:val="20"/>
          <w:szCs w:val="20"/>
        </w:rPr>
        <w:tab/>
        <w:t>Which of the following UA GUI keyboard configurations is correct?</w:t>
      </w:r>
    </w:p>
    <w:p w:rsidR="009B7A2E" w:rsidRDefault="009B7A2E" w:rsidP="009B7A2E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</w:p>
    <w:p w:rsidR="009B7A2E" w:rsidRDefault="009B7A2E" w:rsidP="009B7A2E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  <w:r>
        <w:rPr>
          <w:rFonts w:ascii="ArialMT" w:hAnsi="ArialMT" w:cs="ArialMT"/>
          <w:sz w:val="20"/>
          <w:szCs w:val="20"/>
        </w:rPr>
        <w:t xml:space="preserve">LMCIRS – </w:t>
      </w:r>
      <w:proofErr w:type="spellStart"/>
      <w:r>
        <w:rPr>
          <w:rFonts w:ascii="ArialMT" w:hAnsi="ArialMT" w:cs="ArialMT"/>
          <w:sz w:val="20"/>
          <w:szCs w:val="20"/>
        </w:rPr>
        <w:t>Clinitek</w:t>
      </w:r>
      <w:proofErr w:type="spellEnd"/>
      <w:r>
        <w:rPr>
          <w:rFonts w:ascii="ArialMT" w:hAnsi="ArialMT" w:cs="ArialMT"/>
          <w:sz w:val="20"/>
          <w:szCs w:val="20"/>
        </w:rPr>
        <w:t xml:space="preserve"> dipstick with manual microscopy</w:t>
      </w:r>
    </w:p>
    <w:p w:rsidR="009B7A2E" w:rsidRDefault="009B7A2E" w:rsidP="009B7A2E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  <w:r>
        <w:rPr>
          <w:rFonts w:ascii="ArialMT" w:hAnsi="ArialMT" w:cs="ArialMT"/>
          <w:sz w:val="20"/>
          <w:szCs w:val="20"/>
        </w:rPr>
        <w:t>LMCMAN – IRIS dipstick with manual microscopy</w:t>
      </w:r>
    </w:p>
    <w:p w:rsidR="009B7A2E" w:rsidRDefault="009B7A2E" w:rsidP="009B7A2E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  <w:r>
        <w:rPr>
          <w:rFonts w:ascii="ArialMT" w:hAnsi="ArialMT" w:cs="ArialMT"/>
          <w:sz w:val="20"/>
          <w:szCs w:val="20"/>
        </w:rPr>
        <w:t xml:space="preserve">LMCIRS – </w:t>
      </w:r>
      <w:proofErr w:type="spellStart"/>
      <w:r>
        <w:rPr>
          <w:rFonts w:ascii="ArialMT" w:hAnsi="ArialMT" w:cs="ArialMT"/>
          <w:sz w:val="20"/>
          <w:szCs w:val="20"/>
        </w:rPr>
        <w:t>Clinitek</w:t>
      </w:r>
      <w:proofErr w:type="spellEnd"/>
      <w:r>
        <w:rPr>
          <w:rFonts w:ascii="ArialMT" w:hAnsi="ArialMT" w:cs="ArialMT"/>
          <w:sz w:val="20"/>
          <w:szCs w:val="20"/>
        </w:rPr>
        <w:t xml:space="preserve"> dipstick with IRIS iQ200 microscopy</w:t>
      </w:r>
    </w:p>
    <w:p w:rsidR="009B7A2E" w:rsidRDefault="009B7A2E" w:rsidP="009B7A2E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  <w:r>
        <w:rPr>
          <w:rFonts w:ascii="ArialMT" w:hAnsi="ArialMT" w:cs="ArialMT"/>
          <w:sz w:val="20"/>
          <w:szCs w:val="20"/>
        </w:rPr>
        <w:t>LMCIRS – IRIS dipstick with IRIS iQ200 microscopy</w:t>
      </w:r>
    </w:p>
    <w:p w:rsidR="009B7A2E" w:rsidRPr="009B7A2E" w:rsidRDefault="009B7A2E" w:rsidP="009B7A2E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</w:p>
    <w:p w:rsidR="008157B2" w:rsidRDefault="008157B2" w:rsidP="00271971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</w:p>
    <w:p w:rsidR="00271971" w:rsidRPr="00271971" w:rsidRDefault="00271971" w:rsidP="00271971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</w:p>
    <w:sectPr w:rsidR="00271971" w:rsidRPr="002719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F4A02"/>
    <w:multiLevelType w:val="hybridMultilevel"/>
    <w:tmpl w:val="EC3436D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681A4C"/>
    <w:multiLevelType w:val="hybridMultilevel"/>
    <w:tmpl w:val="8D82452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F63D18"/>
    <w:multiLevelType w:val="hybridMultilevel"/>
    <w:tmpl w:val="38A0E38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E142C1"/>
    <w:multiLevelType w:val="hybridMultilevel"/>
    <w:tmpl w:val="EE0CF2E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B63C65"/>
    <w:multiLevelType w:val="hybridMultilevel"/>
    <w:tmpl w:val="48FC38F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551F17"/>
    <w:multiLevelType w:val="hybridMultilevel"/>
    <w:tmpl w:val="723CF71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C02763"/>
    <w:multiLevelType w:val="hybridMultilevel"/>
    <w:tmpl w:val="5C0A71E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6B3695"/>
    <w:multiLevelType w:val="hybridMultilevel"/>
    <w:tmpl w:val="4762DB0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4"/>
  </w:num>
  <w:num w:numId="5">
    <w:abstractNumId w:val="7"/>
  </w:num>
  <w:num w:numId="6">
    <w:abstractNumId w:val="2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57F"/>
    <w:rsid w:val="000C0B52"/>
    <w:rsid w:val="00192415"/>
    <w:rsid w:val="00271971"/>
    <w:rsid w:val="002C27AD"/>
    <w:rsid w:val="00367CCD"/>
    <w:rsid w:val="006F757F"/>
    <w:rsid w:val="007C03C2"/>
    <w:rsid w:val="008157B2"/>
    <w:rsid w:val="008A27E9"/>
    <w:rsid w:val="009B7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75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757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7197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75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757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719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5FEE14-8948-4877-B6DB-728FBE30EE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753</Words>
  <Characters>4297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SCLHS</Company>
  <LinksUpToDate>false</LinksUpToDate>
  <CharactersWithSpaces>5040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Hester, Constance</dc:creator>
  <cp:lastModifiedBy>Hester, Constance</cp:lastModifiedBy>
  <cp:revision>9</cp:revision>
  <dcterms:created xsi:type="dcterms:W3CDTF">2015-03-24T12:46:00Z</dcterms:created>
  <dcterms:modified xsi:type="dcterms:W3CDTF">2015-03-25T14:13:00Z</dcterms:modified>
</cp:coreProperties>
</file>