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61" w:rsidRPr="005A5761" w:rsidRDefault="005A5293" w:rsidP="005A5761">
      <w:pPr>
        <w:jc w:val="right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CASE STUDY 3</w:t>
      </w:r>
    </w:p>
    <w:p w:rsidR="005A5761" w:rsidRDefault="009076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2E74B5" w:themeColor="accent1" w:themeShade="BF"/>
        </w:rPr>
        <w:pict>
          <v:rect id="_x0000_i1025" style="width:0;height:1.5pt" o:hralign="center" o:hrstd="t" o:hr="t" fillcolor="#a0a0a0" stroked="f"/>
        </w:pict>
      </w:r>
    </w:p>
    <w:p w:rsidR="009018EF" w:rsidRDefault="009018EF">
      <w:pPr>
        <w:rPr>
          <w:rFonts w:ascii="Arial" w:hAnsi="Arial" w:cs="Arial"/>
          <w:b/>
          <w:sz w:val="24"/>
          <w:szCs w:val="24"/>
        </w:rPr>
      </w:pPr>
      <w:r w:rsidRPr="009018EF">
        <w:rPr>
          <w:rFonts w:ascii="Arial" w:hAnsi="Arial" w:cs="Arial"/>
          <w:b/>
          <w:sz w:val="24"/>
          <w:szCs w:val="24"/>
        </w:rPr>
        <w:t>Initial Data:</w:t>
      </w:r>
    </w:p>
    <w:p w:rsidR="009018EF" w:rsidRDefault="005A5293">
      <w:pPr>
        <w:rPr>
          <w:rFonts w:ascii="Arial" w:hAnsi="Arial" w:cs="Arial"/>
        </w:rPr>
      </w:pPr>
      <w:r>
        <w:rPr>
          <w:rFonts w:ascii="Arial" w:hAnsi="Arial" w:cs="Arial"/>
        </w:rPr>
        <w:t>Best Friend (BF), a 37-year-old male, is scheduled for a same-day surgical procedure for hernia repair.  He has no history of significant medical problems, with the exception of injuries received during his service in the military.  He was given 6 units of blood following a land mine explosion 4 years ago.  At that time, his transfusions were uneventful.</w:t>
      </w:r>
    </w:p>
    <w:p w:rsidR="005A5293" w:rsidRDefault="005A5293">
      <w:pPr>
        <w:rPr>
          <w:rFonts w:ascii="Arial" w:hAnsi="Arial" w:cs="Arial"/>
        </w:rPr>
      </w:pPr>
    </w:p>
    <w:p w:rsidR="005A5293" w:rsidRDefault="005A5293">
      <w:pPr>
        <w:rPr>
          <w:rFonts w:ascii="Arial" w:hAnsi="Arial" w:cs="Arial"/>
        </w:rPr>
      </w:pPr>
      <w:r>
        <w:rPr>
          <w:rFonts w:ascii="Arial" w:hAnsi="Arial" w:cs="Arial"/>
        </w:rPr>
        <w:t>A sample for “type and screen” was sent to the laboratory on the morning of the procedure.  The following results were obtained.</w:t>
      </w:r>
    </w:p>
    <w:p w:rsidR="005F6F49" w:rsidRDefault="005F6F49">
      <w:pPr>
        <w:rPr>
          <w:rFonts w:ascii="Arial" w:hAnsi="Arial" w:cs="Arial"/>
        </w:rPr>
      </w:pPr>
    </w:p>
    <w:p w:rsidR="005F6F49" w:rsidRDefault="005F6F49" w:rsidP="005F6F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ABO and RH Typing:</w:t>
      </w:r>
    </w:p>
    <w:tbl>
      <w:tblPr>
        <w:tblStyle w:val="TableGrid"/>
        <w:tblW w:w="9000" w:type="dxa"/>
        <w:tblInd w:w="1165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1440"/>
        <w:gridCol w:w="1440"/>
      </w:tblGrid>
      <w:tr w:rsidR="005F6F49" w:rsidTr="009F3744">
        <w:trPr>
          <w:trHeight w:val="360"/>
        </w:trPr>
        <w:tc>
          <w:tcPr>
            <w:tcW w:w="6120" w:type="dxa"/>
            <w:gridSpan w:val="3"/>
            <w:shd w:val="clear" w:color="auto" w:fill="D9D9D9" w:themeFill="background1" w:themeFillShade="D9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</w:rPr>
            </w:pPr>
            <w:r w:rsidRPr="00DE740E">
              <w:rPr>
                <w:rFonts w:ascii="Arial" w:hAnsi="Arial" w:cs="Arial"/>
                <w:b/>
              </w:rPr>
              <w:t>Forward (Cell) Typing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:rsidR="005F6F49" w:rsidRPr="00DE740E" w:rsidRDefault="005F6F49" w:rsidP="009F3744">
            <w:pPr>
              <w:rPr>
                <w:rFonts w:ascii="Arial" w:hAnsi="Arial" w:cs="Arial"/>
                <w:b/>
              </w:rPr>
            </w:pPr>
            <w:r w:rsidRPr="00DE740E">
              <w:rPr>
                <w:rFonts w:ascii="Arial" w:hAnsi="Arial" w:cs="Arial"/>
                <w:b/>
              </w:rPr>
              <w:t>Reverse (Serum) Typing</w:t>
            </w:r>
          </w:p>
        </w:tc>
      </w:tr>
      <w:tr w:rsidR="005F6F49" w:rsidTr="009F3744">
        <w:trPr>
          <w:trHeight w:val="360"/>
        </w:trPr>
        <w:tc>
          <w:tcPr>
            <w:tcW w:w="20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Anti-A</w:t>
            </w:r>
          </w:p>
        </w:tc>
        <w:tc>
          <w:tcPr>
            <w:tcW w:w="20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Anti-B</w:t>
            </w:r>
          </w:p>
        </w:tc>
        <w:tc>
          <w:tcPr>
            <w:tcW w:w="20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Anti-D</w:t>
            </w:r>
          </w:p>
        </w:tc>
        <w:tc>
          <w:tcPr>
            <w:tcW w:w="14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A1 Cells</w:t>
            </w:r>
          </w:p>
        </w:tc>
        <w:tc>
          <w:tcPr>
            <w:tcW w:w="14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Cells</w:t>
            </w:r>
          </w:p>
        </w:tc>
      </w:tr>
      <w:tr w:rsidR="005F6F49" w:rsidTr="009F3744">
        <w:trPr>
          <w:trHeight w:val="360"/>
        </w:trPr>
        <w:tc>
          <w:tcPr>
            <w:tcW w:w="20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  <w:tc>
          <w:tcPr>
            <w:tcW w:w="14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  <w:tc>
          <w:tcPr>
            <w:tcW w:w="14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</w:tr>
    </w:tbl>
    <w:p w:rsidR="005F6F49" w:rsidRDefault="005F6F49">
      <w:pPr>
        <w:rPr>
          <w:rFonts w:ascii="Arial" w:hAnsi="Arial" w:cs="Arial"/>
        </w:rPr>
      </w:pPr>
    </w:p>
    <w:p w:rsidR="005320C0" w:rsidRPr="00116717" w:rsidRDefault="005320C0">
      <w:pPr>
        <w:rPr>
          <w:rFonts w:ascii="Arial" w:hAnsi="Arial" w:cs="Arial"/>
        </w:rPr>
      </w:pPr>
    </w:p>
    <w:p w:rsidR="00116717" w:rsidRPr="005320C0" w:rsidRDefault="005320C0">
      <w:pPr>
        <w:rPr>
          <w:rFonts w:ascii="Arial" w:hAnsi="Arial" w:cs="Arial"/>
          <w:b/>
        </w:rPr>
      </w:pPr>
      <w:r w:rsidRPr="005320C0">
        <w:rPr>
          <w:rFonts w:ascii="Arial" w:hAnsi="Arial" w:cs="Arial"/>
          <w:b/>
        </w:rPr>
        <w:t xml:space="preserve">  Antibody Detection Test (Screen):</w:t>
      </w:r>
      <w:bookmarkStart w:id="0" w:name="_GoBack"/>
      <w:bookmarkEnd w:id="0"/>
    </w:p>
    <w:tbl>
      <w:tblPr>
        <w:tblStyle w:val="TableGrid"/>
        <w:tblW w:w="9990" w:type="dxa"/>
        <w:tblInd w:w="175" w:type="dxa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57"/>
        <w:gridCol w:w="354"/>
        <w:gridCol w:w="354"/>
        <w:gridCol w:w="351"/>
        <w:gridCol w:w="396"/>
        <w:gridCol w:w="381"/>
        <w:gridCol w:w="373"/>
        <w:gridCol w:w="361"/>
        <w:gridCol w:w="511"/>
        <w:gridCol w:w="511"/>
        <w:gridCol w:w="422"/>
        <w:gridCol w:w="511"/>
        <w:gridCol w:w="511"/>
        <w:gridCol w:w="367"/>
        <w:gridCol w:w="368"/>
        <w:gridCol w:w="511"/>
        <w:gridCol w:w="511"/>
        <w:gridCol w:w="489"/>
        <w:gridCol w:w="489"/>
        <w:gridCol w:w="773"/>
      </w:tblGrid>
      <w:tr w:rsidR="005320C0" w:rsidTr="005320C0">
        <w:trPr>
          <w:trHeight w:val="360"/>
        </w:trPr>
        <w:tc>
          <w:tcPr>
            <w:tcW w:w="363" w:type="dxa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6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RH</w:t>
            </w:r>
          </w:p>
        </w:tc>
        <w:tc>
          <w:tcPr>
            <w:tcW w:w="1511" w:type="dxa"/>
            <w:gridSpan w:val="4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MNS</w:t>
            </w:r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LU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Lewis</w:t>
            </w:r>
          </w:p>
        </w:tc>
        <w:tc>
          <w:tcPr>
            <w:tcW w:w="735" w:type="dxa"/>
            <w:gridSpan w:val="2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Kell</w:t>
            </w:r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Duffy</w:t>
            </w:r>
          </w:p>
        </w:tc>
        <w:tc>
          <w:tcPr>
            <w:tcW w:w="978" w:type="dxa"/>
            <w:gridSpan w:val="2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Kidd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A03">
              <w:rPr>
                <w:rFonts w:ascii="Arial" w:hAnsi="Arial" w:cs="Arial"/>
                <w:b/>
                <w:sz w:val="18"/>
                <w:szCs w:val="18"/>
              </w:rPr>
              <w:t>Gel Test</w:t>
            </w:r>
          </w:p>
        </w:tc>
      </w:tr>
      <w:tr w:rsidR="005320C0" w:rsidTr="005320C0">
        <w:trPr>
          <w:trHeight w:val="360"/>
        </w:trPr>
        <w:tc>
          <w:tcPr>
            <w:tcW w:w="363" w:type="dxa"/>
            <w:vAlign w:val="center"/>
          </w:tcPr>
          <w:p w:rsidR="005320C0" w:rsidRDefault="005320C0" w:rsidP="009F37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36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57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54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54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51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396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8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73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Pr="00DE740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Pr="00DE740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2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E740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Pr="00672A03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Pr="00672A03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67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68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11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Fy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1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Fy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89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Jk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89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Jk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73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A03">
              <w:rPr>
                <w:rFonts w:ascii="Arial" w:hAnsi="Arial" w:cs="Arial"/>
                <w:b/>
                <w:sz w:val="20"/>
                <w:szCs w:val="20"/>
              </w:rPr>
              <w:t>IAT</w:t>
            </w:r>
          </w:p>
        </w:tc>
      </w:tr>
      <w:tr w:rsidR="005320C0" w:rsidTr="005320C0">
        <w:trPr>
          <w:trHeight w:val="360"/>
        </w:trPr>
        <w:tc>
          <w:tcPr>
            <w:tcW w:w="36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4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4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1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1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22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5320C0" w:rsidRPr="00672A03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7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68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73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A03">
              <w:rPr>
                <w:rFonts w:ascii="Arial" w:hAnsi="Arial" w:cs="Arial"/>
                <w:b/>
                <w:sz w:val="20"/>
                <w:szCs w:val="20"/>
              </w:rPr>
              <w:t>2+</w:t>
            </w:r>
          </w:p>
        </w:tc>
      </w:tr>
      <w:tr w:rsidR="005320C0" w:rsidTr="005320C0">
        <w:trPr>
          <w:trHeight w:val="360"/>
        </w:trPr>
        <w:tc>
          <w:tcPr>
            <w:tcW w:w="36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4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4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22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67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89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89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A03"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</w:tr>
    </w:tbl>
    <w:p w:rsidR="005A5293" w:rsidRDefault="005A5293"/>
    <w:p w:rsidR="00116717" w:rsidRDefault="00116717" w:rsidP="0011671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BF’s ABO type?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Group O.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Group A.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Group B.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Group AB.</w:t>
      </w:r>
    </w:p>
    <w:p w:rsidR="00116717" w:rsidRDefault="00116717" w:rsidP="0011671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116717">
        <w:rPr>
          <w:rFonts w:ascii="Arial" w:hAnsi="Arial" w:cs="Arial"/>
          <w:b/>
        </w:rPr>
        <w:t>What is BF’s RH type?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D+.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D-.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Weak D+.</w:t>
      </w:r>
    </w:p>
    <w:p w:rsidR="00116717" w:rsidRPr="005320C0" w:rsidRDefault="00116717" w:rsidP="005320C0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Cannot determine with the data provided.</w:t>
      </w:r>
    </w:p>
    <w:p w:rsidR="00116717" w:rsidRDefault="00116717" w:rsidP="0011671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Given the results of the antibody detection test, what hypothesis can be developed?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One or more alloantibodies are present.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One or more autoantibodies are present.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Both A and B are potential solutions.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Neither A nor B is supported by the evidence.</w:t>
      </w:r>
    </w:p>
    <w:p w:rsidR="00116717" w:rsidRPr="00116717" w:rsidRDefault="00116717" w:rsidP="00116717">
      <w:pPr>
        <w:pStyle w:val="ListParagraph"/>
        <w:spacing w:line="360" w:lineRule="auto"/>
        <w:ind w:left="1440"/>
        <w:rPr>
          <w:rFonts w:ascii="Arial" w:hAnsi="Arial" w:cs="Arial"/>
          <w:b/>
        </w:rPr>
      </w:pPr>
    </w:p>
    <w:p w:rsidR="00116717" w:rsidRDefault="00116717" w:rsidP="0011671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Given the initial serologic findings, what should the CLS do next?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Perform an eluate on the patient’s cells.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Report the findings and do no further testing.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Crossmatch 2 units of group O Red Blood Cells.</w:t>
      </w:r>
    </w:p>
    <w:p w:rsidR="00116717" w:rsidRPr="005F6F49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Test an antibody identification panel.</w:t>
      </w:r>
    </w:p>
    <w:p w:rsidR="005F6F49" w:rsidRPr="005F6F49" w:rsidRDefault="005F6F49" w:rsidP="005F6F49">
      <w:pPr>
        <w:spacing w:line="360" w:lineRule="auto"/>
        <w:rPr>
          <w:rFonts w:ascii="Arial" w:hAnsi="Arial" w:cs="Arial"/>
          <w:b/>
        </w:rPr>
      </w:pPr>
    </w:p>
    <w:p w:rsidR="005F6F49" w:rsidRPr="005F6F49" w:rsidRDefault="005F6F49" w:rsidP="005F6F49">
      <w:pPr>
        <w:spacing w:line="360" w:lineRule="auto"/>
        <w:rPr>
          <w:rFonts w:ascii="Arial" w:hAnsi="Arial" w:cs="Arial"/>
          <w:b/>
        </w:rPr>
      </w:pPr>
      <w:r w:rsidRPr="00967397">
        <w:rPr>
          <w:noProof/>
        </w:rPr>
        <w:drawing>
          <wp:inline distT="0" distB="0" distL="0" distR="0" wp14:anchorId="40B6605B" wp14:editId="2F9B4FF9">
            <wp:extent cx="5943600" cy="27730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3" t="7807" r="4957" b="62822"/>
                    <a:stretch/>
                  </pic:blipFill>
                  <pic:spPr bwMode="auto">
                    <a:xfrm>
                      <a:off x="0" y="0"/>
                      <a:ext cx="5943600" cy="277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DEB" w:rsidRDefault="00C91DEB" w:rsidP="00C91DEB">
      <w:pPr>
        <w:spacing w:line="360" w:lineRule="auto"/>
        <w:rPr>
          <w:rFonts w:ascii="Arial" w:hAnsi="Arial" w:cs="Arial"/>
          <w:b/>
        </w:rPr>
      </w:pPr>
    </w:p>
    <w:p w:rsidR="00DB6F95" w:rsidRDefault="00DB6F95" w:rsidP="00C91DEB">
      <w:pPr>
        <w:spacing w:line="360" w:lineRule="auto"/>
        <w:rPr>
          <w:rFonts w:ascii="Arial" w:hAnsi="Arial" w:cs="Arial"/>
          <w:b/>
        </w:rPr>
      </w:pPr>
    </w:p>
    <w:p w:rsidR="00DB6F95" w:rsidRDefault="00DB6F95" w:rsidP="00C91DEB">
      <w:pPr>
        <w:spacing w:line="360" w:lineRule="auto"/>
        <w:rPr>
          <w:rFonts w:ascii="Arial" w:hAnsi="Arial" w:cs="Arial"/>
          <w:b/>
        </w:rPr>
      </w:pPr>
    </w:p>
    <w:p w:rsidR="00DB6F95" w:rsidRDefault="00DB6F95" w:rsidP="00C91DEB">
      <w:pPr>
        <w:spacing w:line="360" w:lineRule="auto"/>
        <w:rPr>
          <w:rFonts w:ascii="Arial" w:hAnsi="Arial" w:cs="Arial"/>
          <w:b/>
        </w:rPr>
      </w:pPr>
    </w:p>
    <w:p w:rsidR="00DB6F95" w:rsidRDefault="00DB6F95" w:rsidP="00C91DEB">
      <w:pPr>
        <w:spacing w:line="360" w:lineRule="auto"/>
        <w:rPr>
          <w:rFonts w:ascii="Arial" w:hAnsi="Arial" w:cs="Arial"/>
          <w:b/>
        </w:rPr>
      </w:pPr>
    </w:p>
    <w:p w:rsidR="00DB6F95" w:rsidRDefault="00DB6F95" w:rsidP="00C91DEB">
      <w:pPr>
        <w:spacing w:line="360" w:lineRule="auto"/>
        <w:rPr>
          <w:rFonts w:ascii="Arial" w:hAnsi="Arial" w:cs="Arial"/>
          <w:b/>
        </w:rPr>
      </w:pPr>
    </w:p>
    <w:p w:rsidR="00DB6F95" w:rsidRDefault="00DB6F95" w:rsidP="00C91DE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Laboratory Protocol:</w:t>
      </w:r>
    </w:p>
    <w:p w:rsidR="00DB6F95" w:rsidRDefault="00DB6F95" w:rsidP="00DB6F9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following antibodies can be initially ruled out </w:t>
      </w:r>
      <w:r w:rsidRPr="00653E36">
        <w:rPr>
          <w:rFonts w:ascii="Arial" w:hAnsi="Arial" w:cs="Arial"/>
          <w:b/>
        </w:rPr>
        <w:t>ONLY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if the patient’s serum is </w:t>
      </w:r>
      <w:r w:rsidRPr="00653E36">
        <w:rPr>
          <w:rFonts w:ascii="Arial" w:hAnsi="Arial" w:cs="Arial"/>
          <w:b/>
        </w:rPr>
        <w:t>NOT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reactive with the panel cells that have a double dose of the antigen: </w:t>
      </w:r>
      <w:r>
        <w:rPr>
          <w:rFonts w:ascii="Arial" w:hAnsi="Arial" w:cs="Arial"/>
          <w:b/>
        </w:rPr>
        <w:t xml:space="preserve">anti-C, -c, -E, -M, -N, -S, -s, -Fya, -Fyb,   -Jka, </w:t>
      </w:r>
      <w:r w:rsidRPr="00653E36">
        <w:rPr>
          <w:rFonts w:ascii="Arial" w:hAnsi="Arial" w:cs="Arial"/>
        </w:rPr>
        <w:t>and</w:t>
      </w:r>
      <w:r>
        <w:rPr>
          <w:rFonts w:ascii="Arial" w:hAnsi="Arial" w:cs="Arial"/>
          <w:b/>
        </w:rPr>
        <w:t xml:space="preserve"> -Jkb.</w:t>
      </w:r>
    </w:p>
    <w:p w:rsidR="00DB6F95" w:rsidRDefault="00DB6F95" w:rsidP="00DB6F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Other antibodies listed on the antigen matrix can be initially ruled out if the patient’s serum is </w:t>
      </w:r>
      <w:r w:rsidRPr="00653E36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 reactive with the panel cells that are positive for the corresponding antigen.  Keep in mind that weakly reactive antibodies may not be reactive with all antigen-positive cells.</w:t>
      </w:r>
    </w:p>
    <w:p w:rsidR="00DB6F95" w:rsidRPr="00653E36" w:rsidRDefault="00DB6F95" w:rsidP="00DB6F9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any of the following antibodies are </w:t>
      </w:r>
      <w:r w:rsidRPr="00653E36">
        <w:rPr>
          <w:rFonts w:ascii="Arial" w:hAnsi="Arial" w:cs="Arial"/>
          <w:b/>
        </w:rPr>
        <w:t>NOT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ruled out using the initial screen and panel results, additional cells must be tested to provide data for rule-out decisions: </w:t>
      </w:r>
      <w:r>
        <w:rPr>
          <w:rFonts w:ascii="Arial" w:hAnsi="Arial" w:cs="Arial"/>
          <w:b/>
        </w:rPr>
        <w:t>anti-D, -C, -c, -E, -e, -M,       -N, -S, -s, -Lea, -Leb, -K, -k, -Fya, -Fyb, -Jka, -Jkb, and -P1.</w:t>
      </w:r>
    </w:p>
    <w:p w:rsidR="00DB6F95" w:rsidRPr="00DB6F95" w:rsidRDefault="00DB6F95" w:rsidP="00DB6F95">
      <w:pPr>
        <w:spacing w:line="276" w:lineRule="auto"/>
        <w:rPr>
          <w:rFonts w:ascii="Arial" w:hAnsi="Arial" w:cs="Arial"/>
        </w:rPr>
      </w:pPr>
    </w:p>
    <w:p w:rsidR="00C91DEB" w:rsidRDefault="00C91DEB" w:rsidP="00C91DE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Based on the antibody identification test results and the laboratory rule-out criteria listed above, which of the following cells would rule out anti-c?</w:t>
      </w: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Cell 3.</w:t>
      </w: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Cell 5.</w:t>
      </w: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Cell 7.</w:t>
      </w: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Cell 9.</w:t>
      </w:r>
    </w:p>
    <w:p w:rsidR="00C91DEB" w:rsidRPr="00C91DEB" w:rsidRDefault="00C91DEB" w:rsidP="00C91DEB">
      <w:pPr>
        <w:spacing w:line="360" w:lineRule="auto"/>
        <w:rPr>
          <w:rFonts w:ascii="Arial" w:hAnsi="Arial" w:cs="Arial"/>
          <w:b/>
        </w:rPr>
      </w:pPr>
      <w:r w:rsidRPr="003B5FE1">
        <w:rPr>
          <w:noProof/>
        </w:rPr>
        <w:drawing>
          <wp:inline distT="0" distB="0" distL="0" distR="0" wp14:anchorId="3765ED54" wp14:editId="5C4E8B87">
            <wp:extent cx="5943600" cy="1269096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1" t="19706" r="10086" b="68519"/>
                    <a:stretch/>
                  </pic:blipFill>
                  <pic:spPr bwMode="auto">
                    <a:xfrm>
                      <a:off x="0" y="0"/>
                      <a:ext cx="5943600" cy="126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DEB" w:rsidRDefault="00C91DEB" w:rsidP="00C91DE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there are no cells on this panel that have a double does of the K antigen.  Which of the following statements is true regarding the K+k- phenotype?</w:t>
      </w: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Although the phenotype is not represented on this antibody identification panel, it is fairly common in the population.</w:t>
      </w:r>
    </w:p>
    <w:p w:rsidR="00C91DEB" w:rsidRPr="00C91DEB" w:rsidRDefault="00C91DEB" w:rsidP="00C91DEB">
      <w:pPr>
        <w:pStyle w:val="ListParagraph"/>
        <w:spacing w:line="240" w:lineRule="auto"/>
        <w:ind w:left="1440"/>
        <w:rPr>
          <w:rFonts w:ascii="Arial" w:hAnsi="Arial" w:cs="Arial"/>
          <w:b/>
        </w:rPr>
      </w:pP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The phenotype occurs in about 50%of the population.</w:t>
      </w: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The phenotype is uncommon but does occur in about 10% of the population.</w:t>
      </w:r>
    </w:p>
    <w:p w:rsidR="00C91DEB" w:rsidRPr="00DB6F95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The phenotype is rare due to the high prevalence of the k antigen in the population.</w:t>
      </w:r>
    </w:p>
    <w:p w:rsidR="00DB6F95" w:rsidRDefault="00DB6F95" w:rsidP="00DB6F95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DB6F95" w:rsidRDefault="00DB6F95" w:rsidP="00DB6F95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DB6F95" w:rsidRPr="00C91DEB" w:rsidRDefault="00DB6F95" w:rsidP="00DB6F95">
      <w:pPr>
        <w:pStyle w:val="ListParagraph"/>
        <w:spacing w:line="360" w:lineRule="auto"/>
        <w:ind w:left="1440"/>
        <w:rPr>
          <w:rFonts w:ascii="Arial" w:hAnsi="Arial" w:cs="Arial"/>
          <w:b/>
        </w:rPr>
      </w:pPr>
    </w:p>
    <w:p w:rsidR="00C91DEB" w:rsidRDefault="00C91DEB" w:rsidP="00C91DEB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Given the results of the antibody detection and antibody identification testing, what is/are the most likely antibody (ies) present in BF’s serum?</w:t>
      </w:r>
    </w:p>
    <w:p w:rsidR="00DB6F95" w:rsidRDefault="00DB6F95" w:rsidP="00DB6F95">
      <w:pPr>
        <w:pStyle w:val="ListParagraph"/>
        <w:spacing w:line="240" w:lineRule="auto"/>
        <w:rPr>
          <w:rFonts w:ascii="Arial" w:hAnsi="Arial" w:cs="Arial"/>
          <w:b/>
        </w:rPr>
      </w:pP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Anti-C and anti-E.</w:t>
      </w: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Anti-E and anti-K.</w:t>
      </w: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Anti-C and anti-K.</w:t>
      </w:r>
    </w:p>
    <w:p w:rsidR="00C91DEB" w:rsidRPr="00DB6F95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Anti-E only.</w:t>
      </w:r>
    </w:p>
    <w:p w:rsidR="00DB6F95" w:rsidRPr="00C91DEB" w:rsidRDefault="00DB6F95" w:rsidP="00DB6F95">
      <w:pPr>
        <w:pStyle w:val="ListParagraph"/>
        <w:spacing w:line="360" w:lineRule="auto"/>
        <w:ind w:left="1440"/>
        <w:rPr>
          <w:rFonts w:ascii="Arial" w:hAnsi="Arial" w:cs="Arial"/>
          <w:b/>
        </w:rPr>
      </w:pPr>
    </w:p>
    <w:p w:rsidR="00C91DEB" w:rsidRDefault="00C91DEB" w:rsidP="00C91DE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many additional cells must be tested to meet the “3+3 rule” for anti-E?</w:t>
      </w:r>
    </w:p>
    <w:p w:rsidR="00C91DEB" w:rsidRPr="00500695" w:rsidRDefault="00500695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0</w:t>
      </w:r>
    </w:p>
    <w:p w:rsidR="00500695" w:rsidRPr="00500695" w:rsidRDefault="00500695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</w:p>
    <w:p w:rsidR="00500695" w:rsidRPr="00500695" w:rsidRDefault="00500695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</w:p>
    <w:p w:rsidR="00500695" w:rsidRPr="00500695" w:rsidRDefault="00500695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</w:p>
    <w:p w:rsidR="00500695" w:rsidRDefault="00DB6F95" w:rsidP="00DB6F95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Given the combined results of the antibody detection and antibody identification tests, which of the following antibodies has NOT been ruled out?</w:t>
      </w:r>
    </w:p>
    <w:p w:rsidR="00DB6F95" w:rsidRDefault="00DB6F95" w:rsidP="00DB6F95">
      <w:pPr>
        <w:pStyle w:val="ListParagraph"/>
        <w:spacing w:line="240" w:lineRule="auto"/>
        <w:rPr>
          <w:rFonts w:ascii="Arial" w:hAnsi="Arial" w:cs="Arial"/>
          <w:b/>
        </w:rPr>
      </w:pPr>
    </w:p>
    <w:p w:rsidR="00DB6F95" w:rsidRPr="00DB6F95" w:rsidRDefault="00DB6F95" w:rsidP="00DB6F9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Anti-C.</w:t>
      </w:r>
    </w:p>
    <w:p w:rsidR="00DB6F95" w:rsidRPr="00DB6F95" w:rsidRDefault="00DB6F95" w:rsidP="00DB6F9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Anti-M.</w:t>
      </w:r>
    </w:p>
    <w:p w:rsidR="00DB6F95" w:rsidRPr="00DB6F95" w:rsidRDefault="00DB6F95" w:rsidP="00DB6F9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Anti-Fya.</w:t>
      </w:r>
    </w:p>
    <w:p w:rsidR="00DB6F95" w:rsidRPr="00DB6F95" w:rsidRDefault="00DB6F95" w:rsidP="00DB6F9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None of the above.</w:t>
      </w:r>
    </w:p>
    <w:p w:rsidR="00DB6F95" w:rsidRPr="00DB6F95" w:rsidRDefault="00DB6F95" w:rsidP="00DB6F95">
      <w:pPr>
        <w:pStyle w:val="ListParagraph"/>
        <w:spacing w:line="360" w:lineRule="auto"/>
        <w:ind w:left="1440"/>
        <w:rPr>
          <w:rFonts w:ascii="Arial" w:hAnsi="Arial" w:cs="Arial"/>
          <w:b/>
        </w:rPr>
      </w:pPr>
    </w:p>
    <w:p w:rsidR="00DB6F95" w:rsidRDefault="00DB6F95" w:rsidP="00DB6F95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It is the policy of this laboratory to identify two antigen-negative units for patient with antibodies, even if the original order was for type and screen only.  There are 30 group O+ units in the laboratory’s inventory.  The antigen frequencies are E antigen = 30% and K antigen = 9%.  APPROXIMATELY how many of these units would be expected to be negative for the antigens to the antibodies that have been identified?</w:t>
      </w:r>
    </w:p>
    <w:p w:rsidR="00DB6F95" w:rsidRDefault="00DB6F95" w:rsidP="00DB6F95">
      <w:pPr>
        <w:pStyle w:val="ListParagraph"/>
        <w:spacing w:line="240" w:lineRule="auto"/>
        <w:rPr>
          <w:rFonts w:ascii="Arial" w:hAnsi="Arial" w:cs="Arial"/>
          <w:b/>
        </w:rPr>
      </w:pPr>
    </w:p>
    <w:p w:rsidR="00DB6F95" w:rsidRPr="00DB6F95" w:rsidRDefault="00DB6F95" w:rsidP="00DB6F9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0-1.</w:t>
      </w:r>
    </w:p>
    <w:p w:rsidR="00DB6F95" w:rsidRPr="00DB6F95" w:rsidRDefault="00DB6F95" w:rsidP="00DB6F9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3-4.</w:t>
      </w:r>
    </w:p>
    <w:p w:rsidR="00DB6F95" w:rsidRPr="00DB6F95" w:rsidRDefault="00DB6F95" w:rsidP="00DB6F9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10-11.</w:t>
      </w:r>
    </w:p>
    <w:p w:rsidR="00DB6F95" w:rsidRPr="00C91DEB" w:rsidRDefault="00DB6F95" w:rsidP="00DB6F9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19-20.</w:t>
      </w:r>
    </w:p>
    <w:p w:rsidR="00C91DEB" w:rsidRDefault="00C91DEB" w:rsidP="00C91DEB">
      <w:pPr>
        <w:spacing w:line="360" w:lineRule="auto"/>
        <w:rPr>
          <w:rFonts w:ascii="Arial" w:hAnsi="Arial" w:cs="Arial"/>
          <w:b/>
        </w:rPr>
      </w:pPr>
    </w:p>
    <w:p w:rsidR="008679C6" w:rsidRDefault="008679C6" w:rsidP="00C91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Employee Name: ____________________________</w:t>
      </w:r>
    </w:p>
    <w:p w:rsidR="00C91DEB" w:rsidRDefault="008679C6" w:rsidP="00C91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Competency Score: __________________________</w:t>
      </w:r>
    </w:p>
    <w:p w:rsidR="008679C6" w:rsidRPr="008679C6" w:rsidRDefault="008679C6" w:rsidP="00C91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Date: ______________________________________</w:t>
      </w:r>
    </w:p>
    <w:sectPr w:rsidR="008679C6" w:rsidRPr="008679C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6C" w:rsidRDefault="008A1F6C" w:rsidP="008A1F6C">
      <w:pPr>
        <w:spacing w:after="0" w:line="240" w:lineRule="auto"/>
      </w:pPr>
      <w:r>
        <w:separator/>
      </w:r>
    </w:p>
  </w:endnote>
  <w:endnote w:type="continuationSeparator" w:id="0">
    <w:p w:rsidR="008A1F6C" w:rsidRDefault="008A1F6C" w:rsidP="008A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2564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A1F6C" w:rsidRDefault="008A1F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76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769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1F6C" w:rsidRDefault="008A1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6C" w:rsidRDefault="008A1F6C" w:rsidP="008A1F6C">
      <w:pPr>
        <w:spacing w:after="0" w:line="240" w:lineRule="auto"/>
      </w:pPr>
      <w:r>
        <w:separator/>
      </w:r>
    </w:p>
  </w:footnote>
  <w:footnote w:type="continuationSeparator" w:id="0">
    <w:p w:rsidR="008A1F6C" w:rsidRDefault="008A1F6C" w:rsidP="008A1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B85"/>
    <w:multiLevelType w:val="hybridMultilevel"/>
    <w:tmpl w:val="AB00D10A"/>
    <w:lvl w:ilvl="0" w:tplc="018CCEF8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71F6EF6"/>
    <w:multiLevelType w:val="hybridMultilevel"/>
    <w:tmpl w:val="6B309F20"/>
    <w:lvl w:ilvl="0" w:tplc="2EB42B1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617213BF"/>
    <w:multiLevelType w:val="hybridMultilevel"/>
    <w:tmpl w:val="780E106A"/>
    <w:lvl w:ilvl="0" w:tplc="2EB42B1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38E3"/>
    <w:multiLevelType w:val="hybridMultilevel"/>
    <w:tmpl w:val="9928FAE4"/>
    <w:lvl w:ilvl="0" w:tplc="DCFEA0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18CCEF8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A1AAA"/>
    <w:multiLevelType w:val="hybridMultilevel"/>
    <w:tmpl w:val="3782F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7E59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C"/>
    <w:rsid w:val="00116717"/>
    <w:rsid w:val="002713BB"/>
    <w:rsid w:val="00500695"/>
    <w:rsid w:val="005320C0"/>
    <w:rsid w:val="005A5293"/>
    <w:rsid w:val="005A5761"/>
    <w:rsid w:val="005F6F49"/>
    <w:rsid w:val="00653E36"/>
    <w:rsid w:val="006D54BB"/>
    <w:rsid w:val="008679C6"/>
    <w:rsid w:val="008A1F6C"/>
    <w:rsid w:val="008F34E3"/>
    <w:rsid w:val="009018EF"/>
    <w:rsid w:val="0090769F"/>
    <w:rsid w:val="00BA5403"/>
    <w:rsid w:val="00BE12CC"/>
    <w:rsid w:val="00C91DEB"/>
    <w:rsid w:val="00DB6F95"/>
    <w:rsid w:val="00E6565E"/>
    <w:rsid w:val="00EC6C57"/>
    <w:rsid w:val="00F2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203BD0B-77D7-4D2C-AD54-03821A4C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4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1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F6C"/>
  </w:style>
  <w:style w:type="paragraph" w:styleId="Footer">
    <w:name w:val="footer"/>
    <w:basedOn w:val="Normal"/>
    <w:link w:val="FooterChar"/>
    <w:uiPriority w:val="99"/>
    <w:unhideWhenUsed/>
    <w:rsid w:val="008A1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F6C"/>
  </w:style>
  <w:style w:type="table" w:styleId="TableGrid">
    <w:name w:val="Table Grid"/>
    <w:basedOn w:val="TableNormal"/>
    <w:uiPriority w:val="39"/>
    <w:rsid w:val="005F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Oneill, Janette</dc:creator>
  <cp:keywords/>
  <dc:description/>
  <cp:lastModifiedBy>Oneill, Janette</cp:lastModifiedBy>
  <cp:revision>2</cp:revision>
  <cp:lastPrinted>2018-10-07T11:13:00Z</cp:lastPrinted>
  <dcterms:created xsi:type="dcterms:W3CDTF">2018-10-24T02:40:00Z</dcterms:created>
  <dcterms:modified xsi:type="dcterms:W3CDTF">2018-10-24T02:40:00Z</dcterms:modified>
</cp:coreProperties>
</file>