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4D" w:rsidRDefault="00730C4D" w:rsidP="00730C4D">
      <w:pPr>
        <w:jc w:val="center"/>
        <w:rPr>
          <w:sz w:val="36"/>
          <w:szCs w:val="36"/>
        </w:rPr>
      </w:pPr>
    </w:p>
    <w:p w:rsidR="00730C4D" w:rsidRDefault="00730C4D" w:rsidP="00730C4D">
      <w:pPr>
        <w:jc w:val="center"/>
        <w:rPr>
          <w:sz w:val="36"/>
          <w:szCs w:val="36"/>
        </w:rPr>
      </w:pPr>
    </w:p>
    <w:p w:rsidR="00730C4D" w:rsidRDefault="00730C4D" w:rsidP="00730C4D">
      <w:pPr>
        <w:jc w:val="center"/>
        <w:rPr>
          <w:sz w:val="36"/>
          <w:szCs w:val="36"/>
        </w:rPr>
      </w:pPr>
    </w:p>
    <w:p w:rsidR="009618AB" w:rsidRPr="00730C4D" w:rsidRDefault="00730C4D" w:rsidP="00730C4D">
      <w:pPr>
        <w:jc w:val="center"/>
        <w:rPr>
          <w:sz w:val="36"/>
          <w:szCs w:val="36"/>
        </w:rPr>
      </w:pPr>
      <w:r w:rsidRPr="00730C4D">
        <w:rPr>
          <w:sz w:val="36"/>
          <w:szCs w:val="36"/>
        </w:rPr>
        <w:t>PARTS OF THE MICROSCOPE</w:t>
      </w:r>
    </w:p>
    <w:p w:rsidR="00730C4D" w:rsidRDefault="00730C4D"/>
    <w:p w:rsidR="009618AB" w:rsidRDefault="00730C4D">
      <w:r w:rsidRPr="00730C4D">
        <w:drawing>
          <wp:inline distT="0" distB="0" distL="0" distR="0">
            <wp:extent cx="5286375" cy="3762375"/>
            <wp:effectExtent l="19050" t="0" r="9525" b="0"/>
            <wp:docPr id="2" name="Picture 2" descr="labeled_mscop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abeled_mscope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8AB" w:rsidRDefault="009618AB"/>
    <w:p w:rsidR="00730C4D" w:rsidRDefault="00730C4D"/>
    <w:p w:rsidR="00730C4D" w:rsidRDefault="00730C4D"/>
    <w:p w:rsidR="00730C4D" w:rsidRDefault="00730C4D"/>
    <w:p w:rsidR="00730C4D" w:rsidRDefault="00730C4D"/>
    <w:p w:rsidR="00730C4D" w:rsidRDefault="00730C4D"/>
    <w:p w:rsidR="00730C4D" w:rsidRDefault="00730C4D"/>
    <w:p w:rsidR="00730C4D" w:rsidRDefault="00730C4D"/>
    <w:p w:rsidR="00730C4D" w:rsidRDefault="00730C4D"/>
    <w:p w:rsidR="00730C4D" w:rsidRDefault="00730C4D"/>
    <w:p w:rsidR="00730C4D" w:rsidRDefault="00730C4D"/>
    <w:p w:rsidR="009618AB" w:rsidRPr="009618AB" w:rsidRDefault="009618AB" w:rsidP="009618AB">
      <w:r w:rsidRPr="009618AB">
        <w:rPr>
          <w:b/>
          <w:bCs/>
        </w:rPr>
        <w:t>Objective Lens</w:t>
      </w:r>
      <w:r w:rsidRPr="009618AB">
        <w:t>:</w:t>
      </w:r>
    </w:p>
    <w:p w:rsidR="00000000" w:rsidRPr="009618AB" w:rsidRDefault="007D76FA" w:rsidP="009618AB">
      <w:pPr>
        <w:numPr>
          <w:ilvl w:val="0"/>
          <w:numId w:val="3"/>
        </w:numPr>
      </w:pPr>
      <w:r w:rsidRPr="009618AB">
        <w:t>Objective produces the primary image</w:t>
      </w:r>
    </w:p>
    <w:p w:rsidR="00000000" w:rsidRPr="009618AB" w:rsidRDefault="007D76FA" w:rsidP="009618AB">
      <w:pPr>
        <w:numPr>
          <w:ilvl w:val="0"/>
          <w:numId w:val="3"/>
        </w:numPr>
      </w:pPr>
      <w:r w:rsidRPr="009618AB">
        <w:t>The oculars (eyepieces) magnify the primary image projected by the objective</w:t>
      </w:r>
    </w:p>
    <w:p w:rsidR="00000000" w:rsidRPr="009618AB" w:rsidRDefault="007D76FA" w:rsidP="009618AB">
      <w:pPr>
        <w:numPr>
          <w:ilvl w:val="0"/>
          <w:numId w:val="3"/>
        </w:numPr>
      </w:pPr>
      <w:r w:rsidRPr="009618AB">
        <w:t xml:space="preserve">The clarity, sharpness, detail and visibility </w:t>
      </w:r>
      <w:r w:rsidRPr="009618AB">
        <w:t>needed for good performance in microscopy depend on the quality and care of the objectives</w:t>
      </w:r>
    </w:p>
    <w:p w:rsidR="009618AB" w:rsidRDefault="009618AB"/>
    <w:p w:rsidR="00730C4D" w:rsidRDefault="00730C4D"/>
    <w:p w:rsidR="00730C4D" w:rsidRDefault="00730C4D"/>
    <w:p w:rsidR="00730C4D" w:rsidRDefault="00730C4D"/>
    <w:p w:rsidR="009618AB" w:rsidRDefault="009618AB"/>
    <w:p w:rsidR="00730C4D" w:rsidRPr="00730C4D" w:rsidRDefault="00730C4D" w:rsidP="00730C4D">
      <w:r w:rsidRPr="00730C4D">
        <w:rPr>
          <w:b/>
          <w:bCs/>
        </w:rPr>
        <w:t>Condenser</w:t>
      </w:r>
      <w:r w:rsidRPr="00730C4D">
        <w:t>:</w:t>
      </w:r>
    </w:p>
    <w:p w:rsidR="00000000" w:rsidRPr="00730C4D" w:rsidRDefault="007D76FA" w:rsidP="00730C4D">
      <w:pPr>
        <w:numPr>
          <w:ilvl w:val="0"/>
          <w:numId w:val="4"/>
        </w:numPr>
      </w:pPr>
      <w:r w:rsidRPr="00730C4D">
        <w:t>Mounted under the stage to concentrate and focus light from light source</w:t>
      </w:r>
    </w:p>
    <w:p w:rsidR="00000000" w:rsidRPr="00730C4D" w:rsidRDefault="007D76FA" w:rsidP="00730C4D">
      <w:pPr>
        <w:numPr>
          <w:ilvl w:val="0"/>
          <w:numId w:val="4"/>
        </w:numPr>
      </w:pPr>
      <w:r w:rsidRPr="00730C4D">
        <w:t>Can be raised or lowered by means of the condenser know below the stage</w:t>
      </w:r>
    </w:p>
    <w:p w:rsidR="00000000" w:rsidRPr="00730C4D" w:rsidRDefault="007D76FA" w:rsidP="00730C4D">
      <w:pPr>
        <w:numPr>
          <w:ilvl w:val="0"/>
          <w:numId w:val="4"/>
        </w:numPr>
      </w:pPr>
      <w:r w:rsidRPr="00730C4D">
        <w:t>Has an</w:t>
      </w:r>
      <w:r w:rsidRPr="00730C4D">
        <w:t xml:space="preserve"> aperture iris diaphragm that can be opened or closed to control the amount of light striking the specimen</w:t>
      </w:r>
    </w:p>
    <w:p w:rsidR="009618AB" w:rsidRDefault="009618AB"/>
    <w:p w:rsidR="00730C4D" w:rsidRDefault="00730C4D"/>
    <w:p w:rsidR="00730C4D" w:rsidRDefault="00730C4D"/>
    <w:p w:rsidR="009618AB" w:rsidRDefault="009618AB"/>
    <w:p w:rsidR="009618AB" w:rsidRDefault="009618AB"/>
    <w:p w:rsidR="009618AB" w:rsidRPr="009618AB" w:rsidRDefault="009618AB" w:rsidP="009618AB">
      <w:r w:rsidRPr="009618AB">
        <w:rPr>
          <w:b/>
          <w:bCs/>
        </w:rPr>
        <w:t>Illumination:</w:t>
      </w:r>
      <w:r w:rsidRPr="009618AB">
        <w:t xml:space="preserve"> </w:t>
      </w:r>
    </w:p>
    <w:p w:rsidR="00000000" w:rsidRPr="009618AB" w:rsidRDefault="007D76FA" w:rsidP="009618AB">
      <w:pPr>
        <w:numPr>
          <w:ilvl w:val="0"/>
          <w:numId w:val="1"/>
        </w:numPr>
      </w:pPr>
      <w:r w:rsidRPr="009618AB">
        <w:t>A built-in light source, usually a tungsten bulb or tungsten-halogen bulb, works by plugging the microscope cord into an electrical outlet and using the on-off switch</w:t>
      </w:r>
    </w:p>
    <w:p w:rsidR="00000000" w:rsidRPr="009618AB" w:rsidRDefault="007D76FA" w:rsidP="009618AB">
      <w:pPr>
        <w:numPr>
          <w:ilvl w:val="0"/>
          <w:numId w:val="1"/>
        </w:numPr>
      </w:pPr>
      <w:r w:rsidRPr="009618AB">
        <w:lastRenderedPageBreak/>
        <w:t>Adjustment of the field diaphragm on the projection lens increases or decreases the circle of light in the viewing field</w:t>
      </w:r>
    </w:p>
    <w:p w:rsidR="009618AB" w:rsidRDefault="009618AB"/>
    <w:p w:rsidR="009618AB" w:rsidRDefault="009618AB"/>
    <w:p w:rsidR="009618AB" w:rsidRPr="00730C4D" w:rsidRDefault="00730C4D">
      <w:pPr>
        <w:rPr>
          <w:b/>
        </w:rPr>
      </w:pPr>
      <w:r w:rsidRPr="00730C4D">
        <w:rPr>
          <w:b/>
        </w:rPr>
        <w:t>100x oil immersion objective:</w:t>
      </w:r>
    </w:p>
    <w:p w:rsidR="00000000" w:rsidRPr="009618AB" w:rsidRDefault="007D76FA" w:rsidP="009618AB">
      <w:pPr>
        <w:numPr>
          <w:ilvl w:val="1"/>
          <w:numId w:val="2"/>
        </w:numPr>
      </w:pPr>
      <w:r w:rsidRPr="009618AB">
        <w:t xml:space="preserve">Focus and center the specimen with the 10x </w:t>
      </w:r>
      <w:proofErr w:type="gramStart"/>
      <w:r w:rsidRPr="009618AB">
        <w:t>objective,</w:t>
      </w:r>
      <w:proofErr w:type="gramEnd"/>
      <w:r w:rsidRPr="009618AB">
        <w:t xml:space="preserve"> </w:t>
      </w:r>
      <w:r w:rsidRPr="009618AB">
        <w:t>followed by the 40x objective; lower the stage using the coarse adjustment knobs, with the 40x objective in the light path.</w:t>
      </w:r>
    </w:p>
    <w:p w:rsidR="00000000" w:rsidRPr="009618AB" w:rsidRDefault="007D76FA" w:rsidP="009618AB">
      <w:pPr>
        <w:numPr>
          <w:ilvl w:val="1"/>
          <w:numId w:val="2"/>
        </w:numPr>
      </w:pPr>
      <w:r w:rsidRPr="009618AB">
        <w:t xml:space="preserve">Place a drop of immersion oil on the </w:t>
      </w:r>
      <w:proofErr w:type="spellStart"/>
      <w:r w:rsidRPr="009618AB">
        <w:t>coverslip</w:t>
      </w:r>
      <w:proofErr w:type="spellEnd"/>
      <w:r w:rsidRPr="009618AB">
        <w:t xml:space="preserve"> of the slide being examined, directly over the light path, making certain the drop i</w:t>
      </w:r>
      <w:r w:rsidRPr="009618AB">
        <w:t>s placed so that the objective will dip into the drop when the stage is raised. Rotate the nosepiece until the 100x oil immersion objective comes into the light path.</w:t>
      </w:r>
    </w:p>
    <w:p w:rsidR="00000000" w:rsidRPr="009618AB" w:rsidRDefault="007D76FA" w:rsidP="009618AB">
      <w:pPr>
        <w:numPr>
          <w:ilvl w:val="1"/>
          <w:numId w:val="2"/>
        </w:numPr>
      </w:pPr>
      <w:r w:rsidRPr="009618AB">
        <w:t>Looking peripherally at stage level and not through the eyepiece, raise the stage slowly</w:t>
      </w:r>
      <w:r w:rsidRPr="009618AB">
        <w:t xml:space="preserve"> until the objective makes contact with the oil drop, causing a flash of light.</w:t>
      </w:r>
    </w:p>
    <w:p w:rsidR="00000000" w:rsidRPr="009618AB" w:rsidRDefault="007D76FA" w:rsidP="009618AB">
      <w:pPr>
        <w:numPr>
          <w:ilvl w:val="1"/>
          <w:numId w:val="2"/>
        </w:numPr>
      </w:pPr>
      <w:r w:rsidRPr="009618AB">
        <w:t xml:space="preserve">Raise the stage slowly using the fine adjustment knobs while looking through the eyepieces; at the slightest resistance, stop, because the </w:t>
      </w:r>
      <w:proofErr w:type="spellStart"/>
      <w:r w:rsidRPr="009618AB">
        <w:t>coverslip</w:t>
      </w:r>
      <w:proofErr w:type="spellEnd"/>
      <w:r w:rsidRPr="009618AB">
        <w:t xml:space="preserve"> may be too close (at this </w:t>
      </w:r>
      <w:r w:rsidRPr="009618AB">
        <w:t>time, the specimen should come into focus).</w:t>
      </w:r>
    </w:p>
    <w:p w:rsidR="009618AB" w:rsidRDefault="009618AB" w:rsidP="009618AB">
      <w:r w:rsidRPr="009618AB">
        <w:t>After using the oil immersion objective, clean it with a piece of lens paper, dampened with lens cleaning solution.  Avoid getting oil on the 40x objective.  Make sure to dry the objective by either gently blowing with air or using a clean, dry sheet of lens paper</w:t>
      </w:r>
    </w:p>
    <w:p w:rsidR="009618AB" w:rsidRDefault="009618AB"/>
    <w:p w:rsidR="009618AB" w:rsidRDefault="009618AB"/>
    <w:p w:rsidR="009618AB" w:rsidRDefault="009618AB"/>
    <w:p w:rsidR="00D76433" w:rsidRDefault="00D76433"/>
    <w:p w:rsidR="00D76433" w:rsidRDefault="00D76433"/>
    <w:p w:rsidR="00D76433" w:rsidRDefault="00D76433"/>
    <w:p w:rsidR="00D76433" w:rsidRDefault="00D76433"/>
    <w:p w:rsidR="00D76433" w:rsidRDefault="00D76433"/>
    <w:p w:rsidR="00D76433" w:rsidRDefault="00D76433"/>
    <w:p w:rsidR="00D76433" w:rsidRDefault="00D76433"/>
    <w:sectPr w:rsidR="00D76433" w:rsidSect="00EF5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6FA" w:rsidRDefault="007D76FA" w:rsidP="00730C4D">
      <w:pPr>
        <w:spacing w:after="0" w:line="240" w:lineRule="auto"/>
      </w:pPr>
      <w:r>
        <w:separator/>
      </w:r>
    </w:p>
  </w:endnote>
  <w:endnote w:type="continuationSeparator" w:id="0">
    <w:p w:rsidR="007D76FA" w:rsidRDefault="007D76FA" w:rsidP="0073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6FA" w:rsidRDefault="007D76FA" w:rsidP="00730C4D">
      <w:pPr>
        <w:spacing w:after="0" w:line="240" w:lineRule="auto"/>
      </w:pPr>
      <w:r>
        <w:separator/>
      </w:r>
    </w:p>
  </w:footnote>
  <w:footnote w:type="continuationSeparator" w:id="0">
    <w:p w:rsidR="007D76FA" w:rsidRDefault="007D76FA" w:rsidP="00730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1E0"/>
    <w:multiLevelType w:val="hybridMultilevel"/>
    <w:tmpl w:val="03ECC33A"/>
    <w:lvl w:ilvl="0" w:tplc="05527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C65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105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AAA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E0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0B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2E0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923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4C5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E35827"/>
    <w:multiLevelType w:val="hybridMultilevel"/>
    <w:tmpl w:val="14C40F6C"/>
    <w:lvl w:ilvl="0" w:tplc="1428B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3EC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AE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87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ACD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8A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FAE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AE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083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1F1261B"/>
    <w:multiLevelType w:val="hybridMultilevel"/>
    <w:tmpl w:val="045A5348"/>
    <w:lvl w:ilvl="0" w:tplc="52EA4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E5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6A1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E7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529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D6E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40C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24F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72B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8286A0A"/>
    <w:multiLevelType w:val="hybridMultilevel"/>
    <w:tmpl w:val="BA364B74"/>
    <w:lvl w:ilvl="0" w:tplc="29AC2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30A596">
      <w:start w:val="12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DA3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25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A85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EB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8A4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DA9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D8A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433"/>
    <w:rsid w:val="00730C4D"/>
    <w:rsid w:val="007D76FA"/>
    <w:rsid w:val="009618AB"/>
    <w:rsid w:val="00D76433"/>
    <w:rsid w:val="00EF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C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0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C4D"/>
  </w:style>
  <w:style w:type="paragraph" w:styleId="Footer">
    <w:name w:val="footer"/>
    <w:basedOn w:val="Normal"/>
    <w:link w:val="FooterChar"/>
    <w:uiPriority w:val="99"/>
    <w:semiHidden/>
    <w:unhideWhenUsed/>
    <w:rsid w:val="00730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0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7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9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0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7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af0012410</dc:creator>
  <cp:keywords/>
  <dc:description/>
  <cp:lastModifiedBy>af0012410</cp:lastModifiedBy>
  <cp:revision>2</cp:revision>
  <dcterms:created xsi:type="dcterms:W3CDTF">2014-03-04T20:33:00Z</dcterms:created>
  <dcterms:modified xsi:type="dcterms:W3CDTF">2014-03-04T20:33:00Z</dcterms:modified>
</cp:coreProperties>
</file>